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BB74B" w14:textId="63E56EEA" w:rsidR="00CB4BCC" w:rsidRPr="00F84C36" w:rsidRDefault="00FD5230" w:rsidP="00CB4BCC">
      <w:pPr>
        <w:spacing w:after="0" w:line="240" w:lineRule="auto"/>
        <w:jc w:val="center"/>
        <w:rPr>
          <w:rFonts w:ascii="Book Antiqua" w:eastAsia="Times New Roman" w:hAnsi="Book Antiqua" w:cs="Times New Roman"/>
          <w:spacing w:val="12"/>
          <w:kern w:val="0"/>
          <w:sz w:val="28"/>
          <w:szCs w:val="28"/>
          <w14:ligatures w14:val="none"/>
        </w:rPr>
      </w:pPr>
      <w:r w:rsidRPr="00F84C36">
        <w:rPr>
          <w:rFonts w:ascii="Book Antiqua" w:eastAsia="Times New Roman" w:hAnsi="Book Antiqua" w:cs="Times New Roman"/>
          <w:spacing w:val="12"/>
          <w:kern w:val="0"/>
          <w:sz w:val="28"/>
          <w:szCs w:val="28"/>
          <w14:ligatures w14:val="none"/>
        </w:rPr>
        <w:t>GOBIERNO</w:t>
      </w:r>
      <w:r w:rsidR="00CB4BCC" w:rsidRPr="00F84C36">
        <w:rPr>
          <w:rFonts w:ascii="Book Antiqua" w:eastAsia="Times New Roman" w:hAnsi="Book Antiqua" w:cs="Times New Roman"/>
          <w:spacing w:val="12"/>
          <w:kern w:val="0"/>
          <w:sz w:val="28"/>
          <w:szCs w:val="28"/>
          <w14:ligatures w14:val="none"/>
        </w:rPr>
        <w:t xml:space="preserve"> DE PUERTO RICO</w:t>
      </w:r>
    </w:p>
    <w:p w14:paraId="7F83C0D6" w14:textId="77777777" w:rsidR="00CB4BCC" w:rsidRPr="00F84C36" w:rsidRDefault="00CB4BCC" w:rsidP="00CB4BCC">
      <w:pPr>
        <w:spacing w:after="0" w:line="240" w:lineRule="auto"/>
        <w:jc w:val="center"/>
        <w:rPr>
          <w:rFonts w:ascii="Book Antiqua" w:eastAsia="Times New Roman" w:hAnsi="Book Antiqua" w:cs="Times New Roman"/>
          <w:kern w:val="0"/>
          <w:szCs w:val="20"/>
          <w14:ligatures w14:val="none"/>
        </w:rPr>
      </w:pPr>
    </w:p>
    <w:p w14:paraId="7C89D709" w14:textId="77777777" w:rsidR="00CB4BCC" w:rsidRPr="00F84C36" w:rsidRDefault="00CB4BCC" w:rsidP="00CB4BCC">
      <w:pPr>
        <w:spacing w:after="0" w:line="240" w:lineRule="auto"/>
        <w:jc w:val="center"/>
        <w:rPr>
          <w:rFonts w:ascii="Book Antiqua" w:eastAsia="Times New Roman" w:hAnsi="Book Antiqua" w:cs="Times New Roman"/>
          <w:kern w:val="0"/>
          <w:szCs w:val="20"/>
          <w14:ligatures w14:val="none"/>
        </w:rPr>
      </w:pPr>
    </w:p>
    <w:p w14:paraId="4F0B79DE" w14:textId="30D87ED2" w:rsidR="00CB4BCC" w:rsidRPr="00F84C36" w:rsidRDefault="00101518"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F84C36">
        <w:rPr>
          <w:rFonts w:ascii="Book Antiqua" w:eastAsia="Times New Roman" w:hAnsi="Book Antiqua" w:cs="Times New Roman"/>
          <w:kern w:val="0"/>
          <w:szCs w:val="20"/>
          <w14:ligatures w14:val="none"/>
        </w:rPr>
        <w:t>20</w:t>
      </w:r>
      <w:r w:rsidR="00CB4BCC" w:rsidRPr="00F84C36">
        <w:rPr>
          <w:rFonts w:ascii="Book Antiqua" w:eastAsia="Times New Roman" w:hAnsi="Book Antiqua" w:cs="Times New Roman"/>
          <w:kern w:val="0"/>
          <w:szCs w:val="20"/>
          <w14:ligatures w14:val="none"/>
        </w:rPr>
        <w:t xml:space="preserve"> </w:t>
      </w:r>
      <w:r w:rsidRPr="00F84C36">
        <w:rPr>
          <w:rFonts w:ascii="Book Antiqua" w:eastAsia="Times New Roman" w:hAnsi="Book Antiqua" w:cs="Times New Roman"/>
          <w:kern w:val="0"/>
          <w:szCs w:val="20"/>
          <w:vertAlign w:val="superscript"/>
          <w14:ligatures w14:val="none"/>
        </w:rPr>
        <w:t>m</w:t>
      </w:r>
      <w:r w:rsidR="00CB4BCC" w:rsidRPr="00F84C36">
        <w:rPr>
          <w:rFonts w:ascii="Book Antiqua" w:eastAsia="Times New Roman" w:hAnsi="Book Antiqua" w:cs="Times New Roman"/>
          <w:kern w:val="0"/>
          <w:szCs w:val="20"/>
          <w:vertAlign w:val="superscript"/>
          <w14:ligatures w14:val="none"/>
        </w:rPr>
        <w:t>a.</w:t>
      </w:r>
      <w:r w:rsidR="00CB4BCC" w:rsidRPr="00F84C36">
        <w:rPr>
          <w:rFonts w:ascii="Book Antiqua" w:eastAsia="Times New Roman" w:hAnsi="Book Antiqua" w:cs="Times New Roman"/>
          <w:kern w:val="0"/>
          <w:szCs w:val="20"/>
          <w14:ligatures w14:val="none"/>
        </w:rPr>
        <w:tab/>
        <w:t>Asamblea</w:t>
      </w:r>
      <w:r w:rsidR="00CB4BCC" w:rsidRPr="00F84C36">
        <w:rPr>
          <w:rFonts w:ascii="Book Antiqua" w:eastAsia="Times New Roman" w:hAnsi="Book Antiqua" w:cs="Times New Roman"/>
          <w:kern w:val="0"/>
          <w:szCs w:val="20"/>
          <w14:ligatures w14:val="none"/>
        </w:rPr>
        <w:tab/>
      </w:r>
      <w:r w:rsidRPr="00F84C36">
        <w:rPr>
          <w:rFonts w:ascii="Book Antiqua" w:eastAsia="Times New Roman" w:hAnsi="Book Antiqua" w:cs="Times New Roman"/>
          <w:kern w:val="0"/>
          <w:szCs w:val="20"/>
          <w14:ligatures w14:val="none"/>
        </w:rPr>
        <w:t>1</w:t>
      </w:r>
      <w:r w:rsidRPr="00F84C36">
        <w:rPr>
          <w:rFonts w:ascii="Book Antiqua" w:eastAsia="Times New Roman" w:hAnsi="Book Antiqua" w:cs="Times New Roman"/>
          <w:kern w:val="0"/>
          <w:szCs w:val="20"/>
          <w:vertAlign w:val="superscript"/>
          <w14:ligatures w14:val="none"/>
        </w:rPr>
        <w:t>r</w:t>
      </w:r>
      <w:r w:rsidR="00CB4BCC" w:rsidRPr="00F84C36">
        <w:rPr>
          <w:rFonts w:ascii="Book Antiqua" w:eastAsia="Times New Roman" w:hAnsi="Book Antiqua" w:cs="Times New Roman"/>
          <w:kern w:val="0"/>
          <w:szCs w:val="20"/>
          <w:vertAlign w:val="superscript"/>
          <w14:ligatures w14:val="none"/>
        </w:rPr>
        <w:t>a.</w:t>
      </w:r>
      <w:r w:rsidR="00CB4BCC" w:rsidRPr="00F84C36">
        <w:rPr>
          <w:rFonts w:ascii="Book Antiqua" w:eastAsia="Times New Roman" w:hAnsi="Book Antiqua" w:cs="Times New Roman"/>
          <w:kern w:val="0"/>
          <w:szCs w:val="20"/>
          <w14:ligatures w14:val="none"/>
        </w:rPr>
        <w:tab/>
        <w:t>Sesión</w:t>
      </w:r>
    </w:p>
    <w:p w14:paraId="064F0E65" w14:textId="77777777" w:rsidR="00CB4BCC" w:rsidRPr="00F84C36" w:rsidRDefault="00CB4BCC"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F84C36">
        <w:rPr>
          <w:rFonts w:ascii="Book Antiqua" w:eastAsia="Times New Roman" w:hAnsi="Book Antiqua" w:cs="Times New Roman"/>
          <w:kern w:val="0"/>
          <w:szCs w:val="20"/>
          <w14:ligatures w14:val="none"/>
        </w:rPr>
        <w:tab/>
        <w:t>Legislativa</w:t>
      </w:r>
      <w:r w:rsidRPr="00F84C36">
        <w:rPr>
          <w:rFonts w:ascii="Book Antiqua" w:eastAsia="Times New Roman" w:hAnsi="Book Antiqua" w:cs="Times New Roman"/>
          <w:kern w:val="0"/>
          <w:szCs w:val="20"/>
          <w14:ligatures w14:val="none"/>
        </w:rPr>
        <w:tab/>
      </w:r>
      <w:r w:rsidRPr="00F84C36">
        <w:rPr>
          <w:rFonts w:ascii="Book Antiqua" w:eastAsia="Times New Roman" w:hAnsi="Book Antiqua" w:cs="Times New Roman"/>
          <w:kern w:val="0"/>
          <w:szCs w:val="20"/>
          <w14:ligatures w14:val="none"/>
        </w:rPr>
        <w:tab/>
        <w:t>Ordinaria</w:t>
      </w:r>
    </w:p>
    <w:p w14:paraId="21E7FCE1" w14:textId="77777777" w:rsidR="00CB4BCC" w:rsidRPr="00F84C36" w:rsidRDefault="00CB4BCC" w:rsidP="00CB4BCC">
      <w:pPr>
        <w:spacing w:after="0" w:line="240" w:lineRule="auto"/>
        <w:rPr>
          <w:rFonts w:ascii="Book Antiqua" w:eastAsia="Times New Roman" w:hAnsi="Book Antiqua" w:cs="Times New Roman"/>
          <w:kern w:val="0"/>
          <w:szCs w:val="20"/>
          <w14:ligatures w14:val="none"/>
        </w:rPr>
      </w:pPr>
    </w:p>
    <w:p w14:paraId="2CE4B615" w14:textId="77777777" w:rsidR="00101518" w:rsidRPr="00F84C36" w:rsidRDefault="00101518" w:rsidP="00CB4BCC">
      <w:pPr>
        <w:spacing w:after="0" w:line="240" w:lineRule="auto"/>
        <w:rPr>
          <w:rFonts w:ascii="Book Antiqua" w:eastAsia="Times New Roman" w:hAnsi="Book Antiqua" w:cs="Times New Roman"/>
          <w:kern w:val="0"/>
          <w:szCs w:val="20"/>
          <w14:ligatures w14:val="none"/>
        </w:rPr>
      </w:pPr>
    </w:p>
    <w:p w14:paraId="5BDD0274" w14:textId="3D671E92" w:rsidR="00CB4BCC" w:rsidRPr="00F84C36" w:rsidRDefault="00101518" w:rsidP="00CB4BCC">
      <w:pPr>
        <w:spacing w:after="0" w:line="240" w:lineRule="auto"/>
        <w:jc w:val="center"/>
        <w:rPr>
          <w:rFonts w:ascii="Book Antiqua" w:eastAsia="Times New Roman" w:hAnsi="Book Antiqua" w:cs="Times New Roman"/>
          <w:b/>
          <w:spacing w:val="12"/>
          <w:kern w:val="0"/>
          <w:sz w:val="36"/>
          <w:szCs w:val="20"/>
          <w14:ligatures w14:val="none"/>
        </w:rPr>
      </w:pPr>
      <w:r w:rsidRPr="00F84C36">
        <w:rPr>
          <w:rFonts w:ascii="Book Antiqua" w:eastAsia="Times New Roman" w:hAnsi="Book Antiqua" w:cs="Times New Roman"/>
          <w:b/>
          <w:spacing w:val="12"/>
          <w:kern w:val="0"/>
          <w:sz w:val="36"/>
          <w:szCs w:val="20"/>
          <w14:ligatures w14:val="none"/>
        </w:rPr>
        <w:t>CÁMARA DE REPRESENTANTES</w:t>
      </w:r>
    </w:p>
    <w:p w14:paraId="48B3F741" w14:textId="77777777" w:rsidR="00CB4BCC" w:rsidRPr="00F84C36" w:rsidRDefault="00CB4BCC" w:rsidP="00CB4BCC">
      <w:pPr>
        <w:spacing w:after="0" w:line="240" w:lineRule="auto"/>
        <w:jc w:val="center"/>
        <w:rPr>
          <w:rFonts w:ascii="Book Antiqua" w:eastAsia="Times New Roman" w:hAnsi="Book Antiqua" w:cs="Times New Roman"/>
          <w:b/>
          <w:kern w:val="0"/>
          <w14:ligatures w14:val="none"/>
        </w:rPr>
      </w:pPr>
    </w:p>
    <w:p w14:paraId="3B214DA8" w14:textId="75CA0880" w:rsidR="00CB4BCC" w:rsidRPr="00F84C36" w:rsidRDefault="00CB4BCC" w:rsidP="00CB4BCC">
      <w:pPr>
        <w:spacing w:after="0" w:line="240" w:lineRule="auto"/>
        <w:jc w:val="center"/>
        <w:rPr>
          <w:rFonts w:ascii="Book Antiqua" w:eastAsia="Times New Roman" w:hAnsi="Book Antiqua" w:cs="Times New Roman"/>
          <w:b/>
          <w:kern w:val="0"/>
          <w:sz w:val="52"/>
          <w:szCs w:val="20"/>
          <w14:ligatures w14:val="none"/>
        </w:rPr>
      </w:pPr>
      <w:r w:rsidRPr="00F84C36">
        <w:rPr>
          <w:rFonts w:ascii="Book Antiqua" w:eastAsia="Times New Roman" w:hAnsi="Book Antiqua" w:cs="Times New Roman"/>
          <w:b/>
          <w:kern w:val="0"/>
          <w:sz w:val="52"/>
          <w:szCs w:val="20"/>
          <w14:ligatures w14:val="none"/>
        </w:rPr>
        <w:t>P. de</w:t>
      </w:r>
      <w:r w:rsidR="00101518" w:rsidRPr="00F84C36">
        <w:rPr>
          <w:rFonts w:ascii="Book Antiqua" w:eastAsia="Times New Roman" w:hAnsi="Book Antiqua" w:cs="Times New Roman"/>
          <w:b/>
          <w:kern w:val="0"/>
          <w:sz w:val="52"/>
          <w:szCs w:val="20"/>
          <w14:ligatures w14:val="none"/>
        </w:rPr>
        <w:t xml:space="preserve"> </w:t>
      </w:r>
      <w:r w:rsidR="00993EAF" w:rsidRPr="00F84C36">
        <w:rPr>
          <w:rFonts w:ascii="Book Antiqua" w:eastAsia="Times New Roman" w:hAnsi="Book Antiqua" w:cs="Times New Roman"/>
          <w:b/>
          <w:kern w:val="0"/>
          <w:sz w:val="52"/>
          <w:szCs w:val="20"/>
          <w14:ligatures w14:val="none"/>
        </w:rPr>
        <w:t>l</w:t>
      </w:r>
      <w:r w:rsidR="00101518" w:rsidRPr="00F84C36">
        <w:rPr>
          <w:rFonts w:ascii="Book Antiqua" w:eastAsia="Times New Roman" w:hAnsi="Book Antiqua" w:cs="Times New Roman"/>
          <w:b/>
          <w:kern w:val="0"/>
          <w:sz w:val="52"/>
          <w:szCs w:val="20"/>
          <w14:ligatures w14:val="none"/>
        </w:rPr>
        <w:t>a</w:t>
      </w:r>
      <w:r w:rsidR="00993EAF" w:rsidRPr="00F84C36">
        <w:rPr>
          <w:rFonts w:ascii="Book Antiqua" w:eastAsia="Times New Roman" w:hAnsi="Book Antiqua" w:cs="Times New Roman"/>
          <w:b/>
          <w:kern w:val="0"/>
          <w:sz w:val="52"/>
          <w:szCs w:val="20"/>
          <w14:ligatures w14:val="none"/>
        </w:rPr>
        <w:t xml:space="preserve"> </w:t>
      </w:r>
      <w:r w:rsidR="00101518" w:rsidRPr="00F84C36">
        <w:rPr>
          <w:rFonts w:ascii="Book Antiqua" w:eastAsia="Times New Roman" w:hAnsi="Book Antiqua" w:cs="Times New Roman"/>
          <w:b/>
          <w:kern w:val="0"/>
          <w:sz w:val="52"/>
          <w:szCs w:val="20"/>
          <w14:ligatures w14:val="none"/>
        </w:rPr>
        <w:t>C</w:t>
      </w:r>
      <w:r w:rsidR="00993EAF" w:rsidRPr="00F84C36">
        <w:rPr>
          <w:rFonts w:ascii="Book Antiqua" w:eastAsia="Times New Roman" w:hAnsi="Book Antiqua" w:cs="Times New Roman"/>
          <w:b/>
          <w:kern w:val="0"/>
          <w:sz w:val="52"/>
          <w:szCs w:val="20"/>
          <w14:ligatures w14:val="none"/>
        </w:rPr>
        <w:t xml:space="preserve">. </w:t>
      </w:r>
      <w:r w:rsidR="007C0447" w:rsidRPr="00F84C36">
        <w:rPr>
          <w:rFonts w:ascii="Book Antiqua" w:eastAsia="Times New Roman" w:hAnsi="Book Antiqua" w:cs="Times New Roman"/>
          <w:b/>
          <w:kern w:val="0"/>
          <w:sz w:val="52"/>
          <w:szCs w:val="20"/>
          <w14:ligatures w14:val="none"/>
        </w:rPr>
        <w:t>321</w:t>
      </w:r>
    </w:p>
    <w:p w14:paraId="5C12BC4A" w14:textId="77777777" w:rsidR="009B217F" w:rsidRPr="00F84C36" w:rsidRDefault="009B217F" w:rsidP="00CB4BCC">
      <w:pPr>
        <w:spacing w:after="0" w:line="240" w:lineRule="auto"/>
        <w:jc w:val="center"/>
        <w:rPr>
          <w:rFonts w:ascii="Book Antiqua" w:eastAsia="Calibri" w:hAnsi="Book Antiqua" w:cs="Times New Roman"/>
          <w:b/>
          <w:bCs/>
          <w:kern w:val="0"/>
          <w:sz w:val="28"/>
          <w:szCs w:val="28"/>
          <w14:ligatures w14:val="none"/>
        </w:rPr>
      </w:pPr>
    </w:p>
    <w:p w14:paraId="07AD0618" w14:textId="709300B5" w:rsidR="00CB4BCC" w:rsidRPr="00F84C36" w:rsidRDefault="00FD7233" w:rsidP="00CB4BCC">
      <w:pPr>
        <w:spacing w:after="0" w:line="240" w:lineRule="auto"/>
        <w:jc w:val="center"/>
        <w:rPr>
          <w:rFonts w:ascii="Book Antiqua" w:eastAsia="Calibri" w:hAnsi="Book Antiqua" w:cs="Times New Roman"/>
          <w:b/>
          <w:bCs/>
          <w:spacing w:val="12"/>
          <w:kern w:val="0"/>
          <w:sz w:val="28"/>
          <w:szCs w:val="28"/>
          <w14:ligatures w14:val="none"/>
        </w:rPr>
      </w:pPr>
      <w:r w:rsidRPr="00F84C36">
        <w:rPr>
          <w:rFonts w:ascii="Book Antiqua" w:eastAsia="Calibri" w:hAnsi="Book Antiqua" w:cs="Times New Roman"/>
          <w:b/>
          <w:bCs/>
          <w:spacing w:val="12"/>
          <w:kern w:val="0"/>
          <w:sz w:val="28"/>
          <w:szCs w:val="28"/>
          <w14:ligatures w14:val="none"/>
        </w:rPr>
        <w:t xml:space="preserve">SEGUNDO </w:t>
      </w:r>
      <w:r w:rsidR="009B217F" w:rsidRPr="00F84C36">
        <w:rPr>
          <w:rFonts w:ascii="Book Antiqua" w:eastAsia="Calibri" w:hAnsi="Book Antiqua" w:cs="Times New Roman"/>
          <w:b/>
          <w:bCs/>
          <w:spacing w:val="12"/>
          <w:kern w:val="0"/>
          <w:sz w:val="28"/>
          <w:szCs w:val="28"/>
          <w14:ligatures w14:val="none"/>
        </w:rPr>
        <w:t>INFORME</w:t>
      </w:r>
      <w:r w:rsidR="004E696C" w:rsidRPr="00F84C36">
        <w:rPr>
          <w:rFonts w:ascii="Book Antiqua" w:eastAsia="Calibri" w:hAnsi="Book Antiqua" w:cs="Times New Roman"/>
          <w:b/>
          <w:bCs/>
          <w:spacing w:val="12"/>
          <w:kern w:val="0"/>
          <w:sz w:val="28"/>
          <w:szCs w:val="28"/>
          <w14:ligatures w14:val="none"/>
        </w:rPr>
        <w:t xml:space="preserve"> POSITIVO</w:t>
      </w:r>
    </w:p>
    <w:p w14:paraId="13CF74F4" w14:textId="77777777" w:rsidR="00CB4BCC" w:rsidRPr="00F84C36" w:rsidRDefault="00CB4BCC" w:rsidP="00CB4BCC">
      <w:pPr>
        <w:spacing w:after="0" w:line="240" w:lineRule="auto"/>
        <w:jc w:val="center"/>
        <w:rPr>
          <w:rFonts w:ascii="Book Antiqua" w:eastAsia="Calibri" w:hAnsi="Book Antiqua" w:cs="Times New Roman"/>
          <w:b/>
          <w:bCs/>
          <w:kern w:val="0"/>
          <w:sz w:val="28"/>
          <w:szCs w:val="28"/>
          <w14:ligatures w14:val="none"/>
        </w:rPr>
      </w:pPr>
    </w:p>
    <w:p w14:paraId="18C66AE4" w14:textId="37FCA7D3" w:rsidR="00CB4BCC" w:rsidRPr="00F84C36" w:rsidRDefault="00881DFF" w:rsidP="003C2B1D">
      <w:pPr>
        <w:spacing w:after="0" w:line="240" w:lineRule="auto"/>
        <w:jc w:val="center"/>
        <w:rPr>
          <w:rFonts w:ascii="Book Antiqua" w:eastAsia="Calibri" w:hAnsi="Book Antiqua" w:cs="Times New Roman"/>
          <w:kern w:val="0"/>
          <w14:ligatures w14:val="none"/>
        </w:rPr>
      </w:pPr>
      <w:r>
        <w:rPr>
          <w:rFonts w:ascii="Book Antiqua" w:eastAsia="Calibri" w:hAnsi="Book Antiqua" w:cs="Times New Roman"/>
          <w:kern w:val="0"/>
          <w14:ligatures w14:val="none"/>
        </w:rPr>
        <w:t xml:space="preserve">28 </w:t>
      </w:r>
      <w:r w:rsidR="00101518" w:rsidRPr="00F84C36">
        <w:rPr>
          <w:rFonts w:ascii="Book Antiqua" w:eastAsia="Calibri" w:hAnsi="Book Antiqua" w:cs="Times New Roman"/>
          <w:kern w:val="0"/>
          <w14:ligatures w14:val="none"/>
        </w:rPr>
        <w:t>de</w:t>
      </w:r>
      <w:r w:rsidR="006B55C5" w:rsidRPr="00F84C36">
        <w:rPr>
          <w:rFonts w:ascii="Book Antiqua" w:eastAsia="Calibri" w:hAnsi="Book Antiqua" w:cs="Times New Roman"/>
          <w:kern w:val="0"/>
          <w14:ligatures w14:val="none"/>
        </w:rPr>
        <w:t xml:space="preserve"> </w:t>
      </w:r>
      <w:r w:rsidR="00101518" w:rsidRPr="00F84C36">
        <w:rPr>
          <w:rFonts w:ascii="Book Antiqua" w:eastAsia="Calibri" w:hAnsi="Book Antiqua" w:cs="Times New Roman"/>
          <w:kern w:val="0"/>
          <w14:ligatures w14:val="none"/>
        </w:rPr>
        <w:t>abril</w:t>
      </w:r>
      <w:r w:rsidR="00CB4BCC" w:rsidRPr="00F84C36">
        <w:rPr>
          <w:rFonts w:ascii="Book Antiqua" w:eastAsia="Calibri" w:hAnsi="Book Antiqua" w:cs="Times New Roman"/>
          <w:kern w:val="0"/>
          <w14:ligatures w14:val="none"/>
        </w:rPr>
        <w:t xml:space="preserve"> de 202</w:t>
      </w:r>
      <w:r w:rsidR="00101518" w:rsidRPr="00F84C36">
        <w:rPr>
          <w:rFonts w:ascii="Book Antiqua" w:eastAsia="Calibri" w:hAnsi="Book Antiqua" w:cs="Times New Roman"/>
          <w:kern w:val="0"/>
          <w14:ligatures w14:val="none"/>
        </w:rPr>
        <w:t>5</w:t>
      </w:r>
    </w:p>
    <w:p w14:paraId="042A8F4B" w14:textId="77777777" w:rsidR="00101518" w:rsidRPr="00F84C36" w:rsidRDefault="00101518" w:rsidP="00CB4BCC">
      <w:pPr>
        <w:spacing w:after="0" w:line="360" w:lineRule="auto"/>
        <w:jc w:val="center"/>
        <w:rPr>
          <w:rFonts w:ascii="Book Antiqua" w:eastAsia="Calibri" w:hAnsi="Book Antiqua" w:cs="Times New Roman"/>
          <w:b/>
          <w:bCs/>
          <w:kern w:val="0"/>
          <w:sz w:val="28"/>
          <w:szCs w:val="28"/>
          <w14:ligatures w14:val="none"/>
        </w:rPr>
      </w:pPr>
    </w:p>
    <w:p w14:paraId="624ADA67" w14:textId="6CA982BF" w:rsidR="000743E5" w:rsidRPr="00F84C36" w:rsidRDefault="00CB4BCC" w:rsidP="00CB4BCC">
      <w:pPr>
        <w:spacing w:after="0" w:line="360" w:lineRule="auto"/>
        <w:jc w:val="both"/>
        <w:rPr>
          <w:rFonts w:ascii="Book Antiqua" w:eastAsia="Calibri" w:hAnsi="Book Antiqua" w:cs="Times New Roman"/>
          <w:b/>
          <w:bCs/>
          <w:spacing w:val="12"/>
          <w:kern w:val="0"/>
          <w14:ligatures w14:val="none"/>
        </w:rPr>
      </w:pPr>
      <w:r w:rsidRPr="00F84C36">
        <w:rPr>
          <w:rFonts w:ascii="Book Antiqua" w:eastAsia="Calibri" w:hAnsi="Book Antiqua" w:cs="Times New Roman"/>
          <w:b/>
          <w:bCs/>
          <w:spacing w:val="12"/>
          <w:kern w:val="0"/>
          <w14:ligatures w14:val="none"/>
        </w:rPr>
        <w:t>A</w:t>
      </w:r>
      <w:r w:rsidR="00101518" w:rsidRPr="00F84C36">
        <w:rPr>
          <w:rFonts w:ascii="Book Antiqua" w:eastAsia="Calibri" w:hAnsi="Book Antiqua" w:cs="Times New Roman"/>
          <w:b/>
          <w:bCs/>
          <w:spacing w:val="12"/>
          <w:kern w:val="0"/>
          <w14:ligatures w14:val="none"/>
        </w:rPr>
        <w:t xml:space="preserve"> </w:t>
      </w:r>
      <w:r w:rsidRPr="00F84C36">
        <w:rPr>
          <w:rFonts w:ascii="Book Antiqua" w:eastAsia="Calibri" w:hAnsi="Book Antiqua" w:cs="Times New Roman"/>
          <w:b/>
          <w:bCs/>
          <w:spacing w:val="12"/>
          <w:kern w:val="0"/>
          <w14:ligatures w14:val="none"/>
        </w:rPr>
        <w:t>L</w:t>
      </w:r>
      <w:r w:rsidR="00101518" w:rsidRPr="00F84C36">
        <w:rPr>
          <w:rFonts w:ascii="Book Antiqua" w:eastAsia="Calibri" w:hAnsi="Book Antiqua" w:cs="Times New Roman"/>
          <w:b/>
          <w:bCs/>
          <w:spacing w:val="12"/>
          <w:kern w:val="0"/>
          <w14:ligatures w14:val="none"/>
        </w:rPr>
        <w:t xml:space="preserve">A CÁMARA DE REPRESENTANTES </w:t>
      </w:r>
      <w:r w:rsidRPr="00F84C36">
        <w:rPr>
          <w:rFonts w:ascii="Book Antiqua" w:eastAsia="Calibri" w:hAnsi="Book Antiqua" w:cs="Times New Roman"/>
          <w:b/>
          <w:bCs/>
          <w:spacing w:val="12"/>
          <w:kern w:val="0"/>
          <w14:ligatures w14:val="none"/>
        </w:rPr>
        <w:t>DE PUERTO RICO:</w:t>
      </w:r>
    </w:p>
    <w:p w14:paraId="063281EC" w14:textId="7A9006B4" w:rsidR="00CB4BCC" w:rsidRPr="00F84C36" w:rsidRDefault="006C3629" w:rsidP="004A5C02">
      <w:pPr>
        <w:spacing w:after="0" w:line="298" w:lineRule="auto"/>
        <w:ind w:firstLine="706"/>
        <w:jc w:val="both"/>
        <w:rPr>
          <w:rFonts w:ascii="Book Antiqua" w:eastAsia="Calibri" w:hAnsi="Book Antiqua" w:cs="Times New Roman"/>
          <w:kern w:val="0"/>
          <w14:ligatures w14:val="none"/>
        </w:rPr>
      </w:pPr>
      <w:r w:rsidRPr="00F84C36">
        <w:rPr>
          <w:rFonts w:ascii="Book Antiqua" w:eastAsia="Calibri" w:hAnsi="Book Antiqua" w:cs="Times New Roman"/>
          <w:kern w:val="0"/>
          <w14:ligatures w14:val="none"/>
        </w:rPr>
        <w:t>P</w:t>
      </w:r>
      <w:r w:rsidR="00CB4BCC" w:rsidRPr="00F84C36">
        <w:rPr>
          <w:rFonts w:ascii="Book Antiqua" w:eastAsia="Calibri" w:hAnsi="Book Antiqua" w:cs="Times New Roman"/>
          <w:kern w:val="0"/>
          <w14:ligatures w14:val="none"/>
        </w:rPr>
        <w:t>revi</w:t>
      </w:r>
      <w:r w:rsidR="00B41268" w:rsidRPr="00F84C36">
        <w:rPr>
          <w:rFonts w:ascii="Book Antiqua" w:eastAsia="Calibri" w:hAnsi="Book Antiqua" w:cs="Times New Roman"/>
          <w:kern w:val="0"/>
          <w14:ligatures w14:val="none"/>
        </w:rPr>
        <w:t>a</w:t>
      </w:r>
      <w:r w:rsidR="00CB4BCC" w:rsidRPr="00F84C36">
        <w:rPr>
          <w:rFonts w:ascii="Book Antiqua" w:eastAsia="Calibri" w:hAnsi="Book Antiqua" w:cs="Times New Roman"/>
          <w:kern w:val="0"/>
          <w14:ligatures w14:val="none"/>
        </w:rPr>
        <w:t xml:space="preserve"> consideración y evaluación</w:t>
      </w:r>
      <w:r w:rsidR="00CC270A" w:rsidRPr="00F84C36">
        <w:rPr>
          <w:rFonts w:ascii="Book Antiqua" w:eastAsia="Calibri" w:hAnsi="Book Antiqua" w:cs="Times New Roman"/>
          <w:kern w:val="0"/>
          <w14:ligatures w14:val="none"/>
        </w:rPr>
        <w:t xml:space="preserve"> del Proyecto de la Cámara </w:t>
      </w:r>
      <w:r w:rsidR="007C0447" w:rsidRPr="00F84C36">
        <w:rPr>
          <w:rFonts w:ascii="Book Antiqua" w:eastAsia="Calibri" w:hAnsi="Book Antiqua" w:cs="Times New Roman"/>
          <w:kern w:val="0"/>
          <w14:ligatures w14:val="none"/>
        </w:rPr>
        <w:t>321</w:t>
      </w:r>
      <w:r w:rsidR="00171D05" w:rsidRPr="00F84C36">
        <w:rPr>
          <w:rFonts w:ascii="Book Antiqua" w:eastAsia="Calibri" w:hAnsi="Book Antiqua" w:cs="Times New Roman"/>
          <w:kern w:val="0"/>
          <w14:ligatures w14:val="none"/>
        </w:rPr>
        <w:t xml:space="preserve"> (P. de la C. 321)</w:t>
      </w:r>
      <w:r w:rsidR="00CB4BCC" w:rsidRPr="00F84C36">
        <w:rPr>
          <w:rFonts w:ascii="Book Antiqua" w:eastAsia="Calibri" w:hAnsi="Book Antiqua" w:cs="Times New Roman"/>
          <w:kern w:val="0"/>
          <w14:ligatures w14:val="none"/>
        </w:rPr>
        <w:t xml:space="preserve">, </w:t>
      </w:r>
      <w:r w:rsidRPr="00F84C36">
        <w:rPr>
          <w:rFonts w:ascii="Book Antiqua" w:eastAsia="Calibri" w:hAnsi="Book Antiqua" w:cs="Times New Roman"/>
          <w:kern w:val="0"/>
          <w14:ligatures w14:val="none"/>
        </w:rPr>
        <w:t xml:space="preserve">la Comisión de lo Jurídico de la Cámara de Representantes de Puerto Rico </w:t>
      </w:r>
      <w:r w:rsidR="00CB4BCC" w:rsidRPr="00F84C36">
        <w:rPr>
          <w:rFonts w:ascii="Book Antiqua" w:eastAsia="Calibri" w:hAnsi="Book Antiqua" w:cs="Times New Roman"/>
          <w:kern w:val="0"/>
          <w14:ligatures w14:val="none"/>
        </w:rPr>
        <w:t xml:space="preserve">recomienda </w:t>
      </w:r>
      <w:r w:rsidR="00CC270A" w:rsidRPr="00F84C36">
        <w:rPr>
          <w:rFonts w:ascii="Book Antiqua" w:eastAsia="Calibri" w:hAnsi="Book Antiqua" w:cs="Times New Roman"/>
          <w:kern w:val="0"/>
          <w14:ligatures w14:val="none"/>
        </w:rPr>
        <w:t>su</w:t>
      </w:r>
      <w:r w:rsidR="00CB4BCC" w:rsidRPr="00F84C36">
        <w:rPr>
          <w:rFonts w:ascii="Book Antiqua" w:eastAsia="Calibri" w:hAnsi="Book Antiqua" w:cs="Times New Roman"/>
          <w:kern w:val="0"/>
          <w14:ligatures w14:val="none"/>
        </w:rPr>
        <w:t xml:space="preserve"> aprobación</w:t>
      </w:r>
      <w:r w:rsidR="00CB4BCC" w:rsidRPr="00F84C36">
        <w:rPr>
          <w:rFonts w:ascii="Book Antiqua" w:eastAsia="Calibri" w:hAnsi="Book Antiqua" w:cs="Times New Roman"/>
          <w:b/>
          <w:bCs/>
          <w:i/>
          <w:iCs/>
          <w:kern w:val="0"/>
          <w14:ligatures w14:val="none"/>
        </w:rPr>
        <w:t xml:space="preserve"> </w:t>
      </w:r>
      <w:r w:rsidR="000177B6" w:rsidRPr="00F84C36">
        <w:rPr>
          <w:rFonts w:ascii="Book Antiqua" w:eastAsia="Calibri" w:hAnsi="Book Antiqua" w:cs="Times New Roman"/>
          <w:kern w:val="0"/>
          <w14:ligatures w14:val="none"/>
        </w:rPr>
        <w:t>con las enmiendas incluidas en el entirillado electrónico que acompaña</w:t>
      </w:r>
      <w:r w:rsidR="00B41268" w:rsidRPr="00F84C36">
        <w:rPr>
          <w:rFonts w:ascii="Book Antiqua" w:eastAsia="Calibri" w:hAnsi="Book Antiqua" w:cs="Times New Roman"/>
          <w:kern w:val="0"/>
          <w14:ligatures w14:val="none"/>
        </w:rPr>
        <w:t xml:space="preserve"> a este informe y que se hace</w:t>
      </w:r>
      <w:r w:rsidR="004E696C" w:rsidRPr="00F84C36">
        <w:rPr>
          <w:rFonts w:ascii="Book Antiqua" w:eastAsia="Calibri" w:hAnsi="Book Antiqua" w:cs="Times New Roman"/>
          <w:kern w:val="0"/>
          <w14:ligatures w14:val="none"/>
        </w:rPr>
        <w:t>n</w:t>
      </w:r>
      <w:r w:rsidR="00B41268" w:rsidRPr="00F84C36">
        <w:rPr>
          <w:rFonts w:ascii="Book Antiqua" w:eastAsia="Calibri" w:hAnsi="Book Antiqua" w:cs="Times New Roman"/>
          <w:kern w:val="0"/>
          <w14:ligatures w14:val="none"/>
        </w:rPr>
        <w:t xml:space="preserve"> formar parte </w:t>
      </w:r>
      <w:r w:rsidR="00B95B73" w:rsidRPr="00F84C36">
        <w:rPr>
          <w:rFonts w:ascii="Book Antiqua" w:eastAsia="Calibri" w:hAnsi="Book Antiqua" w:cs="Times New Roman"/>
          <w:kern w:val="0"/>
          <w14:ligatures w14:val="none"/>
        </w:rPr>
        <w:t xml:space="preserve">de </w:t>
      </w:r>
      <w:r w:rsidR="004E696C" w:rsidRPr="00F84C36">
        <w:rPr>
          <w:rFonts w:ascii="Book Antiqua" w:eastAsia="Calibri" w:hAnsi="Book Antiqua" w:cs="Times New Roman"/>
          <w:kern w:val="0"/>
          <w14:ligatures w14:val="none"/>
        </w:rPr>
        <w:t>é</w:t>
      </w:r>
      <w:r w:rsidR="00B95B73" w:rsidRPr="00F84C36">
        <w:rPr>
          <w:rFonts w:ascii="Book Antiqua" w:eastAsia="Calibri" w:hAnsi="Book Antiqua" w:cs="Times New Roman"/>
          <w:kern w:val="0"/>
          <w14:ligatures w14:val="none"/>
        </w:rPr>
        <w:t>ste</w:t>
      </w:r>
      <w:r w:rsidR="000177B6" w:rsidRPr="00F84C36">
        <w:rPr>
          <w:rFonts w:ascii="Book Antiqua" w:eastAsia="Calibri" w:hAnsi="Book Antiqua" w:cs="Times New Roman"/>
          <w:kern w:val="0"/>
          <w14:ligatures w14:val="none"/>
        </w:rPr>
        <w:t>.</w:t>
      </w:r>
    </w:p>
    <w:p w14:paraId="68CA0140" w14:textId="77777777" w:rsidR="00E242D8" w:rsidRPr="00F84C36" w:rsidRDefault="00E242D8" w:rsidP="004A5C02">
      <w:pPr>
        <w:spacing w:after="0" w:line="298" w:lineRule="auto"/>
        <w:ind w:firstLine="706"/>
        <w:jc w:val="both"/>
        <w:rPr>
          <w:rFonts w:ascii="Book Antiqua" w:eastAsia="Calibri" w:hAnsi="Book Antiqua" w:cs="Times New Roman"/>
          <w:kern w:val="0"/>
          <w14:ligatures w14:val="none"/>
        </w:rPr>
      </w:pPr>
    </w:p>
    <w:p w14:paraId="083C6F99" w14:textId="688F937E" w:rsidR="00D93876" w:rsidRPr="00F84C36" w:rsidRDefault="00CB4BCC" w:rsidP="001A261F">
      <w:pPr>
        <w:spacing w:after="0" w:line="360" w:lineRule="auto"/>
        <w:jc w:val="center"/>
        <w:rPr>
          <w:rFonts w:ascii="Book Antiqua" w:eastAsia="Calibri" w:hAnsi="Book Antiqua" w:cs="Times New Roman"/>
          <w:b/>
          <w:bCs/>
          <w:spacing w:val="12"/>
          <w:kern w:val="0"/>
          <w14:ligatures w14:val="none"/>
        </w:rPr>
      </w:pPr>
      <w:r w:rsidRPr="00F84C36">
        <w:rPr>
          <w:rFonts w:ascii="Book Antiqua" w:eastAsia="Calibri" w:hAnsi="Book Antiqua" w:cs="Times New Roman"/>
          <w:b/>
          <w:bCs/>
          <w:spacing w:val="12"/>
          <w:kern w:val="0"/>
          <w14:ligatures w14:val="none"/>
        </w:rPr>
        <w:t>ALCANCE DE LA MEDIDA</w:t>
      </w:r>
    </w:p>
    <w:p w14:paraId="363E029D" w14:textId="317F910A" w:rsidR="000C18F3" w:rsidRPr="00F84C36" w:rsidRDefault="00D93876" w:rsidP="00171D05">
      <w:pPr>
        <w:spacing w:after="0" w:line="298" w:lineRule="auto"/>
        <w:ind w:firstLine="706"/>
        <w:jc w:val="both"/>
        <w:rPr>
          <w:rFonts w:ascii="Book Antiqua" w:hAnsi="Book Antiqua"/>
          <w:shd w:val="clear" w:color="auto" w:fill="FFFFFF"/>
        </w:rPr>
      </w:pPr>
      <w:r w:rsidRPr="00F84C36">
        <w:rPr>
          <w:rFonts w:ascii="Book Antiqua" w:eastAsia="Times New Roman" w:hAnsi="Book Antiqua" w:cs="Arial"/>
          <w:kern w:val="0"/>
          <w14:ligatures w14:val="none"/>
        </w:rPr>
        <w:t xml:space="preserve">El P. de la C. </w:t>
      </w:r>
      <w:r w:rsidR="007C0447" w:rsidRPr="00F84C36">
        <w:rPr>
          <w:rFonts w:ascii="Book Antiqua" w:eastAsia="Times New Roman" w:hAnsi="Book Antiqua" w:cs="Arial"/>
          <w:kern w:val="0"/>
          <w14:ligatures w14:val="none"/>
        </w:rPr>
        <w:t>321</w:t>
      </w:r>
      <w:r w:rsidRPr="00F84C36">
        <w:rPr>
          <w:rFonts w:ascii="Book Antiqua" w:eastAsia="Times New Roman" w:hAnsi="Book Antiqua" w:cs="Arial"/>
          <w:kern w:val="0"/>
          <w14:ligatures w14:val="none"/>
        </w:rPr>
        <w:t xml:space="preserve">, propone </w:t>
      </w:r>
      <w:r w:rsidR="00171D05" w:rsidRPr="00F84C36">
        <w:rPr>
          <w:rFonts w:ascii="Book Antiqua" w:eastAsia="Times New Roman" w:hAnsi="Book Antiqua" w:cs="Arial"/>
          <w:kern w:val="0"/>
          <w14:ligatures w14:val="none"/>
        </w:rPr>
        <w:t xml:space="preserve">crear la </w:t>
      </w:r>
      <w:r w:rsidR="00171D05" w:rsidRPr="00F84C36">
        <w:rPr>
          <w:rFonts w:ascii="Book Antiqua" w:hAnsi="Book Antiqua"/>
        </w:rPr>
        <w:t>“</w:t>
      </w:r>
      <w:r w:rsidR="00A006A6" w:rsidRPr="002236D8">
        <w:rPr>
          <w:rFonts w:ascii="Book Antiqua" w:hAnsi="Book Antiqua"/>
        </w:rPr>
        <w:t xml:space="preserve">Ley para hacer </w:t>
      </w:r>
      <w:r w:rsidR="00A006A6">
        <w:rPr>
          <w:rFonts w:ascii="Book Antiqua" w:hAnsi="Book Antiqua"/>
        </w:rPr>
        <w:t>J</w:t>
      </w:r>
      <w:r w:rsidR="00A006A6" w:rsidRPr="002236D8">
        <w:rPr>
          <w:rFonts w:ascii="Book Antiqua" w:hAnsi="Book Antiqua"/>
        </w:rPr>
        <w:t xml:space="preserve">usticia a las </w:t>
      </w:r>
      <w:r w:rsidR="00A006A6">
        <w:rPr>
          <w:rFonts w:ascii="Book Antiqua" w:hAnsi="Book Antiqua"/>
        </w:rPr>
        <w:t>V</w:t>
      </w:r>
      <w:r w:rsidR="00A006A6" w:rsidRPr="002236D8">
        <w:rPr>
          <w:rFonts w:ascii="Book Antiqua" w:hAnsi="Book Antiqua"/>
        </w:rPr>
        <w:t xml:space="preserve">íctimas de </w:t>
      </w:r>
      <w:r w:rsidR="00A006A6">
        <w:rPr>
          <w:rFonts w:ascii="Book Antiqua" w:hAnsi="Book Antiqua"/>
        </w:rPr>
        <w:t>C</w:t>
      </w:r>
      <w:r w:rsidR="00A006A6" w:rsidRPr="00A006A6">
        <w:rPr>
          <w:rFonts w:ascii="Book Antiqua" w:hAnsi="Book Antiqua"/>
        </w:rPr>
        <w:t>onductores</w:t>
      </w:r>
      <w:r w:rsidR="00A006A6" w:rsidRPr="002236D8">
        <w:rPr>
          <w:rFonts w:ascii="Book Antiqua" w:hAnsi="Book Antiqua"/>
        </w:rPr>
        <w:t xml:space="preserve"> bajo estado de </w:t>
      </w:r>
      <w:r w:rsidR="00A006A6">
        <w:rPr>
          <w:rFonts w:ascii="Book Antiqua" w:hAnsi="Book Antiqua"/>
        </w:rPr>
        <w:t>E</w:t>
      </w:r>
      <w:r w:rsidR="00A006A6" w:rsidRPr="002236D8">
        <w:rPr>
          <w:rFonts w:ascii="Book Antiqua" w:hAnsi="Book Antiqua"/>
        </w:rPr>
        <w:t xml:space="preserve">mbriaguez y otras </w:t>
      </w:r>
      <w:r w:rsidR="00A006A6">
        <w:rPr>
          <w:rFonts w:ascii="Book Antiqua" w:hAnsi="Book Antiqua"/>
        </w:rPr>
        <w:t>S</w:t>
      </w:r>
      <w:r w:rsidR="00A006A6" w:rsidRPr="002236D8">
        <w:rPr>
          <w:rFonts w:ascii="Book Antiqua" w:hAnsi="Book Antiqua"/>
        </w:rPr>
        <w:t xml:space="preserve">ustancias </w:t>
      </w:r>
      <w:r w:rsidR="00A006A6">
        <w:rPr>
          <w:rFonts w:ascii="Book Antiqua" w:hAnsi="Book Antiqua"/>
        </w:rPr>
        <w:t>C</w:t>
      </w:r>
      <w:r w:rsidR="00A006A6" w:rsidRPr="002236D8">
        <w:rPr>
          <w:rFonts w:ascii="Book Antiqua" w:hAnsi="Book Antiqua"/>
        </w:rPr>
        <w:t>ontroladas</w:t>
      </w:r>
      <w:r w:rsidR="00171D05" w:rsidRPr="00F84C36">
        <w:rPr>
          <w:rFonts w:ascii="Book Antiqua" w:hAnsi="Book Antiqua"/>
        </w:rPr>
        <w:t>”</w:t>
      </w:r>
      <w:r w:rsidR="00A006A6">
        <w:rPr>
          <w:rStyle w:val="FootnoteReference"/>
          <w:rFonts w:ascii="Book Antiqua" w:hAnsi="Book Antiqua"/>
        </w:rPr>
        <w:footnoteReference w:id="1"/>
      </w:r>
      <w:r w:rsidR="00171D05" w:rsidRPr="00F84C36">
        <w:rPr>
          <w:rFonts w:ascii="Book Antiqua" w:hAnsi="Book Antiqua"/>
        </w:rPr>
        <w:t>. Con ésta, se enmendará la</w:t>
      </w:r>
      <w:r w:rsidRPr="00F84C36">
        <w:rPr>
          <w:rFonts w:ascii="Book Antiqua" w:hAnsi="Book Antiqua"/>
          <w:color w:val="000000"/>
        </w:rPr>
        <w:t xml:space="preserve"> </w:t>
      </w:r>
      <w:r w:rsidR="007C0447" w:rsidRPr="00F84C36">
        <w:rPr>
          <w:rFonts w:ascii="Book Antiqua" w:hAnsi="Book Antiqua"/>
        </w:rPr>
        <w:t>Ley de Sentencia Suspendida y Libertad a Prueba</w:t>
      </w:r>
      <w:r w:rsidRPr="00F84C36">
        <w:rPr>
          <w:rFonts w:ascii="Book Antiqua" w:hAnsi="Book Antiqua"/>
          <w:color w:val="000000"/>
        </w:rPr>
        <w:t>, con el propósito de</w:t>
      </w:r>
      <w:r w:rsidR="007C0447" w:rsidRPr="00F84C36">
        <w:rPr>
          <w:rFonts w:ascii="Book Antiqua" w:hAnsi="Book Antiqua"/>
        </w:rPr>
        <w:t xml:space="preserve"> imponer sentencia de reclusión en todo caso de delito grave </w:t>
      </w:r>
      <w:r w:rsidR="003A543A" w:rsidRPr="00F84C36">
        <w:rPr>
          <w:rFonts w:ascii="Book Antiqua" w:hAnsi="Book Antiqua"/>
        </w:rPr>
        <w:t>o</w:t>
      </w:r>
      <w:r w:rsidR="007C0447" w:rsidRPr="00F84C36">
        <w:rPr>
          <w:rFonts w:ascii="Book Antiqua" w:hAnsi="Book Antiqua"/>
        </w:rPr>
        <w:t xml:space="preserve"> menos grave que surja de los mismos hechos o de la misma transacción en la que una persona sea convicta de c</w:t>
      </w:r>
      <w:r w:rsidR="007C0447" w:rsidRPr="00F84C36">
        <w:rPr>
          <w:rFonts w:ascii="Book Antiqua" w:hAnsi="Book Antiqua"/>
          <w:color w:val="000000"/>
        </w:rPr>
        <w:t>onducir un vehículo, vehículo de motor o vehículo todo terreno</w:t>
      </w:r>
      <w:r w:rsidR="003A543A" w:rsidRPr="00F84C36">
        <w:rPr>
          <w:rFonts w:ascii="Book Antiqua" w:hAnsi="Book Antiqua"/>
          <w:color w:val="000000"/>
        </w:rPr>
        <w:t>,</w:t>
      </w:r>
      <w:r w:rsidR="007C0447" w:rsidRPr="00F84C36">
        <w:rPr>
          <w:rFonts w:ascii="Book Antiqua" w:hAnsi="Book Antiqua"/>
          <w:color w:val="000000"/>
        </w:rPr>
        <w:t xml:space="preserve"> bajo los efectos de bebidas embriagantes, drogas o sustancias controladas.</w:t>
      </w:r>
      <w:r w:rsidR="000C18F3" w:rsidRPr="00F84C36">
        <w:rPr>
          <w:rFonts w:ascii="Book Antiqua" w:hAnsi="Book Antiqua"/>
          <w:color w:val="000000"/>
        </w:rPr>
        <w:t xml:space="preserve">  Ello, con el fin urgente de “</w:t>
      </w:r>
      <w:r w:rsidR="000C18F3" w:rsidRPr="00F84C36">
        <w:rPr>
          <w:rFonts w:ascii="Book Antiqua" w:hAnsi="Book Antiqua"/>
          <w:shd w:val="clear" w:color="auto" w:fill="FFFFFF"/>
        </w:rPr>
        <w:t xml:space="preserve">fortalecer las leyes y medidas de prevención contra la conducción en estado de embriaguez, un problema que continúa cobrando vidas inocentes en nuestras carreteras y deja un profundo impacto en la sociedad puertorriqueña y asegurar que tragedias como </w:t>
      </w:r>
      <w:r w:rsidR="000C18F3" w:rsidRPr="002236D8">
        <w:rPr>
          <w:rFonts w:ascii="Book Antiqua" w:hAnsi="Book Antiqua"/>
          <w:shd w:val="clear" w:color="auto" w:fill="FFFFFF"/>
        </w:rPr>
        <w:t>e</w:t>
      </w:r>
      <w:r w:rsidR="000C18F3" w:rsidRPr="00593F67">
        <w:rPr>
          <w:rFonts w:ascii="Book Antiqua" w:hAnsi="Book Antiqua"/>
          <w:shd w:val="clear" w:color="auto" w:fill="FFFFFF"/>
        </w:rPr>
        <w:t>s</w:t>
      </w:r>
      <w:r w:rsidR="000C18F3" w:rsidRPr="00F84C36">
        <w:rPr>
          <w:rFonts w:ascii="Book Antiqua" w:hAnsi="Book Antiqua"/>
          <w:shd w:val="clear" w:color="auto" w:fill="FFFFFF"/>
        </w:rPr>
        <w:t>ta no se repitan”.</w:t>
      </w:r>
      <w:r w:rsidR="000C18F3" w:rsidRPr="00F84C36">
        <w:rPr>
          <w:rStyle w:val="FootnoteReference"/>
          <w:rFonts w:ascii="Book Antiqua" w:hAnsi="Book Antiqua"/>
          <w:shd w:val="clear" w:color="auto" w:fill="FFFFFF"/>
        </w:rPr>
        <w:footnoteReference w:id="2"/>
      </w:r>
    </w:p>
    <w:p w14:paraId="7F31745F" w14:textId="0079A7F3" w:rsidR="00B67635" w:rsidRPr="00F84C36" w:rsidRDefault="00171D05" w:rsidP="00B67635">
      <w:pPr>
        <w:spacing w:after="0" w:line="298" w:lineRule="auto"/>
        <w:ind w:firstLine="706"/>
        <w:jc w:val="both"/>
        <w:rPr>
          <w:rFonts w:ascii="Book Antiqua" w:hAnsi="Book Antiqua"/>
          <w:shd w:val="clear" w:color="auto" w:fill="FFFFFF"/>
        </w:rPr>
      </w:pPr>
      <w:r w:rsidRPr="00F84C36">
        <w:rPr>
          <w:rFonts w:ascii="Book Antiqua" w:hAnsi="Book Antiqua"/>
          <w:shd w:val="clear" w:color="auto" w:fill="FFFFFF"/>
        </w:rPr>
        <w:lastRenderedPageBreak/>
        <w:t>Pero esta pieza legislativa va mucho más allá que</w:t>
      </w:r>
      <w:r w:rsidR="00FA42E2" w:rsidRPr="00F84C36">
        <w:rPr>
          <w:rFonts w:ascii="Book Antiqua" w:hAnsi="Book Antiqua"/>
          <w:shd w:val="clear" w:color="auto" w:fill="FFFFFF"/>
        </w:rPr>
        <w:t xml:space="preserve"> simplemente procurar uniformar la citada Ley de Sentencia Suspendida</w:t>
      </w:r>
      <w:r w:rsidR="00B67635" w:rsidRPr="00F84C36">
        <w:rPr>
          <w:rFonts w:ascii="Book Antiqua" w:hAnsi="Book Antiqua"/>
          <w:shd w:val="clear" w:color="auto" w:fill="FFFFFF"/>
        </w:rPr>
        <w:t xml:space="preserve"> y Libertad a Prueba</w:t>
      </w:r>
      <w:r w:rsidR="00FA42E2" w:rsidRPr="00F84C36">
        <w:rPr>
          <w:rFonts w:ascii="Book Antiqua" w:hAnsi="Book Antiqua"/>
          <w:shd w:val="clear" w:color="auto" w:fill="FFFFFF"/>
        </w:rPr>
        <w:t xml:space="preserve"> a lo que ya dispone la </w:t>
      </w:r>
      <w:r w:rsidR="00FA42E2" w:rsidRPr="002236D8">
        <w:rPr>
          <w:rFonts w:ascii="Book Antiqua" w:hAnsi="Book Antiqua"/>
          <w:shd w:val="clear" w:color="auto" w:fill="FFFFFF"/>
        </w:rPr>
        <w:t>Ley de Vehículos y Tránsito</w:t>
      </w:r>
      <w:r w:rsidR="00DF22F6">
        <w:rPr>
          <w:rFonts w:ascii="Book Antiqua" w:hAnsi="Book Antiqua"/>
          <w:shd w:val="clear" w:color="auto" w:fill="FFFFFF"/>
        </w:rPr>
        <w:t>, Ley 22-2000, según enmendada</w:t>
      </w:r>
      <w:r w:rsidR="00FA42E2" w:rsidRPr="00F84C36">
        <w:rPr>
          <w:rFonts w:ascii="Book Antiqua" w:hAnsi="Book Antiqua"/>
          <w:shd w:val="clear" w:color="auto" w:fill="FFFFFF"/>
        </w:rPr>
        <w:t xml:space="preserve">, pues lo que busca es hacer una reafirmación en nuestra política pública actual </w:t>
      </w:r>
      <w:r w:rsidR="00B67635" w:rsidRPr="00F84C36">
        <w:rPr>
          <w:rFonts w:ascii="Book Antiqua" w:hAnsi="Book Antiqua"/>
          <w:shd w:val="clear" w:color="auto" w:fill="FFFFFF"/>
        </w:rPr>
        <w:t xml:space="preserve">en el sentido </w:t>
      </w:r>
      <w:r w:rsidR="00FA42E2" w:rsidRPr="00F84C36">
        <w:rPr>
          <w:rFonts w:ascii="Book Antiqua" w:hAnsi="Book Antiqua"/>
          <w:shd w:val="clear" w:color="auto" w:fill="FFFFFF"/>
        </w:rPr>
        <w:t xml:space="preserve">de que </w:t>
      </w:r>
      <w:r w:rsidR="00B67635" w:rsidRPr="00F84C36">
        <w:rPr>
          <w:rFonts w:ascii="Book Antiqua" w:hAnsi="Book Antiqua"/>
          <w:shd w:val="clear" w:color="auto" w:fill="FFFFFF"/>
        </w:rPr>
        <w:t xml:space="preserve">debe pagar con la privación de su libertad, </w:t>
      </w:r>
      <w:r w:rsidR="00FA42E2" w:rsidRPr="00F84C36">
        <w:rPr>
          <w:rFonts w:ascii="Book Antiqua" w:hAnsi="Book Antiqua"/>
          <w:shd w:val="clear" w:color="auto" w:fill="FFFFFF"/>
        </w:rPr>
        <w:t xml:space="preserve">la persona que le provoque la muerte a otra, por la negligencia de conducir un vehículo de motor en estado de embriaguez; negligencia de tal grado, que </w:t>
      </w:r>
      <w:r w:rsidR="003435EA">
        <w:rPr>
          <w:rFonts w:ascii="Book Antiqua" w:hAnsi="Book Antiqua"/>
          <w:shd w:val="clear" w:color="auto" w:fill="FFFFFF"/>
        </w:rPr>
        <w:t>se cons</w:t>
      </w:r>
      <w:r w:rsidR="00526E3D">
        <w:rPr>
          <w:rFonts w:ascii="Book Antiqua" w:hAnsi="Book Antiqua"/>
          <w:shd w:val="clear" w:color="auto" w:fill="FFFFFF"/>
        </w:rPr>
        <w:t xml:space="preserve">idera dicha </w:t>
      </w:r>
      <w:r w:rsidR="00FA42E2" w:rsidRPr="00F84C36">
        <w:rPr>
          <w:rFonts w:ascii="Book Antiqua" w:hAnsi="Book Antiqua"/>
          <w:shd w:val="clear" w:color="auto" w:fill="FFFFFF"/>
        </w:rPr>
        <w:t xml:space="preserve"> conducta como </w:t>
      </w:r>
      <w:r w:rsidR="00526E3D">
        <w:rPr>
          <w:rFonts w:ascii="Book Antiqua" w:hAnsi="Book Antiqua"/>
          <w:shd w:val="clear" w:color="auto" w:fill="FFFFFF"/>
        </w:rPr>
        <w:t xml:space="preserve">una de naturaleza </w:t>
      </w:r>
      <w:r w:rsidR="00FA42E2" w:rsidRPr="00F84C36">
        <w:rPr>
          <w:rFonts w:ascii="Book Antiqua" w:hAnsi="Book Antiqua"/>
          <w:shd w:val="clear" w:color="auto" w:fill="FFFFFF"/>
        </w:rPr>
        <w:t>criminal. Por lo tanto,</w:t>
      </w:r>
      <w:r w:rsidR="00B67635" w:rsidRPr="00F84C36">
        <w:rPr>
          <w:rFonts w:ascii="Book Antiqua" w:hAnsi="Book Antiqua"/>
          <w:shd w:val="clear" w:color="auto" w:fill="FFFFFF"/>
        </w:rPr>
        <w:t xml:space="preserve"> este proyecto </w:t>
      </w:r>
      <w:r w:rsidR="005A2049">
        <w:rPr>
          <w:rFonts w:ascii="Book Antiqua" w:hAnsi="Book Antiqua"/>
          <w:shd w:val="clear" w:color="auto" w:fill="FFFFFF"/>
        </w:rPr>
        <w:t>persigue reafirmar</w:t>
      </w:r>
      <w:r w:rsidR="005A2049" w:rsidRPr="00F84C36">
        <w:rPr>
          <w:rFonts w:ascii="Book Antiqua" w:hAnsi="Book Antiqua"/>
          <w:shd w:val="clear" w:color="auto" w:fill="FFFFFF"/>
        </w:rPr>
        <w:t xml:space="preserve"> </w:t>
      </w:r>
      <w:r w:rsidR="00607753">
        <w:rPr>
          <w:rFonts w:ascii="Book Antiqua" w:hAnsi="Book Antiqua"/>
          <w:shd w:val="clear" w:color="auto" w:fill="FFFFFF"/>
        </w:rPr>
        <w:t>la voluntad de esta Asamblea Legislativa</w:t>
      </w:r>
      <w:r w:rsidR="00FA42E2" w:rsidRPr="00F84C36">
        <w:rPr>
          <w:rFonts w:ascii="Book Antiqua" w:hAnsi="Book Antiqua"/>
          <w:shd w:val="clear" w:color="auto" w:fill="FFFFFF"/>
        </w:rPr>
        <w:t xml:space="preserve"> de que las personas sentenciadas por estos </w:t>
      </w:r>
      <w:r w:rsidR="00A31858" w:rsidRPr="00F84C36">
        <w:rPr>
          <w:rFonts w:ascii="Book Antiqua" w:hAnsi="Book Antiqua"/>
          <w:shd w:val="clear" w:color="auto" w:fill="FFFFFF"/>
        </w:rPr>
        <w:t>hechos</w:t>
      </w:r>
      <w:r w:rsidR="00FA42E2" w:rsidRPr="00F84C36">
        <w:rPr>
          <w:rFonts w:ascii="Book Antiqua" w:hAnsi="Book Antiqua"/>
          <w:shd w:val="clear" w:color="auto" w:fill="FFFFFF"/>
        </w:rPr>
        <w:t xml:space="preserve"> no puedan </w:t>
      </w:r>
      <w:r w:rsidR="000A762F">
        <w:rPr>
          <w:rFonts w:ascii="Book Antiqua" w:hAnsi="Book Antiqua"/>
          <w:shd w:val="clear" w:color="auto" w:fill="FFFFFF"/>
        </w:rPr>
        <w:t>estar</w:t>
      </w:r>
      <w:r w:rsidR="000A762F" w:rsidRPr="00F84C36">
        <w:rPr>
          <w:rFonts w:ascii="Book Antiqua" w:hAnsi="Book Antiqua"/>
          <w:shd w:val="clear" w:color="auto" w:fill="FFFFFF"/>
        </w:rPr>
        <w:t xml:space="preserve"> </w:t>
      </w:r>
      <w:r w:rsidR="00FA42E2" w:rsidRPr="00F84C36">
        <w:rPr>
          <w:rFonts w:ascii="Book Antiqua" w:hAnsi="Book Antiqua"/>
          <w:shd w:val="clear" w:color="auto" w:fill="FFFFFF"/>
        </w:rPr>
        <w:t xml:space="preserve">sujeto de privilegios de sentencia suspendida, ni de </w:t>
      </w:r>
      <w:r w:rsidR="00B67635" w:rsidRPr="00F84C36">
        <w:rPr>
          <w:rFonts w:ascii="Book Antiqua" w:hAnsi="Book Antiqua"/>
          <w:shd w:val="clear" w:color="auto" w:fill="FFFFFF"/>
        </w:rPr>
        <w:t xml:space="preserve">libertad bajo palabra. </w:t>
      </w:r>
    </w:p>
    <w:p w14:paraId="68F4BAAD" w14:textId="77777777" w:rsidR="00B67635" w:rsidRPr="00F84C36" w:rsidRDefault="00B67635" w:rsidP="00B67635">
      <w:pPr>
        <w:spacing w:after="0" w:line="298" w:lineRule="auto"/>
        <w:ind w:firstLine="706"/>
        <w:jc w:val="both"/>
        <w:rPr>
          <w:rFonts w:ascii="Book Antiqua" w:hAnsi="Book Antiqua"/>
          <w:shd w:val="clear" w:color="auto" w:fill="FFFFFF"/>
        </w:rPr>
      </w:pPr>
    </w:p>
    <w:p w14:paraId="0C6A2021" w14:textId="77777777" w:rsidR="00B67635" w:rsidRPr="00F84C36" w:rsidRDefault="00B67635" w:rsidP="00B67635">
      <w:pPr>
        <w:spacing w:after="0" w:line="240" w:lineRule="auto"/>
        <w:jc w:val="center"/>
        <w:rPr>
          <w:rFonts w:ascii="Book Antiqua" w:eastAsia="Times New Roman" w:hAnsi="Book Antiqua" w:cs="Times New Roman"/>
          <w:b/>
          <w:bCs/>
          <w:spacing w:val="12"/>
          <w:kern w:val="0"/>
          <w14:ligatures w14:val="none"/>
        </w:rPr>
      </w:pPr>
      <w:r w:rsidRPr="00F84C36">
        <w:rPr>
          <w:rFonts w:ascii="Book Antiqua" w:eastAsia="Times New Roman" w:hAnsi="Book Antiqua" w:cs="Times New Roman"/>
          <w:b/>
          <w:bCs/>
          <w:spacing w:val="12"/>
          <w:kern w:val="0"/>
          <w14:ligatures w14:val="none"/>
        </w:rPr>
        <w:t>TRASFONDO</w:t>
      </w:r>
    </w:p>
    <w:p w14:paraId="423CFF2C" w14:textId="0FAA777C" w:rsidR="001A1EDF" w:rsidRPr="00F84C36" w:rsidRDefault="00171D05" w:rsidP="00B67635">
      <w:pPr>
        <w:spacing w:after="0" w:line="298" w:lineRule="auto"/>
        <w:ind w:firstLine="706"/>
        <w:jc w:val="both"/>
        <w:rPr>
          <w:rFonts w:ascii="Book Antiqua" w:hAnsi="Book Antiqua"/>
        </w:rPr>
      </w:pPr>
      <w:r w:rsidRPr="00F84C36">
        <w:rPr>
          <w:rFonts w:ascii="Book Antiqua" w:hAnsi="Book Antiqua"/>
        </w:rPr>
        <w:t xml:space="preserve">El 12 de septiembre de 2024, durante horas de la tarde se pronunciaron las siguientes palabras en un tribunal en Puerto Rico, las cuales resuenan todavía en la mente </w:t>
      </w:r>
      <w:r w:rsidR="00071AFA" w:rsidRPr="00F84C36">
        <w:rPr>
          <w:rFonts w:ascii="Book Antiqua" w:hAnsi="Book Antiqua"/>
        </w:rPr>
        <w:t>colectiva de nuestro Pueblo:</w:t>
      </w:r>
    </w:p>
    <w:p w14:paraId="41C0F767" w14:textId="77777777" w:rsidR="00DA437E" w:rsidRPr="00F84C36" w:rsidRDefault="00DA437E" w:rsidP="001A1EDF">
      <w:pPr>
        <w:pStyle w:val="NormalWeb"/>
        <w:spacing w:before="0" w:beforeAutospacing="0" w:after="0" w:afterAutospacing="0"/>
        <w:ind w:left="720" w:right="720" w:firstLine="720"/>
        <w:jc w:val="both"/>
        <w:rPr>
          <w:rFonts w:ascii="Book Antiqua" w:hAnsi="Book Antiqua"/>
        </w:rPr>
      </w:pPr>
    </w:p>
    <w:p w14:paraId="4961B9AF" w14:textId="4F6C46C9" w:rsidR="00171D05" w:rsidRPr="001A2630" w:rsidRDefault="00171D05" w:rsidP="001A1EDF">
      <w:pPr>
        <w:pStyle w:val="NormalWeb"/>
        <w:spacing w:before="0" w:beforeAutospacing="0" w:after="0" w:afterAutospacing="0"/>
        <w:ind w:left="720" w:right="720" w:firstLine="720"/>
        <w:jc w:val="both"/>
        <w:rPr>
          <w:rFonts w:ascii="Book Antiqua" w:hAnsi="Book Antiqua"/>
        </w:rPr>
      </w:pPr>
      <w:r w:rsidRPr="002236D8">
        <w:rPr>
          <w:rFonts w:ascii="Book Antiqua" w:hAnsi="Book Antiqua"/>
        </w:rPr>
        <w:t xml:space="preserve">“Luego de una evaluación serena, justa e imparcial de la totalidad de la prueba presentada y admitida en el presente caso, este tribunal hace el siguiente pronunciamiento: </w:t>
      </w:r>
      <w:r w:rsidRPr="002236D8">
        <w:rPr>
          <w:rFonts w:ascii="Book Antiqua" w:hAnsi="Book Antiqua"/>
          <w:b/>
          <w:bCs/>
        </w:rPr>
        <w:t xml:space="preserve">Por infracción al artículo 7.06 de la Ley 22, por ocasionar a la muerte de Justin Rafael Santos </w:t>
      </w:r>
      <w:proofErr w:type="spellStart"/>
      <w:r w:rsidRPr="002236D8">
        <w:rPr>
          <w:rFonts w:ascii="Book Antiqua" w:hAnsi="Book Antiqua"/>
          <w:b/>
          <w:bCs/>
        </w:rPr>
        <w:t>Delanda</w:t>
      </w:r>
      <w:proofErr w:type="spellEnd"/>
      <w:r w:rsidRPr="002236D8">
        <w:rPr>
          <w:rFonts w:ascii="Book Antiqua" w:hAnsi="Book Antiqua"/>
        </w:rPr>
        <w:t xml:space="preserve">, el tribunal le encuentra a doña Mayra Nevárez culpable. Por infracción al artículo 5.07 de la Ley 22, por causarle grave daño corporal al señor </w:t>
      </w:r>
      <w:proofErr w:type="spellStart"/>
      <w:r w:rsidRPr="002236D8">
        <w:rPr>
          <w:rFonts w:ascii="Book Antiqua" w:hAnsi="Book Antiqua"/>
        </w:rPr>
        <w:t>Keven</w:t>
      </w:r>
      <w:proofErr w:type="spellEnd"/>
      <w:r w:rsidRPr="002236D8">
        <w:rPr>
          <w:rFonts w:ascii="Book Antiqua" w:hAnsi="Book Antiqua"/>
        </w:rPr>
        <w:t xml:space="preserve"> Monserrate Gandía, el tribunal encuentra culpable a la señora Mayra Nevárez Torres. Por infracción al artículo </w:t>
      </w:r>
      <w:r w:rsidR="002236D8">
        <w:rPr>
          <w:rFonts w:ascii="Book Antiqua" w:hAnsi="Book Antiqua"/>
        </w:rPr>
        <w:t>[</w:t>
      </w:r>
      <w:r w:rsidRPr="002236D8">
        <w:rPr>
          <w:rFonts w:ascii="Book Antiqua" w:hAnsi="Book Antiqua"/>
        </w:rPr>
        <w:t>5.07</w:t>
      </w:r>
      <w:r w:rsidR="00345A92" w:rsidRPr="002236D8">
        <w:rPr>
          <w:rFonts w:ascii="Book Antiqua" w:hAnsi="Book Antiqua"/>
        </w:rPr>
        <w:t>(C</w:t>
      </w:r>
      <w:r w:rsidR="002236D8">
        <w:rPr>
          <w:rFonts w:ascii="Book Antiqua" w:hAnsi="Book Antiqua"/>
        </w:rPr>
        <w:t>]</w:t>
      </w:r>
      <w:r w:rsidR="00345A92" w:rsidRPr="002236D8">
        <w:rPr>
          <w:rFonts w:ascii="Book Antiqua" w:hAnsi="Book Antiqua"/>
        </w:rPr>
        <w:t>)</w:t>
      </w:r>
      <w:r w:rsidRPr="002236D8">
        <w:rPr>
          <w:rFonts w:ascii="Book Antiqua" w:hAnsi="Book Antiqua"/>
        </w:rPr>
        <w:t xml:space="preserve"> por conducir un vehículo de forma imprudente o negligente de ocasionar a la muerte, el tribunal la encuentra culpable. Por infracción al artículo </w:t>
      </w:r>
      <w:r w:rsidR="002236D8">
        <w:rPr>
          <w:rFonts w:ascii="Book Antiqua" w:hAnsi="Book Antiqua"/>
        </w:rPr>
        <w:t>[</w:t>
      </w:r>
      <w:r w:rsidRPr="002236D8">
        <w:rPr>
          <w:rFonts w:ascii="Book Antiqua" w:hAnsi="Book Antiqua"/>
        </w:rPr>
        <w:t>5.07</w:t>
      </w:r>
      <w:r w:rsidR="00345A92" w:rsidRPr="002236D8">
        <w:rPr>
          <w:rFonts w:ascii="Book Antiqua" w:hAnsi="Book Antiqua"/>
        </w:rPr>
        <w:t>(</w:t>
      </w:r>
      <w:r w:rsidR="00511877" w:rsidRPr="002236D8">
        <w:rPr>
          <w:rFonts w:ascii="Book Antiqua" w:hAnsi="Book Antiqua"/>
        </w:rPr>
        <w:t>B)</w:t>
      </w:r>
      <w:r w:rsidR="002236D8">
        <w:rPr>
          <w:rFonts w:ascii="Book Antiqua" w:hAnsi="Book Antiqua"/>
        </w:rPr>
        <w:t>]</w:t>
      </w:r>
      <w:r w:rsidRPr="002236D8">
        <w:rPr>
          <w:rFonts w:ascii="Book Antiqua" w:hAnsi="Book Antiqua"/>
        </w:rPr>
        <w:t>, por conducir un vehículo de forma imprudente o negligentemente que ocasionó lesión corporal que requirió hospitalización y tratamiento prolongado, el tribunal le encuentra culpable</w:t>
      </w:r>
      <w:r w:rsidRPr="002236D8">
        <w:rPr>
          <w:rFonts w:ascii="Book Antiqua" w:hAnsi="Book Antiqua"/>
          <w:b/>
          <w:bCs/>
        </w:rPr>
        <w:t>. Por infracción al artículo 7.02 de la Ley 22, por manejar el vehículo bajo los efectos de bebidas embriagantes, el tribunal le encuentra culpable</w:t>
      </w:r>
      <w:r w:rsidRPr="002236D8">
        <w:rPr>
          <w:rFonts w:ascii="Book Antiqua" w:hAnsi="Book Antiqua"/>
        </w:rPr>
        <w:t xml:space="preserve">. Por infracción al artículo 5.07 de la Ley 22, por ocasionar de forma imprudente, negligentemente con menosprecio a la seguridad de personas o propiedades, el tribunal le encuentra culpable. Se ordena al Programa de Comunidad Metropolitano del Departamento de Corrección, realizar una investigación minuciosa y deberá redactar un informe </w:t>
      </w:r>
      <w:r w:rsidR="000B72A1" w:rsidRPr="002236D8">
        <w:rPr>
          <w:rFonts w:ascii="Book Antiqua" w:hAnsi="Book Antiqua"/>
        </w:rPr>
        <w:t>[</w:t>
      </w:r>
      <w:proofErr w:type="spellStart"/>
      <w:r w:rsidR="000B72A1" w:rsidRPr="002236D8">
        <w:rPr>
          <w:rFonts w:ascii="Book Antiqua" w:hAnsi="Book Antiqua"/>
        </w:rPr>
        <w:t>pre-sentencia</w:t>
      </w:r>
      <w:proofErr w:type="spellEnd"/>
      <w:r w:rsidR="000B72A1" w:rsidRPr="002236D8">
        <w:rPr>
          <w:rFonts w:ascii="Book Antiqua" w:hAnsi="Book Antiqua"/>
        </w:rPr>
        <w:t>]</w:t>
      </w:r>
      <w:r w:rsidRPr="002236D8">
        <w:rPr>
          <w:rFonts w:ascii="Book Antiqua" w:hAnsi="Book Antiqua"/>
        </w:rPr>
        <w:t xml:space="preserve"> que nos permita emitir una decisión racional de la sentencia en estos casos, ya que algunos de estos delitos no cualifican por disposición de ley para una sentencia suspendida, deberán considerar las disposiciones de los artículos 50 y 53 del Código Penal con relación a las </w:t>
      </w:r>
      <w:r w:rsidRPr="002236D8">
        <w:rPr>
          <w:rFonts w:ascii="Book Antiqua" w:hAnsi="Book Antiqua"/>
        </w:rPr>
        <w:lastRenderedPageBreak/>
        <w:t>penas de restricción domiciliaria o terapéutica”</w:t>
      </w:r>
      <w:r w:rsidR="00071AFA" w:rsidRPr="002236D8">
        <w:rPr>
          <w:rStyle w:val="FootnoteReference"/>
          <w:rFonts w:ascii="Book Antiqua" w:hAnsi="Book Antiqua"/>
        </w:rPr>
        <w:footnoteReference w:id="3"/>
      </w:r>
      <w:r w:rsidR="00071AFA" w:rsidRPr="002236D8">
        <w:rPr>
          <w:rFonts w:ascii="Book Antiqua" w:hAnsi="Book Antiqua"/>
        </w:rPr>
        <w:t>.</w:t>
      </w:r>
      <w:r w:rsidR="00071AFA" w:rsidRPr="001A2630">
        <w:rPr>
          <w:rFonts w:ascii="Book Antiqua" w:hAnsi="Book Antiqua"/>
        </w:rPr>
        <w:t xml:space="preserve"> Así expuso</w:t>
      </w:r>
      <w:r w:rsidR="00DA437E" w:rsidRPr="001A2630">
        <w:rPr>
          <w:rFonts w:ascii="Book Antiqua" w:hAnsi="Book Antiqua"/>
        </w:rPr>
        <w:t xml:space="preserve">, en parte, </w:t>
      </w:r>
      <w:r w:rsidR="00071AFA" w:rsidRPr="001A2630">
        <w:rPr>
          <w:rFonts w:ascii="Book Antiqua" w:hAnsi="Book Antiqua"/>
        </w:rPr>
        <w:t>la Sentencia emitida</w:t>
      </w:r>
      <w:r w:rsidR="00DA437E" w:rsidRPr="001A2630">
        <w:rPr>
          <w:rFonts w:ascii="Book Antiqua" w:hAnsi="Book Antiqua"/>
        </w:rPr>
        <w:t xml:space="preserve"> por la</w:t>
      </w:r>
      <w:r w:rsidRPr="001A2630">
        <w:rPr>
          <w:rFonts w:ascii="Book Antiqua" w:hAnsi="Book Antiqua"/>
        </w:rPr>
        <w:t xml:space="preserve"> jueza </w:t>
      </w:r>
      <w:r w:rsidR="00071AFA" w:rsidRPr="001A2630">
        <w:rPr>
          <w:rFonts w:ascii="Book Antiqua" w:hAnsi="Book Antiqua"/>
        </w:rPr>
        <w:t xml:space="preserve">Wanda </w:t>
      </w:r>
      <w:r w:rsidRPr="001A2630">
        <w:rPr>
          <w:rFonts w:ascii="Book Antiqua" w:hAnsi="Book Antiqua"/>
        </w:rPr>
        <w:t xml:space="preserve">Cruz Ayala </w:t>
      </w:r>
      <w:r w:rsidR="00071AFA" w:rsidRPr="001A2630">
        <w:rPr>
          <w:rFonts w:ascii="Book Antiqua" w:hAnsi="Book Antiqua"/>
        </w:rPr>
        <w:t xml:space="preserve">en el </w:t>
      </w:r>
      <w:r w:rsidR="00DA437E" w:rsidRPr="001A2630">
        <w:rPr>
          <w:rFonts w:ascii="Book Antiqua" w:hAnsi="Book Antiqua"/>
        </w:rPr>
        <w:t xml:space="preserve">Centro Judicial </w:t>
      </w:r>
      <w:r w:rsidR="00071AFA" w:rsidRPr="001A2630">
        <w:rPr>
          <w:rFonts w:ascii="Book Antiqua" w:hAnsi="Book Antiqua"/>
        </w:rPr>
        <w:t>de San Juan aquella tarde</w:t>
      </w:r>
      <w:r w:rsidR="00DA437E" w:rsidRPr="001A2630">
        <w:rPr>
          <w:rFonts w:ascii="Book Antiqua" w:hAnsi="Book Antiqua"/>
        </w:rPr>
        <w:t xml:space="preserve"> (Énfasis nuestro)</w:t>
      </w:r>
      <w:r w:rsidR="00071AFA" w:rsidRPr="001A2630">
        <w:rPr>
          <w:rFonts w:ascii="Book Antiqua" w:hAnsi="Book Antiqua"/>
        </w:rPr>
        <w:t>.</w:t>
      </w:r>
    </w:p>
    <w:p w14:paraId="064F4B0C" w14:textId="77777777" w:rsidR="00B67635" w:rsidRPr="00F84C36" w:rsidRDefault="00B67635" w:rsidP="00B67635">
      <w:pPr>
        <w:pStyle w:val="NormalWeb"/>
        <w:spacing w:before="0" w:beforeAutospacing="0" w:after="0" w:afterAutospacing="0"/>
        <w:ind w:right="720" w:firstLine="708"/>
        <w:jc w:val="both"/>
        <w:rPr>
          <w:rFonts w:ascii="Book Antiqua" w:hAnsi="Book Antiqua"/>
        </w:rPr>
      </w:pPr>
    </w:p>
    <w:p w14:paraId="6BD17DD0" w14:textId="5E5A8ADC" w:rsidR="00E017BB" w:rsidRDefault="00DA437E" w:rsidP="00E017BB">
      <w:pPr>
        <w:spacing w:after="0" w:line="298" w:lineRule="auto"/>
        <w:ind w:firstLine="706"/>
        <w:jc w:val="both"/>
        <w:rPr>
          <w:rFonts w:ascii="Book Antiqua" w:hAnsi="Book Antiqua"/>
        </w:rPr>
      </w:pPr>
      <w:r w:rsidRPr="00F84C36">
        <w:rPr>
          <w:rFonts w:ascii="Book Antiqua" w:hAnsi="Book Antiqua"/>
        </w:rPr>
        <w:t xml:space="preserve">Pero este no es un caso aislado, </w:t>
      </w:r>
      <w:r w:rsidR="00525C21" w:rsidRPr="00F84C36">
        <w:rPr>
          <w:rFonts w:ascii="Book Antiqua" w:hAnsi="Book Antiqua"/>
        </w:rPr>
        <w:t>pues,</w:t>
      </w:r>
      <w:r w:rsidRPr="00F84C36">
        <w:rPr>
          <w:rFonts w:ascii="Book Antiqua" w:hAnsi="Book Antiqua"/>
        </w:rPr>
        <w:t xml:space="preserve"> por el contrario</w:t>
      </w:r>
      <w:r w:rsidR="00FA42E2" w:rsidRPr="00F84C36">
        <w:rPr>
          <w:rFonts w:ascii="Book Antiqua" w:hAnsi="Book Antiqua"/>
        </w:rPr>
        <w:t xml:space="preserve">, en Puerto Rico año tras año, se reporta gran cantidad de accidentes producto de la constante práctica de personas que deciden manejar vehículos de motor cuando se encuentran bajo los efectos de bebidas embriagantes. </w:t>
      </w:r>
      <w:r w:rsidRPr="00F84C36">
        <w:rPr>
          <w:rFonts w:ascii="Book Antiqua" w:hAnsi="Book Antiqua"/>
        </w:rPr>
        <w:t xml:space="preserve"> </w:t>
      </w:r>
      <w:r w:rsidR="00B67635" w:rsidRPr="00F84C36">
        <w:rPr>
          <w:rFonts w:ascii="Book Antiqua" w:hAnsi="Book Antiqua"/>
        </w:rPr>
        <w:t xml:space="preserve">Otro ejemplo de la tragedia que se provoca con esta conducta lo conocemos en la pérdida de la vida de las hermanas Esther Raquel y Eunice Raquel García Vázquez, quienes fueron </w:t>
      </w:r>
      <w:r w:rsidR="00AC7AB9" w:rsidRPr="00F84C36">
        <w:rPr>
          <w:rFonts w:ascii="Book Antiqua" w:hAnsi="Book Antiqua"/>
        </w:rPr>
        <w:t>arr</w:t>
      </w:r>
      <w:r w:rsidR="00A43EB6">
        <w:rPr>
          <w:rFonts w:ascii="Book Antiqua" w:hAnsi="Book Antiqua"/>
        </w:rPr>
        <w:t>e</w:t>
      </w:r>
      <w:r w:rsidR="00AC7AB9">
        <w:rPr>
          <w:rFonts w:ascii="Book Antiqua" w:hAnsi="Book Antiqua"/>
        </w:rPr>
        <w:t>batadas</w:t>
      </w:r>
      <w:r w:rsidR="00AC7AB9" w:rsidRPr="00F84C36">
        <w:rPr>
          <w:rFonts w:ascii="Book Antiqua" w:hAnsi="Book Antiqua"/>
        </w:rPr>
        <w:t xml:space="preserve"> </w:t>
      </w:r>
      <w:r w:rsidR="00B67635" w:rsidRPr="00F84C36">
        <w:rPr>
          <w:rFonts w:ascii="Book Antiqua" w:hAnsi="Book Antiqua"/>
        </w:rPr>
        <w:t>de su familia, en la flor de la juventud, por otro conductor, que aún espera ser procesado</w:t>
      </w:r>
      <w:r w:rsidR="00525C21" w:rsidRPr="00F84C36">
        <w:rPr>
          <w:rFonts w:ascii="Book Antiqua" w:hAnsi="Book Antiqua"/>
        </w:rPr>
        <w:t xml:space="preserve"> en nuestros tribunales</w:t>
      </w:r>
      <w:r w:rsidR="00B67635" w:rsidRPr="00F84C36">
        <w:rPr>
          <w:rFonts w:ascii="Book Antiqua" w:hAnsi="Book Antiqua"/>
        </w:rPr>
        <w:t xml:space="preserve"> por su </w:t>
      </w:r>
      <w:r w:rsidR="00A977CD">
        <w:rPr>
          <w:rFonts w:ascii="Book Antiqua" w:hAnsi="Book Antiqua"/>
        </w:rPr>
        <w:t xml:space="preserve">alegada </w:t>
      </w:r>
      <w:r w:rsidR="00525C21" w:rsidRPr="00F84C36">
        <w:rPr>
          <w:rFonts w:ascii="Book Antiqua" w:hAnsi="Book Antiqua"/>
        </w:rPr>
        <w:t>negligencia</w:t>
      </w:r>
      <w:r w:rsidR="00B67635" w:rsidRPr="00F84C36">
        <w:rPr>
          <w:rFonts w:ascii="Book Antiqua" w:hAnsi="Book Antiqua"/>
        </w:rPr>
        <w:t>.</w:t>
      </w:r>
      <w:r w:rsidR="00AD73D0">
        <w:rPr>
          <w:rFonts w:ascii="Book Antiqua" w:hAnsi="Book Antiqua"/>
        </w:rPr>
        <w:t xml:space="preserve"> </w:t>
      </w:r>
      <w:r w:rsidR="00B67635" w:rsidRPr="00F84C36">
        <w:rPr>
          <w:rFonts w:ascii="Book Antiqua" w:hAnsi="Book Antiqua"/>
        </w:rPr>
        <w:t xml:space="preserve"> Este accidente dejó consternad</w:t>
      </w:r>
      <w:r w:rsidR="00525C21" w:rsidRPr="00F84C36">
        <w:rPr>
          <w:rFonts w:ascii="Book Antiqua" w:hAnsi="Book Antiqua"/>
        </w:rPr>
        <w:t>o a todo Puerto Rico</w:t>
      </w:r>
      <w:r w:rsidR="00B67635" w:rsidRPr="00F84C36">
        <w:rPr>
          <w:rFonts w:ascii="Book Antiqua" w:hAnsi="Book Antiqua"/>
        </w:rPr>
        <w:t xml:space="preserve"> por la irreparable pérdida de vidas jóvenes y la devastación para una familia de Isabela.</w:t>
      </w:r>
      <w:r w:rsidR="00AD73D0" w:rsidRPr="00AD73D0">
        <w:rPr>
          <w:rFonts w:ascii="Book Antiqua" w:hAnsi="Book Antiqua"/>
        </w:rPr>
        <w:t xml:space="preserve"> </w:t>
      </w:r>
      <w:r w:rsidR="00AD73D0">
        <w:rPr>
          <w:rFonts w:ascii="Book Antiqua" w:hAnsi="Book Antiqua"/>
        </w:rPr>
        <w:t xml:space="preserve">No estamos juzgando si la persona cometió o no negligencia, </w:t>
      </w:r>
      <w:r w:rsidR="00656B8F">
        <w:rPr>
          <w:rFonts w:ascii="Book Antiqua" w:hAnsi="Book Antiqua"/>
        </w:rPr>
        <w:t xml:space="preserve">toda vez que </w:t>
      </w:r>
      <w:r w:rsidR="0080694C">
        <w:rPr>
          <w:rFonts w:ascii="Book Antiqua" w:hAnsi="Book Antiqua"/>
        </w:rPr>
        <w:t>este</w:t>
      </w:r>
      <w:r w:rsidR="00656B8F">
        <w:rPr>
          <w:rFonts w:ascii="Book Antiqua" w:hAnsi="Book Antiqua"/>
        </w:rPr>
        <w:t xml:space="preserve"> un asunto </w:t>
      </w:r>
      <w:r w:rsidR="003828D1">
        <w:rPr>
          <w:rFonts w:ascii="Book Antiqua" w:hAnsi="Book Antiqua"/>
        </w:rPr>
        <w:t xml:space="preserve">que se encuentra </w:t>
      </w:r>
      <w:r w:rsidR="0080694C">
        <w:rPr>
          <w:rFonts w:ascii="Book Antiqua" w:hAnsi="Book Antiqua"/>
        </w:rPr>
        <w:t>bajo investigaci</w:t>
      </w:r>
      <w:r w:rsidR="006D3D53">
        <w:rPr>
          <w:rFonts w:ascii="Book Antiqua" w:hAnsi="Book Antiqua"/>
        </w:rPr>
        <w:t>ón</w:t>
      </w:r>
      <w:r w:rsidR="003828D1">
        <w:rPr>
          <w:rFonts w:ascii="Book Antiqua" w:hAnsi="Book Antiqua"/>
        </w:rPr>
        <w:t xml:space="preserve">, </w:t>
      </w:r>
      <w:r w:rsidR="00AD73D0">
        <w:rPr>
          <w:rFonts w:ascii="Book Antiqua" w:hAnsi="Book Antiqua"/>
        </w:rPr>
        <w:t>pero según la información que ha publicado la prensa, la persona que se accidentó con estas hermanas parecía haber estado bajo los efectos de bebidas embriagantes al momento de los hechos</w:t>
      </w:r>
      <w:r w:rsidR="00AD73D0">
        <w:rPr>
          <w:rStyle w:val="FootnoteReference"/>
          <w:rFonts w:ascii="Book Antiqua" w:hAnsi="Book Antiqua"/>
        </w:rPr>
        <w:footnoteReference w:id="4"/>
      </w:r>
      <w:r w:rsidR="00AD73D0">
        <w:rPr>
          <w:rFonts w:ascii="Book Antiqua" w:hAnsi="Book Antiqua"/>
        </w:rPr>
        <w:t>.</w:t>
      </w:r>
    </w:p>
    <w:p w14:paraId="6A20120A" w14:textId="77777777" w:rsidR="00881EB6" w:rsidRPr="00F84C36" w:rsidRDefault="00881EB6" w:rsidP="00E017BB">
      <w:pPr>
        <w:spacing w:after="0" w:line="298" w:lineRule="auto"/>
        <w:ind w:firstLine="706"/>
        <w:jc w:val="both"/>
        <w:rPr>
          <w:rFonts w:ascii="Book Antiqua" w:hAnsi="Book Antiqua"/>
        </w:rPr>
      </w:pPr>
    </w:p>
    <w:p w14:paraId="13CB270B" w14:textId="5A6BAB5D" w:rsidR="00DE7346" w:rsidRDefault="00E017BB" w:rsidP="006D3D53">
      <w:pPr>
        <w:spacing w:after="0" w:line="298" w:lineRule="auto"/>
        <w:ind w:firstLine="706"/>
        <w:jc w:val="both"/>
        <w:rPr>
          <w:rFonts w:ascii="Book Antiqua" w:hAnsi="Book Antiqua"/>
        </w:rPr>
      </w:pPr>
      <w:r w:rsidRPr="00F84C36">
        <w:rPr>
          <w:rFonts w:ascii="Book Antiqua" w:hAnsi="Book Antiqua"/>
        </w:rPr>
        <w:t>Este es un renglón de la vida en el que Puerto Rico se inserta en lo que parece ser una lamentable moda o corriente a nivel nacional. Según se informó en vista pública</w:t>
      </w:r>
      <w:r w:rsidRPr="00F84C36">
        <w:rPr>
          <w:rStyle w:val="FootnoteReference"/>
          <w:rFonts w:ascii="Book Antiqua" w:hAnsi="Book Antiqua"/>
        </w:rPr>
        <w:footnoteReference w:id="5"/>
      </w:r>
      <w:r w:rsidRPr="00F84C36">
        <w:rPr>
          <w:rFonts w:ascii="Book Antiqua" w:hAnsi="Book Antiqua"/>
        </w:rPr>
        <w:t xml:space="preserve"> la Administración Nacional de Seguridad del Tráfico en las Carreteras (NHTSA</w:t>
      </w:r>
      <w:r w:rsidR="00926DE5">
        <w:rPr>
          <w:rFonts w:ascii="Book Antiqua" w:hAnsi="Book Antiqua"/>
        </w:rPr>
        <w:t>, por sus siglas en inglés</w:t>
      </w:r>
      <w:r w:rsidRPr="00F84C36">
        <w:rPr>
          <w:rFonts w:ascii="Book Antiqua" w:hAnsi="Book Antiqua"/>
        </w:rPr>
        <w:t xml:space="preserve">) del Departamento de Transporte de los Estados Unidos, reporta que diariamente (en promedio) unas 37 personas en los Estados Unidos mueren en choques automovilísticos relacionados con alcohol. </w:t>
      </w:r>
      <w:r w:rsidRPr="00E017BB">
        <w:rPr>
          <w:rFonts w:ascii="Book Antiqua" w:hAnsi="Book Antiqua"/>
        </w:rPr>
        <w:t>En el 2022, hubo 13,524 personas que murieron en choques de tráfico por conducir bajo los efectos del alcohol, de las cuales el 67% ocurrieron en accidentes en los que el conductor tenía un nivel de alcohol de .15g/</w:t>
      </w:r>
      <w:proofErr w:type="spellStart"/>
      <w:r w:rsidRPr="00E017BB">
        <w:rPr>
          <w:rFonts w:ascii="Book Antiqua" w:hAnsi="Book Antiqua"/>
        </w:rPr>
        <w:t>dL</w:t>
      </w:r>
      <w:proofErr w:type="spellEnd"/>
      <w:r w:rsidRPr="00E017BB">
        <w:rPr>
          <w:rFonts w:ascii="Book Antiqua" w:hAnsi="Book Antiqua"/>
        </w:rPr>
        <w:t xml:space="preserve"> o más.</w:t>
      </w:r>
    </w:p>
    <w:p w14:paraId="4F8D6A0F" w14:textId="77777777" w:rsidR="006D3D53" w:rsidRPr="00F84C36" w:rsidRDefault="006D3D53" w:rsidP="006D3D53">
      <w:pPr>
        <w:spacing w:after="0" w:line="298" w:lineRule="auto"/>
        <w:ind w:firstLine="706"/>
        <w:jc w:val="both"/>
        <w:rPr>
          <w:rFonts w:ascii="Book Antiqua" w:hAnsi="Book Antiqua"/>
        </w:rPr>
      </w:pPr>
    </w:p>
    <w:p w14:paraId="43EB1F05" w14:textId="05EBF132" w:rsidR="00F84C36" w:rsidRDefault="00F84C36" w:rsidP="002236D8">
      <w:pPr>
        <w:spacing w:after="0" w:line="298" w:lineRule="auto"/>
        <w:ind w:firstLine="706"/>
        <w:jc w:val="both"/>
        <w:rPr>
          <w:rFonts w:ascii="Book Antiqua" w:eastAsia="Times New Roman" w:hAnsi="Book Antiqua" w:cs="Times New Roman"/>
          <w:kern w:val="0"/>
          <w14:ligatures w14:val="none"/>
        </w:rPr>
      </w:pPr>
      <w:r w:rsidRPr="00F84C36">
        <w:rPr>
          <w:rFonts w:ascii="Book Antiqua" w:hAnsi="Book Antiqua"/>
        </w:rPr>
        <w:lastRenderedPageBreak/>
        <w:t>Según</w:t>
      </w:r>
      <w:r w:rsidR="001A1EDF" w:rsidRPr="00F84C36">
        <w:rPr>
          <w:rFonts w:ascii="Book Antiqua" w:hAnsi="Book Antiqua"/>
        </w:rPr>
        <w:t xml:space="preserve"> la </w:t>
      </w:r>
      <w:r w:rsidR="00926DE5" w:rsidRPr="002236D8">
        <w:rPr>
          <w:rFonts w:ascii="Book Antiqua" w:hAnsi="Book Antiqua"/>
        </w:rPr>
        <w:t>NHTSA</w:t>
      </w:r>
      <w:r w:rsidR="001A1EDF" w:rsidRPr="00F84C36">
        <w:rPr>
          <w:rFonts w:ascii="Book Antiqua" w:hAnsi="Book Antiqua"/>
        </w:rPr>
        <w:t xml:space="preserve"> en la </w:t>
      </w:r>
      <w:r w:rsidRPr="00F84C36">
        <w:rPr>
          <w:rFonts w:ascii="Book Antiqua" w:hAnsi="Book Antiqua"/>
        </w:rPr>
        <w:t>sección</w:t>
      </w:r>
      <w:r w:rsidR="001A1EDF" w:rsidRPr="00F84C36">
        <w:rPr>
          <w:rFonts w:ascii="Book Antiqua" w:hAnsi="Book Antiqua"/>
        </w:rPr>
        <w:t xml:space="preserve"> de reportes y </w:t>
      </w:r>
      <w:r w:rsidRPr="00F84C36">
        <w:rPr>
          <w:rFonts w:ascii="Book Antiqua" w:hAnsi="Book Antiqua"/>
        </w:rPr>
        <w:t>análisis</w:t>
      </w:r>
      <w:r w:rsidR="001A1EDF" w:rsidRPr="00F84C36">
        <w:rPr>
          <w:rFonts w:ascii="Book Antiqua" w:hAnsi="Book Antiqua"/>
        </w:rPr>
        <w:t xml:space="preserve"> de fatalidades (FARS, por sus siglas en </w:t>
      </w:r>
      <w:r w:rsidRPr="00F84C36">
        <w:rPr>
          <w:rFonts w:ascii="Book Antiqua" w:hAnsi="Book Antiqua"/>
        </w:rPr>
        <w:t>inglés</w:t>
      </w:r>
      <w:r w:rsidR="001A1EDF" w:rsidRPr="00F84C36">
        <w:rPr>
          <w:rFonts w:ascii="Book Antiqua" w:hAnsi="Book Antiqua"/>
        </w:rPr>
        <w:t>), en Puerto Rico</w:t>
      </w:r>
      <w:r w:rsidR="00811DB3">
        <w:rPr>
          <w:rFonts w:ascii="Book Antiqua" w:hAnsi="Book Antiqua"/>
        </w:rPr>
        <w:t>,</w:t>
      </w:r>
      <w:r w:rsidR="001A1EDF" w:rsidRPr="00F84C36">
        <w:rPr>
          <w:rFonts w:ascii="Book Antiqua" w:hAnsi="Book Antiqua"/>
        </w:rPr>
        <w:t xml:space="preserve"> para el </w:t>
      </w:r>
      <w:r w:rsidRPr="00F84C36">
        <w:rPr>
          <w:rFonts w:ascii="Book Antiqua" w:hAnsi="Book Antiqua"/>
        </w:rPr>
        <w:t>año</w:t>
      </w:r>
      <w:r w:rsidR="001A1EDF" w:rsidRPr="00F84C36">
        <w:rPr>
          <w:rFonts w:ascii="Book Antiqua" w:hAnsi="Book Antiqua"/>
        </w:rPr>
        <w:t xml:space="preserve"> 20</w:t>
      </w:r>
      <w:r w:rsidR="00DA437E" w:rsidRPr="00F84C36">
        <w:rPr>
          <w:rFonts w:ascii="Book Antiqua" w:hAnsi="Book Antiqua"/>
        </w:rPr>
        <w:t>2</w:t>
      </w:r>
      <w:r w:rsidR="001A1EDF" w:rsidRPr="00F84C36">
        <w:rPr>
          <w:rFonts w:ascii="Book Antiqua" w:hAnsi="Book Antiqua"/>
        </w:rPr>
        <w:t xml:space="preserve">1, hubo 116 fatalidades relacionadas al alcohol, lo cual representa un aumento de un cincuenta y tres por ciento (53%) </w:t>
      </w:r>
      <w:r w:rsidR="00A65211">
        <w:rPr>
          <w:rFonts w:ascii="Book Antiqua" w:hAnsi="Book Antiqua"/>
        </w:rPr>
        <w:t>en comparación</w:t>
      </w:r>
      <w:r w:rsidR="00A65211" w:rsidRPr="00F84C36">
        <w:rPr>
          <w:rFonts w:ascii="Book Antiqua" w:hAnsi="Book Antiqua"/>
        </w:rPr>
        <w:t xml:space="preserve"> </w:t>
      </w:r>
      <w:r w:rsidR="001A1EDF" w:rsidRPr="00F84C36">
        <w:rPr>
          <w:rFonts w:ascii="Book Antiqua" w:hAnsi="Book Antiqua"/>
        </w:rPr>
        <w:t xml:space="preserve">al </w:t>
      </w:r>
      <w:r w:rsidRPr="00F84C36">
        <w:rPr>
          <w:rFonts w:ascii="Book Antiqua" w:hAnsi="Book Antiqua"/>
        </w:rPr>
        <w:t>año</w:t>
      </w:r>
      <w:r w:rsidR="001A1EDF" w:rsidRPr="00F84C36">
        <w:rPr>
          <w:rFonts w:ascii="Book Antiqua" w:hAnsi="Book Antiqua"/>
        </w:rPr>
        <w:t xml:space="preserve"> 2020. </w:t>
      </w:r>
      <w:r w:rsidRPr="00F84C36">
        <w:rPr>
          <w:rFonts w:ascii="Book Antiqua" w:hAnsi="Book Antiqua"/>
        </w:rPr>
        <w:t>Nótese</w:t>
      </w:r>
      <w:r w:rsidR="001A1EDF" w:rsidRPr="00F84C36">
        <w:rPr>
          <w:rFonts w:ascii="Book Antiqua" w:hAnsi="Book Antiqua"/>
        </w:rPr>
        <w:t xml:space="preserve"> que el ochenta y nueve por ciento (89%) de estas fatalidades tuvo un </w:t>
      </w:r>
      <w:r w:rsidRPr="00F84C36">
        <w:rPr>
          <w:rFonts w:ascii="Book Antiqua" w:hAnsi="Book Antiqua"/>
        </w:rPr>
        <w:t>índice</w:t>
      </w:r>
      <w:r w:rsidR="001A1EDF" w:rsidRPr="00F84C36">
        <w:rPr>
          <w:rFonts w:ascii="Book Antiqua" w:hAnsi="Book Antiqua"/>
        </w:rPr>
        <w:t xml:space="preserve"> de alcohol de .08% o </w:t>
      </w:r>
      <w:r w:rsidRPr="00F84C36">
        <w:rPr>
          <w:rFonts w:ascii="Book Antiqua" w:hAnsi="Book Antiqua"/>
        </w:rPr>
        <w:t>más</w:t>
      </w:r>
      <w:r w:rsidR="001A1EDF" w:rsidRPr="00F84C36">
        <w:rPr>
          <w:rFonts w:ascii="Book Antiqua" w:hAnsi="Book Antiqua"/>
        </w:rPr>
        <w:t xml:space="preserve">. Por su parte, la </w:t>
      </w:r>
      <w:r w:rsidRPr="00F84C36">
        <w:rPr>
          <w:rFonts w:ascii="Book Antiqua" w:hAnsi="Book Antiqua"/>
        </w:rPr>
        <w:t>información</w:t>
      </w:r>
      <w:r w:rsidR="001A1EDF" w:rsidRPr="00F84C36">
        <w:rPr>
          <w:rFonts w:ascii="Book Antiqua" w:hAnsi="Book Antiqua"/>
        </w:rPr>
        <w:t xml:space="preserve"> que se tiene sobre el </w:t>
      </w:r>
      <w:r w:rsidRPr="00F84C36">
        <w:rPr>
          <w:rFonts w:ascii="Book Antiqua" w:hAnsi="Book Antiqua"/>
        </w:rPr>
        <w:t>año</w:t>
      </w:r>
      <w:r w:rsidR="001A1EDF" w:rsidRPr="00F84C36">
        <w:rPr>
          <w:rFonts w:ascii="Book Antiqua" w:hAnsi="Book Antiqua"/>
        </w:rPr>
        <w:t xml:space="preserve"> 2022 establece que hubo setenta y cinco (75) fatalidades las cuales estaban relacionadas a las bebidas embriagantes, de las cuales el noventa y un por ciento (91%) de </w:t>
      </w:r>
      <w:r w:rsidR="009152B9">
        <w:rPr>
          <w:rFonts w:ascii="Book Antiqua" w:hAnsi="Book Antiqua"/>
        </w:rPr>
        <w:t>é</w:t>
      </w:r>
      <w:r w:rsidR="001A1EDF" w:rsidRPr="00F84C36">
        <w:rPr>
          <w:rFonts w:ascii="Book Antiqua" w:hAnsi="Book Antiqua"/>
        </w:rPr>
        <w:t xml:space="preserve">stas obtuvieron un </w:t>
      </w:r>
      <w:r w:rsidRPr="00F84C36">
        <w:rPr>
          <w:rFonts w:ascii="Book Antiqua" w:hAnsi="Book Antiqua"/>
        </w:rPr>
        <w:t>índice</w:t>
      </w:r>
      <w:r w:rsidR="001A1EDF" w:rsidRPr="00F84C36">
        <w:rPr>
          <w:rFonts w:ascii="Book Antiqua" w:hAnsi="Book Antiqua"/>
        </w:rPr>
        <w:t xml:space="preserve"> de alcohol correspondiente a .08% o </w:t>
      </w:r>
      <w:r w:rsidRPr="00F84C36">
        <w:rPr>
          <w:rFonts w:ascii="Book Antiqua" w:hAnsi="Book Antiqua"/>
        </w:rPr>
        <w:t>más</w:t>
      </w:r>
      <w:r w:rsidR="001A1EDF" w:rsidRPr="00F84C36">
        <w:rPr>
          <w:rFonts w:ascii="Book Antiqua" w:hAnsi="Book Antiqua"/>
        </w:rPr>
        <w:t xml:space="preserve">. </w:t>
      </w:r>
      <w:r w:rsidRPr="00F84C36">
        <w:rPr>
          <w:rFonts w:ascii="Book Antiqua" w:hAnsi="Book Antiqua"/>
        </w:rPr>
        <w:t>Según</w:t>
      </w:r>
      <w:r w:rsidR="001A1EDF" w:rsidRPr="00F84C36">
        <w:rPr>
          <w:rFonts w:ascii="Book Antiqua" w:hAnsi="Book Antiqua"/>
        </w:rPr>
        <w:t xml:space="preserve"> datos provistos por el </w:t>
      </w:r>
      <w:r w:rsidRPr="00F84C36">
        <w:rPr>
          <w:rFonts w:ascii="Book Antiqua" w:hAnsi="Book Antiqua"/>
        </w:rPr>
        <w:t>módulo</w:t>
      </w:r>
      <w:r w:rsidR="001A1EDF" w:rsidRPr="00F84C36">
        <w:rPr>
          <w:rFonts w:ascii="Book Antiqua" w:hAnsi="Book Antiqua"/>
        </w:rPr>
        <w:t xml:space="preserve"> </w:t>
      </w:r>
      <w:r w:rsidRPr="00F84C36">
        <w:rPr>
          <w:rFonts w:ascii="Book Antiqua" w:hAnsi="Book Antiqua"/>
        </w:rPr>
        <w:t>estadístico</w:t>
      </w:r>
      <w:r w:rsidR="001A1EDF" w:rsidRPr="00F84C36">
        <w:rPr>
          <w:rFonts w:ascii="Book Antiqua" w:hAnsi="Book Antiqua"/>
        </w:rPr>
        <w:t xml:space="preserve"> de la Unidad de Procesamiento de Conductores Ebrios del Departamento de Justicia, para el </w:t>
      </w:r>
      <w:r w:rsidRPr="00F84C36">
        <w:rPr>
          <w:rFonts w:ascii="Book Antiqua" w:hAnsi="Book Antiqua"/>
        </w:rPr>
        <w:t>año</w:t>
      </w:r>
      <w:r w:rsidR="001A1EDF" w:rsidRPr="00F84C36">
        <w:rPr>
          <w:rFonts w:ascii="Book Antiqua" w:hAnsi="Book Antiqua"/>
        </w:rPr>
        <w:t xml:space="preserve"> 2023, se consultaron 4,594 querellas de embriaguez, mientras que para el </w:t>
      </w:r>
      <w:r w:rsidRPr="00F84C36">
        <w:rPr>
          <w:rFonts w:ascii="Book Antiqua" w:hAnsi="Book Antiqua"/>
        </w:rPr>
        <w:t>año</w:t>
      </w:r>
      <w:r w:rsidR="001A1EDF" w:rsidRPr="00F84C36">
        <w:rPr>
          <w:rFonts w:ascii="Book Antiqua" w:hAnsi="Book Antiqua"/>
        </w:rPr>
        <w:t xml:space="preserve"> 2024 la consulta de querellas corresponde a 3,645.</w:t>
      </w:r>
      <w:r w:rsidR="005B1E02" w:rsidRPr="00F84C36">
        <w:rPr>
          <w:rStyle w:val="FootnoteReference"/>
          <w:rFonts w:ascii="Book Antiqua" w:hAnsi="Book Antiqua"/>
        </w:rPr>
        <w:footnoteReference w:id="6"/>
      </w:r>
      <w:r w:rsidR="001A1EDF" w:rsidRPr="00F84C36">
        <w:rPr>
          <w:rFonts w:ascii="Book Antiqua" w:hAnsi="Book Antiqua"/>
        </w:rPr>
        <w:t xml:space="preserve"> </w:t>
      </w:r>
    </w:p>
    <w:p w14:paraId="4488CA37" w14:textId="77777777" w:rsidR="004B3E3A" w:rsidRDefault="004B3E3A" w:rsidP="00E242D8">
      <w:pPr>
        <w:spacing w:after="240" w:line="298" w:lineRule="auto"/>
        <w:ind w:firstLine="706"/>
        <w:jc w:val="both"/>
        <w:rPr>
          <w:rFonts w:ascii="Book Antiqua" w:eastAsia="Times New Roman" w:hAnsi="Book Antiqua" w:cs="Times New Roman"/>
          <w:kern w:val="0"/>
          <w14:ligatures w14:val="none"/>
        </w:rPr>
      </w:pPr>
    </w:p>
    <w:p w14:paraId="2264CF9D" w14:textId="7B823586" w:rsidR="004E1D46" w:rsidRPr="00F84C36" w:rsidRDefault="004B3E3A" w:rsidP="00E242D8">
      <w:pPr>
        <w:spacing w:after="240" w:line="298" w:lineRule="auto"/>
        <w:ind w:firstLine="706"/>
        <w:jc w:val="both"/>
        <w:rPr>
          <w:rFonts w:ascii="Book Antiqua" w:hAnsi="Book Antiqua"/>
          <w:color w:val="333333"/>
          <w:shd w:val="clear" w:color="auto" w:fill="FFFFFF"/>
        </w:rPr>
      </w:pPr>
      <w:r>
        <w:rPr>
          <w:rFonts w:ascii="Book Antiqua" w:eastAsia="Times New Roman" w:hAnsi="Book Antiqua" w:cs="Times New Roman"/>
          <w:kern w:val="0"/>
          <w14:ligatures w14:val="none"/>
        </w:rPr>
        <w:t>En la</w:t>
      </w:r>
      <w:r w:rsidR="00FF303C" w:rsidRPr="00F84C36">
        <w:rPr>
          <w:rFonts w:ascii="Book Antiqua" w:eastAsia="Times New Roman" w:hAnsi="Book Antiqua" w:cs="Times New Roman"/>
          <w:kern w:val="0"/>
          <w14:ligatures w14:val="none"/>
        </w:rPr>
        <w:t xml:space="preserve"> Exposición de Motivos, e</w:t>
      </w:r>
      <w:r w:rsidR="00E017BB" w:rsidRPr="00F84C36">
        <w:rPr>
          <w:rFonts w:ascii="Book Antiqua" w:eastAsia="Times New Roman" w:hAnsi="Book Antiqua" w:cs="Times New Roman"/>
          <w:kern w:val="0"/>
          <w14:ligatures w14:val="none"/>
        </w:rPr>
        <w:t>l P. de la C. 321</w:t>
      </w:r>
      <w:r w:rsidR="00FF303C" w:rsidRPr="00F84C36">
        <w:rPr>
          <w:rFonts w:ascii="Book Antiqua" w:eastAsia="Times New Roman" w:hAnsi="Book Antiqua" w:cs="Times New Roman"/>
          <w:kern w:val="0"/>
          <w14:ligatures w14:val="none"/>
        </w:rPr>
        <w:t xml:space="preserve"> presenta </w:t>
      </w:r>
      <w:r w:rsidR="00FF303C" w:rsidRPr="00F84C36">
        <w:rPr>
          <w:rFonts w:ascii="Book Antiqua" w:hAnsi="Book Antiqua"/>
          <w:shd w:val="clear" w:color="auto" w:fill="FFFFFF"/>
        </w:rPr>
        <w:t xml:space="preserve">en defensa de personas que perdieron la vida al haber sido impactadas por vehículos conducidos </w:t>
      </w:r>
      <w:r w:rsidR="00C076AB">
        <w:rPr>
          <w:rFonts w:ascii="Book Antiqua" w:hAnsi="Book Antiqua"/>
          <w:shd w:val="clear" w:color="auto" w:fill="FFFFFF"/>
        </w:rPr>
        <w:t xml:space="preserve">de manera negligente </w:t>
      </w:r>
      <w:r w:rsidR="00FF303C" w:rsidRPr="00F84C36">
        <w:rPr>
          <w:rFonts w:ascii="Book Antiqua" w:hAnsi="Book Antiqua"/>
          <w:shd w:val="clear" w:color="auto" w:fill="FFFFFF"/>
        </w:rPr>
        <w:t xml:space="preserve">por personas </w:t>
      </w:r>
      <w:r w:rsidR="00FF303C" w:rsidRPr="00F84C36">
        <w:rPr>
          <w:rFonts w:ascii="Book Antiqua" w:hAnsi="Book Antiqua"/>
          <w:color w:val="000000"/>
        </w:rPr>
        <w:t xml:space="preserve">bajo los efectos de bebidas embriagantes, drogas o sustancias controladas, que no recibieron pena de reclusión tras haber sido juzgados y declarados culpables. </w:t>
      </w:r>
      <w:r w:rsidR="00E017BB" w:rsidRPr="00F84C36">
        <w:rPr>
          <w:rFonts w:ascii="Book Antiqua" w:hAnsi="Book Antiqua"/>
          <w:color w:val="000000"/>
        </w:rPr>
        <w:t xml:space="preserve">Sobre los ejemplos antes </w:t>
      </w:r>
      <w:r w:rsidR="00DE4263" w:rsidRPr="00F84C36">
        <w:rPr>
          <w:rFonts w:ascii="Book Antiqua" w:hAnsi="Book Antiqua"/>
          <w:color w:val="000000"/>
        </w:rPr>
        <w:t xml:space="preserve">mencionados destacamos la corta edad de las víctimas: </w:t>
      </w:r>
      <w:r w:rsidR="00FF303C" w:rsidRPr="00F84C36">
        <w:rPr>
          <w:rFonts w:ascii="Book Antiqua" w:hAnsi="Book Antiqua"/>
          <w:shd w:val="clear" w:color="auto" w:fill="FFFFFF"/>
        </w:rPr>
        <w:t>Justin Rafael Santos</w:t>
      </w:r>
      <w:r w:rsidR="004E1D46" w:rsidRPr="00F84C36">
        <w:rPr>
          <w:rFonts w:ascii="Book Antiqua" w:hAnsi="Book Antiqua"/>
          <w:shd w:val="clear" w:color="auto" w:fill="FFFFFF"/>
        </w:rPr>
        <w:t xml:space="preserve"> (21 años)</w:t>
      </w:r>
      <w:r w:rsidR="00FF303C" w:rsidRPr="00F84C36">
        <w:rPr>
          <w:rFonts w:ascii="Book Antiqua" w:hAnsi="Book Antiqua"/>
          <w:shd w:val="clear" w:color="auto" w:fill="FFFFFF"/>
        </w:rPr>
        <w:t xml:space="preserve"> y las hermanas Esther Raquel</w:t>
      </w:r>
      <w:r w:rsidR="004E1D46" w:rsidRPr="00F84C36">
        <w:rPr>
          <w:rFonts w:ascii="Book Antiqua" w:hAnsi="Book Antiqua"/>
          <w:shd w:val="clear" w:color="auto" w:fill="FFFFFF"/>
        </w:rPr>
        <w:t xml:space="preserve"> (23 años, madre de una niña de </w:t>
      </w:r>
      <w:r w:rsidR="00B20889">
        <w:rPr>
          <w:rFonts w:ascii="Book Antiqua" w:hAnsi="Book Antiqua"/>
          <w:shd w:val="clear" w:color="auto" w:fill="FFFFFF"/>
        </w:rPr>
        <w:t>3</w:t>
      </w:r>
      <w:r w:rsidR="00B20889" w:rsidRPr="00F84C36">
        <w:rPr>
          <w:rFonts w:ascii="Book Antiqua" w:hAnsi="Book Antiqua"/>
          <w:shd w:val="clear" w:color="auto" w:fill="FFFFFF"/>
        </w:rPr>
        <w:t xml:space="preserve"> </w:t>
      </w:r>
      <w:r w:rsidR="004E1D46" w:rsidRPr="00F84C36">
        <w:rPr>
          <w:rFonts w:ascii="Book Antiqua" w:hAnsi="Book Antiqua"/>
          <w:shd w:val="clear" w:color="auto" w:fill="FFFFFF"/>
        </w:rPr>
        <w:t xml:space="preserve">años y con </w:t>
      </w:r>
      <w:r w:rsidR="00B20889">
        <w:rPr>
          <w:rFonts w:ascii="Book Antiqua" w:hAnsi="Book Antiqua"/>
          <w:shd w:val="clear" w:color="auto" w:fill="FFFFFF"/>
        </w:rPr>
        <w:t>3</w:t>
      </w:r>
      <w:r w:rsidR="00B20889" w:rsidRPr="00F84C36">
        <w:rPr>
          <w:rFonts w:ascii="Book Antiqua" w:hAnsi="Book Antiqua"/>
          <w:shd w:val="clear" w:color="auto" w:fill="FFFFFF"/>
        </w:rPr>
        <w:t xml:space="preserve"> </w:t>
      </w:r>
      <w:r w:rsidR="004E1D46" w:rsidRPr="00F84C36">
        <w:rPr>
          <w:rFonts w:ascii="Book Antiqua" w:hAnsi="Book Antiqua"/>
          <w:shd w:val="clear" w:color="auto" w:fill="FFFFFF"/>
        </w:rPr>
        <w:t>meses de embarazo)</w:t>
      </w:r>
      <w:r w:rsidR="00FF303C" w:rsidRPr="00F84C36">
        <w:rPr>
          <w:rFonts w:ascii="Book Antiqua" w:hAnsi="Book Antiqua"/>
          <w:shd w:val="clear" w:color="auto" w:fill="FFFFFF"/>
        </w:rPr>
        <w:t xml:space="preserve"> y Eunice Raquel García Vázquez</w:t>
      </w:r>
      <w:r w:rsidR="004E1D46" w:rsidRPr="00F84C36">
        <w:rPr>
          <w:rFonts w:ascii="Book Antiqua" w:hAnsi="Book Antiqua"/>
          <w:shd w:val="clear" w:color="auto" w:fill="FFFFFF"/>
        </w:rPr>
        <w:t xml:space="preserve"> (19 años)</w:t>
      </w:r>
      <w:r w:rsidR="00DE4263" w:rsidRPr="00F84C36">
        <w:rPr>
          <w:rFonts w:ascii="Book Antiqua" w:hAnsi="Book Antiqua"/>
          <w:shd w:val="clear" w:color="auto" w:fill="FFFFFF"/>
        </w:rPr>
        <w:t>;</w:t>
      </w:r>
      <w:r w:rsidR="00FF303C" w:rsidRPr="00F84C36">
        <w:rPr>
          <w:rFonts w:ascii="Book Antiqua" w:hAnsi="Book Antiqua"/>
          <w:shd w:val="clear" w:color="auto" w:fill="FFFFFF"/>
        </w:rPr>
        <w:t xml:space="preserve"> tres </w:t>
      </w:r>
      <w:r w:rsidR="004E1D46" w:rsidRPr="00F84C36">
        <w:rPr>
          <w:rFonts w:ascii="Book Antiqua" w:hAnsi="Book Antiqua"/>
          <w:shd w:val="clear" w:color="auto" w:fill="FFFFFF"/>
        </w:rPr>
        <w:t xml:space="preserve">jóvenes </w:t>
      </w:r>
      <w:r w:rsidR="00FF303C" w:rsidRPr="00F84C36">
        <w:rPr>
          <w:rFonts w:ascii="Book Antiqua" w:hAnsi="Book Antiqua"/>
          <w:shd w:val="clear" w:color="auto" w:fill="FFFFFF"/>
        </w:rPr>
        <w:t xml:space="preserve">víctimas mortales </w:t>
      </w:r>
      <w:r w:rsidR="004E1D46" w:rsidRPr="00F84C36">
        <w:rPr>
          <w:rFonts w:ascii="Book Antiqua" w:hAnsi="Book Antiqua"/>
          <w:shd w:val="clear" w:color="auto" w:fill="FFFFFF"/>
        </w:rPr>
        <w:t xml:space="preserve">de dos conductores </w:t>
      </w:r>
      <w:r w:rsidR="00A0449E">
        <w:rPr>
          <w:rFonts w:ascii="Book Antiqua" w:hAnsi="Book Antiqua"/>
          <w:shd w:val="clear" w:color="auto" w:fill="FFFFFF"/>
        </w:rPr>
        <w:t>negligentes</w:t>
      </w:r>
      <w:r w:rsidR="00A006A6">
        <w:rPr>
          <w:rFonts w:ascii="Book Antiqua" w:hAnsi="Book Antiqua"/>
          <w:shd w:val="clear" w:color="auto" w:fill="FFFFFF"/>
        </w:rPr>
        <w:t>, aparentemente</w:t>
      </w:r>
      <w:r w:rsidR="00A0449E">
        <w:rPr>
          <w:rFonts w:ascii="Book Antiqua" w:hAnsi="Book Antiqua"/>
          <w:shd w:val="clear" w:color="auto" w:fill="FFFFFF"/>
        </w:rPr>
        <w:t xml:space="preserve"> </w:t>
      </w:r>
      <w:r w:rsidR="004E1D46" w:rsidRPr="00F84C36">
        <w:rPr>
          <w:rFonts w:ascii="Book Antiqua" w:hAnsi="Book Antiqua"/>
          <w:shd w:val="clear" w:color="auto" w:fill="FFFFFF"/>
        </w:rPr>
        <w:t xml:space="preserve">bajo los efectos del alcohol.  En el caso de Justin, la culpable </w:t>
      </w:r>
      <w:r w:rsidR="004E1D46" w:rsidRPr="00F84C36">
        <w:rPr>
          <w:rFonts w:ascii="Book Antiqua" w:hAnsi="Book Antiqua"/>
          <w:color w:val="222222"/>
          <w:shd w:val="clear" w:color="auto" w:fill="FFFFFF"/>
        </w:rPr>
        <w:t xml:space="preserve">fue sentenciada a 15 años de restricción domiciliaria; en el caso de las hermanas Esther y Eunice, </w:t>
      </w:r>
      <w:r w:rsidR="004E1D46" w:rsidRPr="00F84C36">
        <w:rPr>
          <w:rFonts w:ascii="Book Antiqua" w:hAnsi="Book Antiqua"/>
          <w:color w:val="333333"/>
          <w:shd w:val="clear" w:color="auto" w:fill="FFFFFF"/>
        </w:rPr>
        <w:t xml:space="preserve">el alegado responsable </w:t>
      </w:r>
      <w:r w:rsidR="000F7BDE" w:rsidRPr="00F84C36">
        <w:rPr>
          <w:rFonts w:ascii="Book Antiqua" w:hAnsi="Book Antiqua"/>
          <w:color w:val="333333"/>
          <w:shd w:val="clear" w:color="auto" w:fill="FFFFFF"/>
        </w:rPr>
        <w:t>aún</w:t>
      </w:r>
      <w:r w:rsidR="004E1D46" w:rsidRPr="00F84C36">
        <w:rPr>
          <w:rFonts w:ascii="Book Antiqua" w:hAnsi="Book Antiqua"/>
          <w:color w:val="333333"/>
          <w:shd w:val="clear" w:color="auto" w:fill="FFFFFF"/>
        </w:rPr>
        <w:t xml:space="preserve"> </w:t>
      </w:r>
      <w:r w:rsidR="000F7BDE" w:rsidRPr="00F84C36">
        <w:rPr>
          <w:rFonts w:ascii="Book Antiqua" w:hAnsi="Book Antiqua"/>
          <w:color w:val="333333"/>
          <w:shd w:val="clear" w:color="auto" w:fill="FFFFFF"/>
        </w:rPr>
        <w:t>espera por</w:t>
      </w:r>
      <w:r w:rsidR="004E1D46" w:rsidRPr="00F84C36">
        <w:rPr>
          <w:rFonts w:ascii="Book Antiqua" w:hAnsi="Book Antiqua"/>
          <w:color w:val="333333"/>
          <w:shd w:val="clear" w:color="auto" w:fill="FFFFFF"/>
        </w:rPr>
        <w:t xml:space="preserve"> su día en corte.</w:t>
      </w:r>
      <w:r w:rsidR="0006757A">
        <w:rPr>
          <w:rFonts w:ascii="Book Antiqua" w:hAnsi="Book Antiqua"/>
          <w:color w:val="333333"/>
          <w:shd w:val="clear" w:color="auto" w:fill="FFFFFF"/>
        </w:rPr>
        <w:t xml:space="preserve"> A tales efectos</w:t>
      </w:r>
      <w:r w:rsidR="007E7DD1">
        <w:rPr>
          <w:rFonts w:ascii="Book Antiqua" w:hAnsi="Book Antiqua"/>
          <w:color w:val="333333"/>
          <w:shd w:val="clear" w:color="auto" w:fill="FFFFFF"/>
        </w:rPr>
        <w:t xml:space="preserve">, </w:t>
      </w:r>
      <w:r w:rsidR="00816BAF">
        <w:rPr>
          <w:rFonts w:ascii="Book Antiqua" w:hAnsi="Book Antiqua"/>
          <w:color w:val="333333"/>
          <w:shd w:val="clear" w:color="auto" w:fill="FFFFFF"/>
        </w:rPr>
        <w:t xml:space="preserve">la Asamblea Legislativa </w:t>
      </w:r>
      <w:r w:rsidR="002E4EC1">
        <w:rPr>
          <w:rFonts w:ascii="Book Antiqua" w:hAnsi="Book Antiqua"/>
          <w:color w:val="333333"/>
          <w:shd w:val="clear" w:color="auto" w:fill="FFFFFF"/>
        </w:rPr>
        <w:t>expresa</w:t>
      </w:r>
      <w:r w:rsidR="00C94C59">
        <w:rPr>
          <w:rFonts w:ascii="Book Antiqua" w:hAnsi="Book Antiqua"/>
          <w:color w:val="333333"/>
          <w:shd w:val="clear" w:color="auto" w:fill="FFFFFF"/>
        </w:rPr>
        <w:t xml:space="preserve"> en el proyecto de ley bajo análisis que: </w:t>
      </w:r>
    </w:p>
    <w:p w14:paraId="3D84FF0B" w14:textId="1C781946" w:rsidR="00432086" w:rsidRPr="00F84C36" w:rsidRDefault="00432086" w:rsidP="00E06368">
      <w:pPr>
        <w:spacing w:after="0" w:line="240" w:lineRule="auto"/>
        <w:ind w:left="720" w:right="720" w:firstLine="696"/>
        <w:jc w:val="both"/>
        <w:rPr>
          <w:rFonts w:ascii="Book Antiqua" w:hAnsi="Book Antiqua"/>
          <w:shd w:val="clear" w:color="auto" w:fill="FFFFFF"/>
        </w:rPr>
      </w:pPr>
      <w:r w:rsidRPr="00F84C36">
        <w:rPr>
          <w:rFonts w:ascii="Book Antiqua" w:hAnsi="Book Antiqua"/>
          <w:shd w:val="clear" w:color="auto" w:fill="FFFFFF"/>
        </w:rPr>
        <w:t>Un conductor ebrio sabe o debe saber que el consumo de alcohol afecta su capacidad para manejar y que conducir en la vía pública en ese estado incrementa drásticamente el riesgo de accidentes y la posibilidad de causar la muerte de otras personas. A pesar de este conocimiento, elige conducir, demostrando una total indiferencia ante el peligro que representa. Además, tanto la decisión de ingerir alcohol como la de ponerse al volante son actos conscientes y voluntarios…</w:t>
      </w:r>
      <w:r w:rsidR="00E06368" w:rsidRPr="00F84C36">
        <w:rPr>
          <w:rFonts w:ascii="Book Antiqua" w:hAnsi="Book Antiqua"/>
          <w:shd w:val="clear" w:color="auto" w:fill="FFFFFF"/>
        </w:rPr>
        <w:t xml:space="preserve">  </w:t>
      </w:r>
      <w:r w:rsidRPr="00F84C36">
        <w:rPr>
          <w:rFonts w:ascii="Book Antiqua" w:hAnsi="Book Antiqua"/>
          <w:shd w:val="clear" w:color="auto" w:fill="FFFFFF"/>
        </w:rPr>
        <w:t xml:space="preserve">Por lo tanto, la conducción en estado de embriaguez no solo implica una plena conciencia del riesgo, sino también una indiferencia absoluta ante la seguridad propia y la de los </w:t>
      </w:r>
      <w:r w:rsidRPr="00F84C36">
        <w:rPr>
          <w:rFonts w:ascii="Book Antiqua" w:hAnsi="Book Antiqua"/>
          <w:shd w:val="clear" w:color="auto" w:fill="FFFFFF"/>
        </w:rPr>
        <w:lastRenderedPageBreak/>
        <w:t>demás. A través de esta legislación, buscamos justicia, concienciación y un compromiso renovado con la seguridad vial en Puerto Rico. Dada su gravedad, esta conducta debe ser sancionada con el mayor rigor penal para proteger la vida y la integridad física de la ciudadanía.</w:t>
      </w:r>
      <w:r w:rsidRPr="00F84C36">
        <w:rPr>
          <w:rStyle w:val="FootnoteReference"/>
          <w:rFonts w:ascii="Book Antiqua" w:hAnsi="Book Antiqua"/>
          <w:shd w:val="clear" w:color="auto" w:fill="FFFFFF"/>
        </w:rPr>
        <w:footnoteReference w:id="7"/>
      </w:r>
    </w:p>
    <w:p w14:paraId="7E91970B" w14:textId="77777777" w:rsidR="00432086" w:rsidRPr="00F84C36" w:rsidRDefault="00432086" w:rsidP="00E06368">
      <w:pPr>
        <w:spacing w:after="0" w:line="360" w:lineRule="auto"/>
        <w:jc w:val="both"/>
        <w:rPr>
          <w:rFonts w:ascii="Book Antiqua" w:eastAsia="Times New Roman" w:hAnsi="Book Antiqua" w:cs="Times New Roman"/>
          <w:kern w:val="0"/>
          <w14:ligatures w14:val="none"/>
        </w:rPr>
      </w:pPr>
    </w:p>
    <w:p w14:paraId="186B06D2" w14:textId="74245AF1" w:rsidR="00B166D9" w:rsidRPr="00F84C36" w:rsidRDefault="00DE4263" w:rsidP="000F7BDE">
      <w:pPr>
        <w:spacing w:after="0" w:line="298" w:lineRule="auto"/>
        <w:ind w:firstLine="706"/>
        <w:jc w:val="both"/>
        <w:rPr>
          <w:rFonts w:ascii="Book Antiqua" w:hAnsi="Book Antiqua"/>
        </w:rPr>
      </w:pPr>
      <w:r w:rsidRPr="00F84C36">
        <w:rPr>
          <w:rFonts w:ascii="Book Antiqua" w:eastAsia="Times New Roman" w:hAnsi="Book Antiqua" w:cs="Times New Roman"/>
          <w:kern w:val="0"/>
          <w14:ligatures w14:val="none"/>
        </w:rPr>
        <w:t>Teniendo presente todo lo anterior</w:t>
      </w:r>
      <w:r w:rsidR="00E06368" w:rsidRPr="00F84C36">
        <w:rPr>
          <w:rFonts w:ascii="Book Antiqua" w:eastAsia="Times New Roman" w:hAnsi="Book Antiqua" w:cs="Times New Roman"/>
          <w:kern w:val="0"/>
          <w14:ligatures w14:val="none"/>
        </w:rPr>
        <w:t xml:space="preserve">, el P. de la C. 321, que de ser aprobado por la Asamblea Legislativa y firmado por la Gobernadora, se convertiría en la </w:t>
      </w:r>
      <w:r w:rsidR="00E06368" w:rsidRPr="00F84C36">
        <w:rPr>
          <w:rFonts w:ascii="Book Antiqua" w:hAnsi="Book Antiqua"/>
        </w:rPr>
        <w:t>“</w:t>
      </w:r>
      <w:r w:rsidR="004B3E3A" w:rsidRPr="002236D8">
        <w:rPr>
          <w:rFonts w:ascii="Book Antiqua" w:hAnsi="Book Antiqua"/>
        </w:rPr>
        <w:t xml:space="preserve">Ley para hacer </w:t>
      </w:r>
      <w:r w:rsidR="004B3E3A">
        <w:rPr>
          <w:rFonts w:ascii="Book Antiqua" w:hAnsi="Book Antiqua"/>
        </w:rPr>
        <w:t>J</w:t>
      </w:r>
      <w:r w:rsidR="004B3E3A" w:rsidRPr="002236D8">
        <w:rPr>
          <w:rFonts w:ascii="Book Antiqua" w:hAnsi="Book Antiqua"/>
        </w:rPr>
        <w:t xml:space="preserve">usticia a las </w:t>
      </w:r>
      <w:r w:rsidR="004B3E3A">
        <w:rPr>
          <w:rFonts w:ascii="Book Antiqua" w:hAnsi="Book Antiqua"/>
        </w:rPr>
        <w:t>V</w:t>
      </w:r>
      <w:r w:rsidR="004B3E3A" w:rsidRPr="002236D8">
        <w:rPr>
          <w:rFonts w:ascii="Book Antiqua" w:hAnsi="Book Antiqua"/>
        </w:rPr>
        <w:t xml:space="preserve">íctimas de </w:t>
      </w:r>
      <w:r w:rsidR="004B3E3A">
        <w:rPr>
          <w:rFonts w:ascii="Book Antiqua" w:hAnsi="Book Antiqua"/>
        </w:rPr>
        <w:t>C</w:t>
      </w:r>
      <w:r w:rsidR="004B3E3A" w:rsidRPr="00A006A6">
        <w:rPr>
          <w:rFonts w:ascii="Book Antiqua" w:hAnsi="Book Antiqua"/>
        </w:rPr>
        <w:t>onductores</w:t>
      </w:r>
      <w:r w:rsidR="004B3E3A" w:rsidRPr="002236D8">
        <w:rPr>
          <w:rFonts w:ascii="Book Antiqua" w:hAnsi="Book Antiqua"/>
        </w:rPr>
        <w:t xml:space="preserve"> bajo estado de </w:t>
      </w:r>
      <w:r w:rsidR="004B3E3A">
        <w:rPr>
          <w:rFonts w:ascii="Book Antiqua" w:hAnsi="Book Antiqua"/>
        </w:rPr>
        <w:t>E</w:t>
      </w:r>
      <w:r w:rsidR="004B3E3A" w:rsidRPr="002236D8">
        <w:rPr>
          <w:rFonts w:ascii="Book Antiqua" w:hAnsi="Book Antiqua"/>
        </w:rPr>
        <w:t xml:space="preserve">mbriaguez y otras </w:t>
      </w:r>
      <w:r w:rsidR="004B3E3A">
        <w:rPr>
          <w:rFonts w:ascii="Book Antiqua" w:hAnsi="Book Antiqua"/>
        </w:rPr>
        <w:t>S</w:t>
      </w:r>
      <w:r w:rsidR="004B3E3A" w:rsidRPr="002236D8">
        <w:rPr>
          <w:rFonts w:ascii="Book Antiqua" w:hAnsi="Book Antiqua"/>
        </w:rPr>
        <w:t xml:space="preserve">ustancias </w:t>
      </w:r>
      <w:r w:rsidR="004B3E3A">
        <w:rPr>
          <w:rFonts w:ascii="Book Antiqua" w:hAnsi="Book Antiqua"/>
        </w:rPr>
        <w:t>C</w:t>
      </w:r>
      <w:r w:rsidR="004B3E3A" w:rsidRPr="002236D8">
        <w:rPr>
          <w:rFonts w:ascii="Book Antiqua" w:hAnsi="Book Antiqua"/>
        </w:rPr>
        <w:t>ontroladas</w:t>
      </w:r>
      <w:r w:rsidR="00E06368" w:rsidRPr="00F84C36">
        <w:rPr>
          <w:rFonts w:ascii="Book Antiqua" w:hAnsi="Book Antiqua"/>
        </w:rPr>
        <w:t>”</w:t>
      </w:r>
      <w:r w:rsidR="000D7951" w:rsidRPr="00F84C36">
        <w:rPr>
          <w:rFonts w:ascii="Book Antiqua" w:hAnsi="Book Antiqua"/>
        </w:rPr>
        <w:t xml:space="preserve">, enmendaría la Ley Núm. 259 de 3 de abril de 1946, según enmendada, conocida como “Ley de Sentencia Suspendida y Libertad a Prueba”. </w:t>
      </w:r>
      <w:r w:rsidR="000F7BDE" w:rsidRPr="00F84C36">
        <w:rPr>
          <w:rFonts w:ascii="Book Antiqua" w:hAnsi="Book Antiqua"/>
        </w:rPr>
        <w:t>L</w:t>
      </w:r>
      <w:r w:rsidR="00B166D9" w:rsidRPr="00F84C36">
        <w:rPr>
          <w:rFonts w:ascii="Book Antiqua" w:hAnsi="Book Antiqua"/>
        </w:rPr>
        <w:t xml:space="preserve">a enmienda propuesta consiste de disponer que </w:t>
      </w:r>
      <w:r w:rsidR="00D26763" w:rsidRPr="00F84C36">
        <w:rPr>
          <w:rFonts w:ascii="Book Antiqua" w:hAnsi="Book Antiqua"/>
        </w:rPr>
        <w:t>e</w:t>
      </w:r>
      <w:r w:rsidR="00B166D9" w:rsidRPr="00F84C36">
        <w:rPr>
          <w:rFonts w:ascii="Book Antiqua" w:hAnsi="Book Antiqua"/>
        </w:rPr>
        <w:t>l Tribunal de Primera Instancia podrá suspenderle a una persona los efectos de la sentencia de reclusión en todo caso de delito grave y todo caso de delito menos grave que surja de los mismos hechos o de la misma transacción, que no fuere convicta como</w:t>
      </w:r>
      <w:r w:rsidR="00B166D9" w:rsidRPr="00F84C36">
        <w:rPr>
          <w:rFonts w:ascii="Book Antiqua" w:hAnsi="Book Antiqua"/>
          <w:i/>
          <w:iCs/>
        </w:rPr>
        <w:t xml:space="preserve"> </w:t>
      </w:r>
      <w:r w:rsidR="00B166D9" w:rsidRPr="00F84C36">
        <w:rPr>
          <w:rFonts w:ascii="Book Antiqua" w:hAnsi="Book Antiqua"/>
        </w:rPr>
        <w:t>consecuencia de c</w:t>
      </w:r>
      <w:r w:rsidR="00B166D9" w:rsidRPr="00F84C36">
        <w:rPr>
          <w:rFonts w:ascii="Book Antiqua" w:hAnsi="Book Antiqua"/>
          <w:color w:val="000000"/>
        </w:rPr>
        <w:t>onducir un vehículo, vehículo de motor o vehículo todo terreno, bajo los efectos de bebidas embriagantes, drogas o sustancias controladas</w:t>
      </w:r>
      <w:r w:rsidR="00B166D9" w:rsidRPr="00F84C36">
        <w:rPr>
          <w:rFonts w:ascii="Book Antiqua" w:hAnsi="Book Antiqua"/>
        </w:rPr>
        <w:t>, y que cause grave daño corporal o la muerte a otro ser humano, sujeta a las penalidades establecidas en el Artículo 7.06 de dicha ley.</w:t>
      </w:r>
      <w:r w:rsidR="00B166D9" w:rsidRPr="00F84C36">
        <w:rPr>
          <w:rStyle w:val="FootnoteReference"/>
          <w:rFonts w:ascii="Book Antiqua" w:hAnsi="Book Antiqua"/>
        </w:rPr>
        <w:footnoteReference w:id="8"/>
      </w:r>
      <w:r w:rsidR="004B3E3A">
        <w:rPr>
          <w:rFonts w:ascii="Book Antiqua" w:hAnsi="Book Antiqua"/>
        </w:rPr>
        <w:t xml:space="preserve"> </w:t>
      </w:r>
    </w:p>
    <w:p w14:paraId="15C16C24" w14:textId="77777777" w:rsidR="000F7BDE" w:rsidRPr="00F84C36" w:rsidRDefault="000F7BDE" w:rsidP="000F7BDE">
      <w:pPr>
        <w:spacing w:after="0" w:line="298" w:lineRule="auto"/>
        <w:ind w:firstLine="706"/>
        <w:jc w:val="both"/>
        <w:rPr>
          <w:rFonts w:ascii="Book Antiqua" w:hAnsi="Book Antiqua"/>
          <w:shd w:val="clear" w:color="auto" w:fill="FFFFFF"/>
        </w:rPr>
      </w:pPr>
    </w:p>
    <w:p w14:paraId="1A9D99B3" w14:textId="1A068E62" w:rsidR="00FD7233" w:rsidRDefault="00FD7233" w:rsidP="00FD7233">
      <w:pPr>
        <w:spacing w:after="0" w:line="240" w:lineRule="auto"/>
        <w:jc w:val="center"/>
        <w:rPr>
          <w:rFonts w:ascii="Book Antiqua" w:eastAsia="Times New Roman" w:hAnsi="Book Antiqua" w:cs="Times New Roman"/>
          <w:b/>
          <w:bCs/>
          <w:spacing w:val="12"/>
          <w:kern w:val="0"/>
          <w14:ligatures w14:val="none"/>
        </w:rPr>
      </w:pPr>
      <w:r w:rsidRPr="00F84C36">
        <w:rPr>
          <w:rFonts w:ascii="Book Antiqua" w:eastAsia="Times New Roman" w:hAnsi="Book Antiqua" w:cs="Times New Roman"/>
          <w:b/>
          <w:bCs/>
          <w:spacing w:val="12"/>
          <w:kern w:val="0"/>
          <w14:ligatures w14:val="none"/>
        </w:rPr>
        <w:t>COMENTARIOS SOBRE LA MEDIDA</w:t>
      </w:r>
    </w:p>
    <w:p w14:paraId="212C51E1" w14:textId="77777777" w:rsidR="00CE27B3" w:rsidRPr="00F84C36" w:rsidRDefault="00CE27B3" w:rsidP="00FD7233">
      <w:pPr>
        <w:spacing w:after="0" w:line="240" w:lineRule="auto"/>
        <w:jc w:val="center"/>
        <w:rPr>
          <w:rFonts w:ascii="Book Antiqua" w:eastAsia="Times New Roman" w:hAnsi="Book Antiqua" w:cs="Times New Roman"/>
          <w:b/>
          <w:bCs/>
          <w:spacing w:val="12"/>
          <w:kern w:val="0"/>
          <w14:ligatures w14:val="none"/>
        </w:rPr>
      </w:pPr>
    </w:p>
    <w:p w14:paraId="3CD2C463" w14:textId="496D1A23" w:rsidR="00FD7233" w:rsidRPr="00F84C36" w:rsidRDefault="006B02FF" w:rsidP="00FD7233">
      <w:pPr>
        <w:spacing w:after="0" w:line="298" w:lineRule="auto"/>
        <w:ind w:firstLine="706"/>
        <w:jc w:val="both"/>
        <w:rPr>
          <w:rFonts w:ascii="Book Antiqua" w:hAnsi="Book Antiqua"/>
          <w:shd w:val="clear" w:color="auto" w:fill="FFFFFF"/>
        </w:rPr>
      </w:pPr>
      <w:r w:rsidRPr="00F84C36">
        <w:rPr>
          <w:rFonts w:ascii="Book Antiqua" w:hAnsi="Book Antiqua"/>
        </w:rPr>
        <w:t>Esta Comisión de lo Jurídico</w:t>
      </w:r>
      <w:r w:rsidR="00DE4263" w:rsidRPr="00F84C36">
        <w:rPr>
          <w:rFonts w:ascii="Book Antiqua" w:hAnsi="Book Antiqua"/>
        </w:rPr>
        <w:t xml:space="preserve"> recibió el insumo y comentarios de distintas entidades públicas y privadas, así como de un ciudadano particular, </w:t>
      </w:r>
      <w:r w:rsidR="00A31858" w:rsidRPr="00F84C36">
        <w:rPr>
          <w:rFonts w:ascii="Book Antiqua" w:hAnsi="Book Antiqua"/>
        </w:rPr>
        <w:t>con relación a</w:t>
      </w:r>
      <w:r w:rsidR="00DE4263" w:rsidRPr="00F84C36">
        <w:rPr>
          <w:rFonts w:ascii="Book Antiqua" w:hAnsi="Book Antiqua"/>
        </w:rPr>
        <w:t xml:space="preserve"> la intención legislativa plasmada en el P. de la C</w:t>
      </w:r>
      <w:r w:rsidR="00FD7233" w:rsidRPr="00F84C36">
        <w:rPr>
          <w:rFonts w:ascii="Book Antiqua" w:hAnsi="Book Antiqua"/>
          <w:shd w:val="clear" w:color="auto" w:fill="FFFFFF"/>
        </w:rPr>
        <w:t>.</w:t>
      </w:r>
      <w:r w:rsidR="00DE4263" w:rsidRPr="00F84C36">
        <w:rPr>
          <w:rFonts w:ascii="Book Antiqua" w:hAnsi="Book Antiqua"/>
          <w:shd w:val="clear" w:color="auto" w:fill="FFFFFF"/>
        </w:rPr>
        <w:t xml:space="preserve"> 321. Procedemos a resumir los puntos más importantes que fueron evaluados por esta comisión. </w:t>
      </w:r>
    </w:p>
    <w:p w14:paraId="696B9078" w14:textId="77777777" w:rsidR="002C2D88" w:rsidRDefault="002C2D88" w:rsidP="002C2D88">
      <w:pPr>
        <w:spacing w:after="0" w:line="298" w:lineRule="auto"/>
        <w:ind w:firstLine="706"/>
        <w:jc w:val="both"/>
        <w:rPr>
          <w:rFonts w:ascii="Book Antiqua" w:hAnsi="Book Antiqua"/>
          <w:b/>
          <w:bCs/>
        </w:rPr>
      </w:pPr>
    </w:p>
    <w:p w14:paraId="2C3B4900" w14:textId="55EC6856" w:rsidR="001A1FF4" w:rsidRDefault="004E696C" w:rsidP="002C2D88">
      <w:pPr>
        <w:spacing w:after="0" w:line="298" w:lineRule="auto"/>
        <w:ind w:firstLine="706"/>
        <w:jc w:val="center"/>
        <w:rPr>
          <w:rFonts w:ascii="Book Antiqua" w:hAnsi="Book Antiqua"/>
          <w:b/>
          <w:bCs/>
          <w:u w:val="single"/>
        </w:rPr>
      </w:pPr>
      <w:r w:rsidRPr="002236D8">
        <w:rPr>
          <w:rFonts w:ascii="Book Antiqua" w:hAnsi="Book Antiqua"/>
          <w:b/>
          <w:bCs/>
          <w:u w:val="single"/>
        </w:rPr>
        <w:t>Departament</w:t>
      </w:r>
      <w:r w:rsidR="00EB6709" w:rsidRPr="002236D8">
        <w:rPr>
          <w:rFonts w:ascii="Book Antiqua" w:hAnsi="Book Antiqua"/>
          <w:b/>
          <w:bCs/>
          <w:u w:val="single"/>
        </w:rPr>
        <w:t>o</w:t>
      </w:r>
      <w:r w:rsidR="00DE4263" w:rsidRPr="002236D8">
        <w:rPr>
          <w:rFonts w:ascii="Book Antiqua" w:hAnsi="Book Antiqua"/>
          <w:b/>
          <w:bCs/>
          <w:u w:val="single"/>
        </w:rPr>
        <w:t xml:space="preserve"> de Justicia</w:t>
      </w:r>
    </w:p>
    <w:p w14:paraId="63740F24" w14:textId="77777777" w:rsidR="002C2D88" w:rsidRPr="002236D8" w:rsidRDefault="002C2D88" w:rsidP="002236D8">
      <w:pPr>
        <w:spacing w:after="0" w:line="298" w:lineRule="auto"/>
        <w:ind w:firstLine="706"/>
        <w:jc w:val="center"/>
        <w:rPr>
          <w:rFonts w:ascii="Book Antiqua" w:hAnsi="Book Antiqua"/>
          <w:b/>
          <w:bCs/>
          <w:u w:val="single"/>
        </w:rPr>
      </w:pPr>
    </w:p>
    <w:p w14:paraId="1A6B55FC" w14:textId="18167DEF" w:rsidR="00DE4263" w:rsidRPr="00F84C36" w:rsidRDefault="00DE4263" w:rsidP="000F7BDE">
      <w:pPr>
        <w:spacing w:after="0" w:line="298" w:lineRule="auto"/>
        <w:ind w:firstLine="706"/>
        <w:jc w:val="both"/>
        <w:rPr>
          <w:rFonts w:ascii="Book Antiqua" w:hAnsi="Book Antiqua"/>
        </w:rPr>
      </w:pPr>
      <w:r w:rsidRPr="00F84C36">
        <w:rPr>
          <w:rFonts w:ascii="Book Antiqua" w:hAnsi="Book Antiqua"/>
        </w:rPr>
        <w:t xml:space="preserve">Bajo la firma de </w:t>
      </w:r>
      <w:r w:rsidR="001A0BCA" w:rsidRPr="00F84C36">
        <w:rPr>
          <w:rFonts w:ascii="Book Antiqua" w:hAnsi="Book Antiqua"/>
        </w:rPr>
        <w:t>su</w:t>
      </w:r>
      <w:r w:rsidRPr="00F84C36">
        <w:rPr>
          <w:rFonts w:ascii="Book Antiqua" w:hAnsi="Book Antiqua"/>
        </w:rPr>
        <w:t xml:space="preserve"> </w:t>
      </w:r>
      <w:r w:rsidR="001A0BCA" w:rsidRPr="00F84C36">
        <w:rPr>
          <w:rFonts w:ascii="Book Antiqua" w:hAnsi="Book Antiqua"/>
        </w:rPr>
        <w:t>S</w:t>
      </w:r>
      <w:r w:rsidRPr="00F84C36">
        <w:rPr>
          <w:rFonts w:ascii="Book Antiqua" w:hAnsi="Book Antiqua"/>
        </w:rPr>
        <w:t xml:space="preserve">ecretaria </w:t>
      </w:r>
      <w:r w:rsidR="001A0BCA" w:rsidRPr="00F84C36">
        <w:rPr>
          <w:rFonts w:ascii="Book Antiqua" w:hAnsi="Book Antiqua"/>
        </w:rPr>
        <w:t>i</w:t>
      </w:r>
      <w:r w:rsidRPr="00F84C36">
        <w:rPr>
          <w:rFonts w:ascii="Book Antiqua" w:hAnsi="Book Antiqua"/>
        </w:rPr>
        <w:t xml:space="preserve">nterina, </w:t>
      </w:r>
      <w:proofErr w:type="spellStart"/>
      <w:r w:rsidRPr="00F84C36">
        <w:rPr>
          <w:rFonts w:ascii="Book Antiqua" w:hAnsi="Book Antiqua"/>
        </w:rPr>
        <w:t>Lynnette</w:t>
      </w:r>
      <w:proofErr w:type="spellEnd"/>
      <w:r w:rsidRPr="00F84C36">
        <w:rPr>
          <w:rFonts w:ascii="Book Antiqua" w:hAnsi="Book Antiqua"/>
        </w:rPr>
        <w:t xml:space="preserve"> Velázquez Grau, </w:t>
      </w:r>
      <w:r w:rsidR="001A0BCA" w:rsidRPr="00F84C36">
        <w:rPr>
          <w:rFonts w:ascii="Book Antiqua" w:hAnsi="Book Antiqua"/>
        </w:rPr>
        <w:t xml:space="preserve">el Departamento de Justicia </w:t>
      </w:r>
      <w:r w:rsidRPr="00F84C36">
        <w:rPr>
          <w:rFonts w:ascii="Book Antiqua" w:hAnsi="Book Antiqua"/>
        </w:rPr>
        <w:t>nos informa que</w:t>
      </w:r>
      <w:r w:rsidR="004347CD">
        <w:rPr>
          <w:rFonts w:ascii="Book Antiqua" w:hAnsi="Book Antiqua"/>
        </w:rPr>
        <w:t>,</w:t>
      </w:r>
      <w:r w:rsidRPr="00F84C36">
        <w:rPr>
          <w:rFonts w:ascii="Book Antiqua" w:hAnsi="Book Antiqua"/>
        </w:rPr>
        <w:t>-además de lo que ya hemos adelantado</w:t>
      </w:r>
      <w:r w:rsidR="004347CD">
        <w:rPr>
          <w:rFonts w:ascii="Book Antiqua" w:hAnsi="Book Antiqua"/>
        </w:rPr>
        <w:t>,</w:t>
      </w:r>
      <w:r w:rsidRPr="00F84C36">
        <w:rPr>
          <w:rFonts w:ascii="Book Antiqua" w:hAnsi="Book Antiqua"/>
        </w:rPr>
        <w:t xml:space="preserve"> se encuentran inmersos en la apelación que han presentado a nombre del Pueblo de Puerto Rico para cuestionar la citada determinación judicial en el caso que le provocó la muerte al joven </w:t>
      </w:r>
      <w:r w:rsidRPr="00F84C36">
        <w:rPr>
          <w:rFonts w:ascii="Book Antiqua" w:hAnsi="Book Antiqua"/>
        </w:rPr>
        <w:lastRenderedPageBreak/>
        <w:t>Justin Rafel Santos</w:t>
      </w:r>
      <w:r w:rsidRPr="00F84C36">
        <w:rPr>
          <w:rStyle w:val="FootnoteReference"/>
          <w:rFonts w:ascii="Book Antiqua" w:hAnsi="Book Antiqua"/>
        </w:rPr>
        <w:footnoteReference w:id="9"/>
      </w:r>
      <w:r w:rsidRPr="00F84C36">
        <w:rPr>
          <w:rFonts w:ascii="Book Antiqua" w:hAnsi="Book Antiqua"/>
        </w:rPr>
        <w:t xml:space="preserve">. Teniendo presente que se trata de un asunto que todavía se encuentra bajo la consideración de nuestros tribunales, se han abstenido de </w:t>
      </w:r>
      <w:r w:rsidR="00977EE6">
        <w:rPr>
          <w:rFonts w:ascii="Book Antiqua" w:hAnsi="Book Antiqua"/>
        </w:rPr>
        <w:t>realizar</w:t>
      </w:r>
      <w:r w:rsidRPr="00F84C36">
        <w:rPr>
          <w:rFonts w:ascii="Book Antiqua" w:hAnsi="Book Antiqua"/>
        </w:rPr>
        <w:t xml:space="preserve"> comentarios sobre la medida</w:t>
      </w:r>
      <w:r w:rsidR="00660E3A">
        <w:rPr>
          <w:rFonts w:ascii="Book Antiqua" w:hAnsi="Book Antiqua"/>
        </w:rPr>
        <w:t xml:space="preserve"> más allá de los asuntos estrictamente de derecho</w:t>
      </w:r>
      <w:r w:rsidRPr="00F84C36">
        <w:rPr>
          <w:rFonts w:ascii="Book Antiqua" w:hAnsi="Book Antiqua"/>
        </w:rPr>
        <w:t xml:space="preserve">. </w:t>
      </w:r>
      <w:r w:rsidR="00660E3A">
        <w:rPr>
          <w:rFonts w:ascii="Book Antiqua" w:hAnsi="Book Antiqua"/>
        </w:rPr>
        <w:t>En lo pertinente</w:t>
      </w:r>
      <w:r w:rsidR="004B39EC">
        <w:rPr>
          <w:rFonts w:ascii="Book Antiqua" w:hAnsi="Book Antiqua"/>
        </w:rPr>
        <w:t>,</w:t>
      </w:r>
      <w:r w:rsidRPr="00F84C36">
        <w:rPr>
          <w:rFonts w:ascii="Book Antiqua" w:hAnsi="Book Antiqua"/>
        </w:rPr>
        <w:t xml:space="preserve"> </w:t>
      </w:r>
      <w:r w:rsidR="004B39EC">
        <w:rPr>
          <w:rFonts w:ascii="Book Antiqua" w:hAnsi="Book Antiqua"/>
        </w:rPr>
        <w:t>el Departamento de Justicia informa</w:t>
      </w:r>
      <w:r w:rsidRPr="00F84C36">
        <w:rPr>
          <w:rFonts w:ascii="Book Antiqua" w:hAnsi="Book Antiqua"/>
        </w:rPr>
        <w:t xml:space="preserve"> que el lenguaje del P. de la C. 321 es cónsono con lo ya expuesto en el </w:t>
      </w:r>
      <w:r w:rsidR="00F06D9A" w:rsidRPr="00F84C36">
        <w:rPr>
          <w:rFonts w:ascii="Book Antiqua" w:hAnsi="Book Antiqua"/>
        </w:rPr>
        <w:t>Art. 7.08 de la Ley 22-2000, Ley de Vehículos y Tránsito, según enmendada</w:t>
      </w:r>
      <w:r w:rsidR="00F06D9A" w:rsidRPr="00F84C36">
        <w:rPr>
          <w:rStyle w:val="FootnoteReference"/>
          <w:rFonts w:ascii="Book Antiqua" w:hAnsi="Book Antiqua"/>
        </w:rPr>
        <w:footnoteReference w:id="10"/>
      </w:r>
      <w:r w:rsidR="00F06D9A" w:rsidRPr="00F84C36">
        <w:rPr>
          <w:rFonts w:ascii="Book Antiqua" w:hAnsi="Book Antiqua"/>
        </w:rPr>
        <w:t xml:space="preserve">. </w:t>
      </w:r>
    </w:p>
    <w:p w14:paraId="53144BE5" w14:textId="77777777" w:rsidR="00371A01" w:rsidRDefault="00371A01" w:rsidP="000F7BDE">
      <w:pPr>
        <w:spacing w:after="0" w:line="298" w:lineRule="auto"/>
        <w:ind w:firstLine="706"/>
        <w:jc w:val="both"/>
        <w:rPr>
          <w:rFonts w:ascii="Book Antiqua" w:hAnsi="Book Antiqua"/>
          <w:b/>
          <w:bCs/>
        </w:rPr>
      </w:pPr>
    </w:p>
    <w:p w14:paraId="4654708D" w14:textId="47C7B269" w:rsidR="00715AEE" w:rsidRPr="002236D8" w:rsidRDefault="00715AEE" w:rsidP="002236D8">
      <w:pPr>
        <w:spacing w:after="0" w:line="298" w:lineRule="auto"/>
        <w:ind w:firstLine="706"/>
        <w:jc w:val="center"/>
        <w:rPr>
          <w:rFonts w:ascii="Book Antiqua" w:hAnsi="Book Antiqua"/>
          <w:b/>
          <w:bCs/>
          <w:u w:val="single"/>
        </w:rPr>
      </w:pPr>
      <w:r w:rsidRPr="002236D8">
        <w:rPr>
          <w:rFonts w:ascii="Book Antiqua" w:hAnsi="Book Antiqua"/>
          <w:b/>
          <w:bCs/>
          <w:u w:val="single"/>
        </w:rPr>
        <w:t>Departamento de Seguridad Pública (DSP)</w:t>
      </w:r>
    </w:p>
    <w:p w14:paraId="412B3D95" w14:textId="77777777" w:rsidR="00371A01" w:rsidRPr="00F84C36" w:rsidRDefault="00371A01" w:rsidP="000F7BDE">
      <w:pPr>
        <w:spacing w:after="0" w:line="298" w:lineRule="auto"/>
        <w:ind w:firstLine="706"/>
        <w:jc w:val="both"/>
        <w:rPr>
          <w:rFonts w:ascii="Book Antiqua" w:hAnsi="Book Antiqua"/>
          <w:b/>
          <w:bCs/>
        </w:rPr>
      </w:pPr>
    </w:p>
    <w:p w14:paraId="20C699FE" w14:textId="259415FC" w:rsidR="00715AEE" w:rsidRDefault="00715AEE" w:rsidP="00715AEE">
      <w:pPr>
        <w:spacing w:after="0" w:line="298" w:lineRule="auto"/>
        <w:ind w:firstLine="706"/>
        <w:jc w:val="both"/>
        <w:rPr>
          <w:rFonts w:ascii="Book Antiqua" w:hAnsi="Book Antiqua"/>
        </w:rPr>
      </w:pPr>
      <w:r w:rsidRPr="00F84C36">
        <w:rPr>
          <w:rFonts w:ascii="Book Antiqua" w:hAnsi="Book Antiqua"/>
        </w:rPr>
        <w:t xml:space="preserve">El DSP, creado mediante la Ley 20-2017, conforma la aspiración de nuestro Pueblo de poder tener entornos públicos y privados, en donde estemos en el menor riesgo posible para nuestra vida, salud, seguridad y en el que estemos protegidos. </w:t>
      </w:r>
      <w:r w:rsidRPr="00715AEE">
        <w:rPr>
          <w:rFonts w:ascii="Book Antiqua" w:hAnsi="Book Antiqua"/>
        </w:rPr>
        <w:t xml:space="preserve">El propósito de la medida incide en uno de </w:t>
      </w:r>
      <w:r w:rsidRPr="00F84C36">
        <w:rPr>
          <w:rFonts w:ascii="Book Antiqua" w:hAnsi="Book Antiqua"/>
        </w:rPr>
        <w:t>los componentes de dicho Departamento:</w:t>
      </w:r>
      <w:r w:rsidRPr="00715AEE">
        <w:rPr>
          <w:rFonts w:ascii="Book Antiqua" w:hAnsi="Book Antiqua"/>
        </w:rPr>
        <w:t xml:space="preserve"> el Negociado de la Policía de Puerto Rico (NPPR); el cual tiene entre sus deberes y obligaciones proteger a las personas y</w:t>
      </w:r>
      <w:r w:rsidR="00A24C90">
        <w:rPr>
          <w:rFonts w:ascii="Book Antiqua" w:hAnsi="Book Antiqua"/>
        </w:rPr>
        <w:t xml:space="preserve"> </w:t>
      </w:r>
      <w:r w:rsidRPr="00715AEE">
        <w:rPr>
          <w:rFonts w:ascii="Book Antiqua" w:hAnsi="Book Antiqua"/>
        </w:rPr>
        <w:t>a la propiedad, mantener y conservar el orden público, observar y procurar la más absoluta protección de los derechos civiles del ciudadano, prevenir, descubrir, investigar y perseguir el delito, y dentro de la esfera de sus atribuciones, compeler obediencia a las leyes, ordenanzas municipales, y reglamentos que conforme a estas se promulguen.</w:t>
      </w:r>
    </w:p>
    <w:p w14:paraId="5F9F3BBF" w14:textId="77777777" w:rsidR="003429B9" w:rsidRPr="00F84C36" w:rsidRDefault="003429B9" w:rsidP="00715AEE">
      <w:pPr>
        <w:spacing w:after="0" w:line="298" w:lineRule="auto"/>
        <w:ind w:firstLine="706"/>
        <w:jc w:val="both"/>
        <w:rPr>
          <w:rFonts w:ascii="Book Antiqua" w:hAnsi="Book Antiqua"/>
        </w:rPr>
      </w:pPr>
    </w:p>
    <w:p w14:paraId="47F625F2" w14:textId="1CB7F698" w:rsidR="00715AEE" w:rsidRPr="00F84C36" w:rsidRDefault="00715AEE" w:rsidP="00715AEE">
      <w:pPr>
        <w:spacing w:after="0" w:line="298" w:lineRule="auto"/>
        <w:ind w:firstLine="706"/>
        <w:jc w:val="both"/>
        <w:rPr>
          <w:rFonts w:ascii="Book Antiqua" w:hAnsi="Book Antiqua"/>
        </w:rPr>
      </w:pPr>
      <w:r w:rsidRPr="00F84C36">
        <w:rPr>
          <w:rFonts w:ascii="Book Antiqua" w:hAnsi="Book Antiqua"/>
        </w:rPr>
        <w:t>Sobre la intención legislativa específica del P. de la C. 321, el DSP</w:t>
      </w:r>
      <w:r w:rsidR="00897743">
        <w:rPr>
          <w:rFonts w:ascii="Book Antiqua" w:hAnsi="Book Antiqua"/>
        </w:rPr>
        <w:t xml:space="preserve"> manifestó que</w:t>
      </w:r>
      <w:r w:rsidR="00E942B8" w:rsidRPr="00F84C36">
        <w:rPr>
          <w:rFonts w:ascii="Book Antiqua" w:hAnsi="Book Antiqua"/>
        </w:rPr>
        <w:t>:</w:t>
      </w:r>
    </w:p>
    <w:p w14:paraId="17C1F5A5" w14:textId="4A45C2F9" w:rsidR="000368D3" w:rsidRDefault="000368D3" w:rsidP="00BA1F27">
      <w:pPr>
        <w:spacing w:after="0" w:line="298" w:lineRule="auto"/>
        <w:ind w:firstLine="706"/>
        <w:jc w:val="both"/>
        <w:rPr>
          <w:rFonts w:ascii="Book Antiqua" w:hAnsi="Book Antiqua"/>
          <w:sz w:val="22"/>
          <w:szCs w:val="22"/>
        </w:rPr>
      </w:pPr>
      <w:r w:rsidRPr="002236D8">
        <w:rPr>
          <w:rFonts w:ascii="Book Antiqua" w:hAnsi="Book Antiqua"/>
          <w:sz w:val="22"/>
          <w:szCs w:val="22"/>
        </w:rPr>
        <w:t xml:space="preserve">El </w:t>
      </w:r>
      <w:r w:rsidR="00DC409D" w:rsidRPr="002236D8">
        <w:rPr>
          <w:rFonts w:ascii="Book Antiqua" w:hAnsi="Book Antiqua"/>
          <w:sz w:val="22"/>
          <w:szCs w:val="22"/>
        </w:rPr>
        <w:t>NTSP</w:t>
      </w:r>
      <w:r w:rsidRPr="002236D8">
        <w:rPr>
          <w:rFonts w:ascii="Book Antiqua" w:hAnsi="Book Antiqua"/>
          <w:sz w:val="22"/>
          <w:szCs w:val="22"/>
        </w:rPr>
        <w:t xml:space="preserve"> tiene como deber ministerial hacer cumplir las leyes, reglamentos y ordenanzas de tránsito, implementar estrategias para reducir muertes en las carreteras y combatir la amenaza de conductores ebrios, conforme a la política pública establecida en la Ley 22-2000, </w:t>
      </w:r>
      <w:r w:rsidR="00BA1F27">
        <w:rPr>
          <w:rFonts w:ascii="Book Antiqua" w:hAnsi="Book Antiqua"/>
          <w:sz w:val="22"/>
          <w:szCs w:val="22"/>
        </w:rPr>
        <w:t xml:space="preserve">según enmendada, </w:t>
      </w:r>
      <w:r w:rsidRPr="002236D8">
        <w:rPr>
          <w:rFonts w:ascii="Book Antiqua" w:hAnsi="Book Antiqua"/>
          <w:sz w:val="22"/>
          <w:szCs w:val="22"/>
        </w:rPr>
        <w:t xml:space="preserve">conocida como la </w:t>
      </w:r>
      <w:r w:rsidRPr="002236D8">
        <w:rPr>
          <w:rFonts w:ascii="Book Antiqua" w:hAnsi="Book Antiqua"/>
          <w:b/>
          <w:bCs/>
          <w:sz w:val="22"/>
          <w:szCs w:val="22"/>
        </w:rPr>
        <w:t>Ley de Vehículos y Tránsito de Puerto Rico</w:t>
      </w:r>
      <w:r w:rsidRPr="002236D8">
        <w:rPr>
          <w:rFonts w:ascii="Book Antiqua" w:hAnsi="Book Antiqua"/>
          <w:sz w:val="22"/>
          <w:szCs w:val="22"/>
        </w:rPr>
        <w:t>.</w:t>
      </w:r>
      <w:r w:rsidR="00BA1F27">
        <w:rPr>
          <w:rFonts w:ascii="Book Antiqua" w:hAnsi="Book Antiqua"/>
          <w:sz w:val="22"/>
          <w:szCs w:val="22"/>
        </w:rPr>
        <w:t xml:space="preserve"> A dichos fines, el</w:t>
      </w:r>
      <w:r w:rsidRPr="002236D8">
        <w:rPr>
          <w:rFonts w:ascii="Book Antiqua" w:hAnsi="Book Antiqua"/>
          <w:sz w:val="22"/>
          <w:szCs w:val="22"/>
        </w:rPr>
        <w:t xml:space="preserve"> NPPR ha estructurado su andamiaje operacional y desarrollado normativa interna para garantizar el cumplimiento de estas leyes por parte de sus miembros.</w:t>
      </w:r>
    </w:p>
    <w:p w14:paraId="26080212" w14:textId="77777777" w:rsidR="00BA1F27" w:rsidRPr="002236D8" w:rsidRDefault="00BA1F27" w:rsidP="00BA1F27">
      <w:pPr>
        <w:spacing w:after="0" w:line="298" w:lineRule="auto"/>
        <w:ind w:firstLine="706"/>
        <w:jc w:val="both"/>
        <w:rPr>
          <w:rFonts w:ascii="Book Antiqua" w:hAnsi="Book Antiqua"/>
          <w:sz w:val="22"/>
          <w:szCs w:val="22"/>
        </w:rPr>
      </w:pPr>
    </w:p>
    <w:p w14:paraId="06F972C4" w14:textId="02EC3BAD" w:rsidR="000368D3" w:rsidRDefault="00BA1F27" w:rsidP="000368D3">
      <w:pPr>
        <w:spacing w:after="0" w:line="298" w:lineRule="auto"/>
        <w:ind w:firstLine="706"/>
        <w:jc w:val="both"/>
        <w:rPr>
          <w:rFonts w:ascii="Book Antiqua" w:hAnsi="Book Antiqua"/>
          <w:sz w:val="22"/>
          <w:szCs w:val="22"/>
        </w:rPr>
      </w:pPr>
      <w:r>
        <w:rPr>
          <w:rFonts w:ascii="Book Antiqua" w:hAnsi="Book Antiqua"/>
          <w:sz w:val="22"/>
          <w:szCs w:val="22"/>
        </w:rPr>
        <w:t>Como parte de su escrito</w:t>
      </w:r>
      <w:r w:rsidR="000368D3" w:rsidRPr="002236D8">
        <w:rPr>
          <w:rFonts w:ascii="Book Antiqua" w:hAnsi="Book Antiqua"/>
          <w:sz w:val="22"/>
          <w:szCs w:val="22"/>
        </w:rPr>
        <w:t xml:space="preserve">, el DSP resaltó la importancia de atender el problema del aumento de accidentes de tránsito con fuga, fenómeno que motivó la aprobación de la Ley 154-2024, conocida como la "Ley Natalia Nicole Ayala Rivera". La ley surgió tras el trágico caso de Natalia Ayala Rivera, una joven deportista fallecida tras ser atropellada por un conductor </w:t>
      </w:r>
      <w:r w:rsidR="000368D3" w:rsidRPr="002236D8">
        <w:rPr>
          <w:rFonts w:ascii="Book Antiqua" w:hAnsi="Book Antiqua"/>
          <w:sz w:val="22"/>
          <w:szCs w:val="22"/>
        </w:rPr>
        <w:lastRenderedPageBreak/>
        <w:t xml:space="preserve">negligente que huyó de la escena. El sobreviviente, Carlos </w:t>
      </w:r>
      <w:proofErr w:type="spellStart"/>
      <w:r w:rsidR="000368D3" w:rsidRPr="002236D8">
        <w:rPr>
          <w:rFonts w:ascii="Book Antiqua" w:hAnsi="Book Antiqua"/>
          <w:sz w:val="22"/>
          <w:szCs w:val="22"/>
        </w:rPr>
        <w:t>Adih</w:t>
      </w:r>
      <w:proofErr w:type="spellEnd"/>
      <w:r w:rsidR="000368D3" w:rsidRPr="002236D8">
        <w:rPr>
          <w:rFonts w:ascii="Book Antiqua" w:hAnsi="Book Antiqua"/>
          <w:sz w:val="22"/>
          <w:szCs w:val="22"/>
        </w:rPr>
        <w:t xml:space="preserve"> Sosa </w:t>
      </w:r>
      <w:proofErr w:type="spellStart"/>
      <w:r w:rsidR="000368D3" w:rsidRPr="002236D8">
        <w:rPr>
          <w:rFonts w:ascii="Book Antiqua" w:hAnsi="Book Antiqua"/>
          <w:sz w:val="22"/>
          <w:szCs w:val="22"/>
        </w:rPr>
        <w:t>Bigio</w:t>
      </w:r>
      <w:proofErr w:type="spellEnd"/>
      <w:r w:rsidR="000368D3" w:rsidRPr="002236D8">
        <w:rPr>
          <w:rFonts w:ascii="Book Antiqua" w:hAnsi="Book Antiqua"/>
          <w:sz w:val="22"/>
          <w:szCs w:val="22"/>
        </w:rPr>
        <w:t>, logró llevarla al hospital, pero la joven murió.</w:t>
      </w:r>
    </w:p>
    <w:p w14:paraId="748262E4" w14:textId="77777777" w:rsidR="004B3E3A" w:rsidRPr="002236D8" w:rsidRDefault="004B3E3A" w:rsidP="000368D3">
      <w:pPr>
        <w:spacing w:after="0" w:line="298" w:lineRule="auto"/>
        <w:ind w:firstLine="706"/>
        <w:jc w:val="both"/>
        <w:rPr>
          <w:rFonts w:ascii="Book Antiqua" w:hAnsi="Book Antiqua"/>
          <w:sz w:val="22"/>
          <w:szCs w:val="22"/>
        </w:rPr>
      </w:pPr>
    </w:p>
    <w:p w14:paraId="38B54C9B" w14:textId="5B93F3D2" w:rsidR="000368D3" w:rsidRDefault="000368D3" w:rsidP="00F666B5">
      <w:pPr>
        <w:spacing w:after="0" w:line="298" w:lineRule="auto"/>
        <w:ind w:firstLine="706"/>
        <w:jc w:val="both"/>
        <w:rPr>
          <w:rFonts w:ascii="Book Antiqua" w:hAnsi="Book Antiqua"/>
          <w:sz w:val="22"/>
          <w:szCs w:val="22"/>
        </w:rPr>
      </w:pPr>
      <w:r w:rsidRPr="002236D8">
        <w:rPr>
          <w:rFonts w:ascii="Book Antiqua" w:hAnsi="Book Antiqua"/>
          <w:sz w:val="22"/>
          <w:szCs w:val="22"/>
        </w:rPr>
        <w:t>La Ley 154-2024 estableció una política pública de cero tolerancia contra los convictos que provoquen grave daño corporal o muerte y abandonen la escena, y reformuló el tratamiento legal de estos delitos en tres áreas:</w:t>
      </w:r>
      <w:r w:rsidR="00F666B5">
        <w:rPr>
          <w:rFonts w:ascii="Book Antiqua" w:hAnsi="Book Antiqua"/>
          <w:sz w:val="22"/>
          <w:szCs w:val="22"/>
        </w:rPr>
        <w:t xml:space="preserve"> (1) </w:t>
      </w:r>
      <w:r w:rsidRPr="002236D8">
        <w:rPr>
          <w:rFonts w:ascii="Book Antiqua" w:hAnsi="Book Antiqua"/>
          <w:sz w:val="22"/>
          <w:szCs w:val="22"/>
        </w:rPr>
        <w:t>Aumento de penas para conductores que abandonen la escena tras causar daños graves o muerte</w:t>
      </w:r>
      <w:r w:rsidR="00F666B5">
        <w:rPr>
          <w:rFonts w:ascii="Book Antiqua" w:hAnsi="Book Antiqua"/>
          <w:sz w:val="22"/>
          <w:szCs w:val="22"/>
        </w:rPr>
        <w:t xml:space="preserve">; (2) </w:t>
      </w:r>
      <w:r w:rsidRPr="002236D8">
        <w:rPr>
          <w:rFonts w:ascii="Book Antiqua" w:hAnsi="Book Antiqua"/>
          <w:sz w:val="22"/>
          <w:szCs w:val="22"/>
        </w:rPr>
        <w:t xml:space="preserve">Pena </w:t>
      </w:r>
      <w:proofErr w:type="spellStart"/>
      <w:r w:rsidRPr="002236D8">
        <w:rPr>
          <w:rFonts w:ascii="Book Antiqua" w:hAnsi="Book Antiqua"/>
          <w:sz w:val="22"/>
          <w:szCs w:val="22"/>
        </w:rPr>
        <w:t>mandatoria</w:t>
      </w:r>
      <w:proofErr w:type="spellEnd"/>
      <w:r w:rsidRPr="002236D8">
        <w:rPr>
          <w:rFonts w:ascii="Book Antiqua" w:hAnsi="Book Antiqua"/>
          <w:sz w:val="22"/>
          <w:szCs w:val="22"/>
        </w:rPr>
        <w:t xml:space="preserve"> de cárcel para estos casos, eliminando la opción de sentencias suspendidas o participación en programas de desvío</w:t>
      </w:r>
      <w:r w:rsidR="00F666B5">
        <w:rPr>
          <w:rFonts w:ascii="Book Antiqua" w:hAnsi="Book Antiqua"/>
          <w:sz w:val="22"/>
          <w:szCs w:val="22"/>
        </w:rPr>
        <w:t xml:space="preserve">; y (3) </w:t>
      </w:r>
      <w:r w:rsidRPr="002236D8">
        <w:rPr>
          <w:rFonts w:ascii="Book Antiqua" w:hAnsi="Book Antiqua"/>
          <w:sz w:val="22"/>
          <w:szCs w:val="22"/>
        </w:rPr>
        <w:t>Supervisión electrónica obligatoria para sospechosos, desde la determinación de causa probable para arresto, con el fin de evitar la evasión de jurisdicción.</w:t>
      </w:r>
    </w:p>
    <w:p w14:paraId="25315155" w14:textId="77777777" w:rsidR="00F666B5" w:rsidRPr="002236D8" w:rsidRDefault="00F666B5" w:rsidP="002236D8">
      <w:pPr>
        <w:spacing w:after="0" w:line="298" w:lineRule="auto"/>
        <w:ind w:firstLine="706"/>
        <w:jc w:val="both"/>
        <w:rPr>
          <w:rFonts w:ascii="Book Antiqua" w:hAnsi="Book Antiqua"/>
          <w:sz w:val="22"/>
          <w:szCs w:val="22"/>
        </w:rPr>
      </w:pPr>
    </w:p>
    <w:p w14:paraId="1E48AA61" w14:textId="45AF2F48" w:rsidR="000368D3" w:rsidRDefault="000368D3" w:rsidP="000368D3">
      <w:pPr>
        <w:spacing w:after="0" w:line="298" w:lineRule="auto"/>
        <w:ind w:firstLine="706"/>
        <w:jc w:val="both"/>
        <w:rPr>
          <w:rFonts w:ascii="Book Antiqua" w:hAnsi="Book Antiqua"/>
          <w:sz w:val="22"/>
          <w:szCs w:val="22"/>
        </w:rPr>
      </w:pPr>
      <w:r w:rsidRPr="002236D8">
        <w:rPr>
          <w:rFonts w:ascii="Book Antiqua" w:hAnsi="Book Antiqua"/>
          <w:sz w:val="22"/>
          <w:szCs w:val="22"/>
        </w:rPr>
        <w:t xml:space="preserve">Como parte de esta política, se enmendaron tanto la Ley 22-2000 como la Ley 259 </w:t>
      </w:r>
      <w:r w:rsidR="007B7D61">
        <w:rPr>
          <w:rFonts w:ascii="Book Antiqua" w:hAnsi="Book Antiqua"/>
          <w:sz w:val="22"/>
          <w:szCs w:val="22"/>
        </w:rPr>
        <w:t xml:space="preserve">de 3 de abril </w:t>
      </w:r>
      <w:r w:rsidRPr="002236D8">
        <w:rPr>
          <w:rFonts w:ascii="Book Antiqua" w:hAnsi="Book Antiqua"/>
          <w:sz w:val="22"/>
          <w:szCs w:val="22"/>
        </w:rPr>
        <w:t>de 1946</w:t>
      </w:r>
      <w:r w:rsidR="00B57119">
        <w:rPr>
          <w:rFonts w:ascii="Book Antiqua" w:hAnsi="Book Antiqua"/>
          <w:sz w:val="22"/>
          <w:szCs w:val="22"/>
        </w:rPr>
        <w:t>, según enmendada, conocida por “</w:t>
      </w:r>
      <w:r w:rsidRPr="002236D8">
        <w:rPr>
          <w:rFonts w:ascii="Book Antiqua" w:hAnsi="Book Antiqua"/>
          <w:sz w:val="22"/>
          <w:szCs w:val="22"/>
        </w:rPr>
        <w:t>Ley de Sentencia Suspendida y Libertad a Prueba</w:t>
      </w:r>
      <w:r w:rsidR="004F5503">
        <w:rPr>
          <w:rFonts w:ascii="Book Antiqua" w:hAnsi="Book Antiqua"/>
          <w:sz w:val="22"/>
          <w:szCs w:val="22"/>
        </w:rPr>
        <w:t>”</w:t>
      </w:r>
      <w:r w:rsidRPr="002236D8">
        <w:rPr>
          <w:rFonts w:ascii="Book Antiqua" w:hAnsi="Book Antiqua"/>
          <w:sz w:val="22"/>
          <w:szCs w:val="22"/>
        </w:rPr>
        <w:t>, entre otros estatutos.</w:t>
      </w:r>
    </w:p>
    <w:p w14:paraId="457209F7" w14:textId="77777777" w:rsidR="004F5503" w:rsidRPr="002236D8" w:rsidRDefault="004F5503" w:rsidP="000368D3">
      <w:pPr>
        <w:spacing w:after="0" w:line="298" w:lineRule="auto"/>
        <w:ind w:firstLine="706"/>
        <w:jc w:val="both"/>
        <w:rPr>
          <w:rFonts w:ascii="Book Antiqua" w:hAnsi="Book Antiqua"/>
          <w:sz w:val="22"/>
          <w:szCs w:val="22"/>
        </w:rPr>
      </w:pPr>
    </w:p>
    <w:p w14:paraId="64BD1D6F" w14:textId="77777777" w:rsidR="000368D3" w:rsidRPr="002236D8" w:rsidRDefault="000368D3" w:rsidP="000368D3">
      <w:pPr>
        <w:spacing w:after="0" w:line="298" w:lineRule="auto"/>
        <w:ind w:firstLine="706"/>
        <w:jc w:val="both"/>
        <w:rPr>
          <w:rFonts w:ascii="Book Antiqua" w:hAnsi="Book Antiqua"/>
          <w:sz w:val="22"/>
          <w:szCs w:val="22"/>
        </w:rPr>
      </w:pPr>
      <w:r w:rsidRPr="002236D8">
        <w:rPr>
          <w:rFonts w:ascii="Book Antiqua" w:hAnsi="Book Antiqua"/>
          <w:sz w:val="22"/>
          <w:szCs w:val="22"/>
        </w:rPr>
        <w:t>La ponencia señala que, aunque la Ley 154-2024 ya reforzó las penas en casos de “hit and run”, la nueva medida bajo discusión busca extender ese mismo rigor para casos de conducción en estado de embriaguez (artículos 7.01, 7.02, 7.03 y 7.06 de la Ley 22-2000) cuando causen daño corporal grave o muerte.</w:t>
      </w:r>
    </w:p>
    <w:p w14:paraId="461F0F21" w14:textId="5454FB98" w:rsidR="000368D3" w:rsidRPr="002236D8" w:rsidRDefault="000368D3" w:rsidP="000368D3">
      <w:pPr>
        <w:spacing w:after="0" w:line="298" w:lineRule="auto"/>
        <w:ind w:firstLine="706"/>
        <w:jc w:val="both"/>
        <w:rPr>
          <w:rFonts w:ascii="Book Antiqua" w:hAnsi="Book Antiqua"/>
          <w:sz w:val="22"/>
          <w:szCs w:val="22"/>
        </w:rPr>
      </w:pPr>
      <w:r w:rsidRPr="002236D8">
        <w:rPr>
          <w:rFonts w:ascii="Book Antiqua" w:hAnsi="Book Antiqua"/>
          <w:sz w:val="22"/>
          <w:szCs w:val="22"/>
        </w:rPr>
        <w:t>El DSP y el NPPR favorecen la enmienda propuesta, argumentando que endurecer las condiciones de sentencia contra conductores ebrios servirá como un disuasivo efectivo, desincentivando esa conducta delictiva</w:t>
      </w:r>
      <w:r w:rsidR="00453139">
        <w:rPr>
          <w:rStyle w:val="FootnoteReference"/>
          <w:rFonts w:ascii="Book Antiqua" w:hAnsi="Book Antiqua"/>
          <w:sz w:val="22"/>
          <w:szCs w:val="22"/>
        </w:rPr>
        <w:footnoteReference w:id="11"/>
      </w:r>
      <w:r w:rsidRPr="002236D8">
        <w:rPr>
          <w:rFonts w:ascii="Book Antiqua" w:hAnsi="Book Antiqua"/>
          <w:sz w:val="22"/>
          <w:szCs w:val="22"/>
        </w:rPr>
        <w:t>.</w:t>
      </w:r>
    </w:p>
    <w:p w14:paraId="30943CBB" w14:textId="77777777" w:rsidR="000368D3" w:rsidRPr="002236D8" w:rsidRDefault="000368D3" w:rsidP="000368D3">
      <w:pPr>
        <w:spacing w:after="0" w:line="298" w:lineRule="auto"/>
        <w:ind w:firstLine="706"/>
        <w:jc w:val="both"/>
        <w:rPr>
          <w:rFonts w:ascii="Book Antiqua" w:hAnsi="Book Antiqua"/>
          <w:sz w:val="22"/>
          <w:szCs w:val="22"/>
        </w:rPr>
      </w:pPr>
      <w:r w:rsidRPr="002236D8">
        <w:rPr>
          <w:rFonts w:ascii="Book Antiqua" w:hAnsi="Book Antiqua"/>
          <w:sz w:val="22"/>
          <w:szCs w:val="22"/>
        </w:rPr>
        <w:t>No obstante, el DSP aclara que, aunque apoya la medida y su objetivo de reforzar la seguridad pública, deja en manos de las agencias legislativas pertinentes la aprobación definitiva de la propuesta.</w:t>
      </w:r>
    </w:p>
    <w:p w14:paraId="03DCEB0B" w14:textId="77777777" w:rsidR="004F5503" w:rsidRDefault="004F5503" w:rsidP="000F7BDE">
      <w:pPr>
        <w:spacing w:after="0" w:line="298" w:lineRule="auto"/>
        <w:ind w:firstLine="706"/>
        <w:jc w:val="both"/>
        <w:rPr>
          <w:rFonts w:ascii="Book Antiqua" w:hAnsi="Book Antiqua"/>
          <w:b/>
          <w:bCs/>
        </w:rPr>
      </w:pPr>
    </w:p>
    <w:p w14:paraId="4A59D0BE" w14:textId="1A212032" w:rsidR="00F06D9A" w:rsidRDefault="00F06D9A" w:rsidP="004F5503">
      <w:pPr>
        <w:spacing w:after="0" w:line="298" w:lineRule="auto"/>
        <w:ind w:firstLine="706"/>
        <w:jc w:val="center"/>
        <w:rPr>
          <w:rFonts w:ascii="Book Antiqua" w:hAnsi="Book Antiqua"/>
          <w:b/>
          <w:bCs/>
          <w:u w:val="single"/>
        </w:rPr>
      </w:pPr>
      <w:r w:rsidRPr="002236D8">
        <w:rPr>
          <w:rFonts w:ascii="Book Antiqua" w:hAnsi="Book Antiqua"/>
          <w:b/>
          <w:bCs/>
          <w:u w:val="single"/>
        </w:rPr>
        <w:t>Comisión para la Seguridad en el Tránsito</w:t>
      </w:r>
      <w:r w:rsidR="002310D2" w:rsidRPr="002236D8">
        <w:rPr>
          <w:rFonts w:ascii="Book Antiqua" w:hAnsi="Book Antiqua"/>
          <w:b/>
          <w:bCs/>
          <w:u w:val="single"/>
        </w:rPr>
        <w:t xml:space="preserve"> (CST)</w:t>
      </w:r>
    </w:p>
    <w:p w14:paraId="735978B0" w14:textId="77777777" w:rsidR="00CB1938" w:rsidRPr="002236D8" w:rsidRDefault="00CB1938" w:rsidP="002236D8">
      <w:pPr>
        <w:spacing w:after="0" w:line="298" w:lineRule="auto"/>
        <w:ind w:firstLine="706"/>
        <w:jc w:val="center"/>
        <w:rPr>
          <w:rFonts w:ascii="Book Antiqua" w:hAnsi="Book Antiqua"/>
          <w:b/>
          <w:bCs/>
          <w:u w:val="single"/>
        </w:rPr>
      </w:pPr>
    </w:p>
    <w:p w14:paraId="12B3F298" w14:textId="61F852A0" w:rsidR="00F06D9A" w:rsidRDefault="00F06D9A" w:rsidP="000F7BDE">
      <w:pPr>
        <w:spacing w:after="0" w:line="298" w:lineRule="auto"/>
        <w:ind w:firstLine="706"/>
        <w:jc w:val="both"/>
        <w:rPr>
          <w:rFonts w:ascii="Book Antiqua" w:hAnsi="Book Antiqua"/>
        </w:rPr>
      </w:pPr>
      <w:r w:rsidRPr="00F84C36">
        <w:rPr>
          <w:rFonts w:ascii="Book Antiqua" w:hAnsi="Book Antiqua"/>
        </w:rPr>
        <w:t>La Ley Núm. 33 de 25 de mayo de 1972, según enmendada, estableció la Comisión para la Seguridad en el Tránsito</w:t>
      </w:r>
      <w:r w:rsidR="001A0BCA" w:rsidRPr="00F84C36">
        <w:rPr>
          <w:rFonts w:ascii="Book Antiqua" w:hAnsi="Book Antiqua"/>
        </w:rPr>
        <w:t xml:space="preserve"> en Puerto Rico</w:t>
      </w:r>
      <w:r w:rsidRPr="00F84C36">
        <w:rPr>
          <w:rFonts w:ascii="Book Antiqua" w:hAnsi="Book Antiqua"/>
        </w:rPr>
        <w:t xml:space="preserve">. Esta Ley se aprobó con el propósito de establecer un programa sobre prevención de choques de tránsito en las carreteras. La Comisión para la Seguridad en el Tránsito </w:t>
      </w:r>
      <w:r w:rsidR="00B9068E">
        <w:rPr>
          <w:rFonts w:ascii="Book Antiqua" w:hAnsi="Book Antiqua"/>
        </w:rPr>
        <w:t xml:space="preserve">(CST) </w:t>
      </w:r>
      <w:r w:rsidRPr="00F84C36">
        <w:rPr>
          <w:rFonts w:ascii="Book Antiqua" w:hAnsi="Book Antiqua"/>
        </w:rPr>
        <w:t xml:space="preserve">tiene la responsabilidad de preparar e </w:t>
      </w:r>
      <w:r w:rsidRPr="00F84C36">
        <w:rPr>
          <w:rFonts w:ascii="Book Antiqua" w:hAnsi="Book Antiqua"/>
        </w:rPr>
        <w:lastRenderedPageBreak/>
        <w:t>implementar un programa general sobre seguridad de tránsito y determinar el uso de los fondos estatales y federales que se le asignen.</w:t>
      </w:r>
    </w:p>
    <w:p w14:paraId="3AA88FDC" w14:textId="77777777" w:rsidR="00717CA9" w:rsidRPr="00F84C36" w:rsidRDefault="00717CA9" w:rsidP="000F7BDE">
      <w:pPr>
        <w:spacing w:after="0" w:line="298" w:lineRule="auto"/>
        <w:ind w:firstLine="706"/>
        <w:jc w:val="both"/>
        <w:rPr>
          <w:rFonts w:ascii="Book Antiqua" w:hAnsi="Book Antiqua"/>
        </w:rPr>
      </w:pPr>
    </w:p>
    <w:p w14:paraId="3D16F933" w14:textId="2FD8BC0E" w:rsidR="001A0BCA" w:rsidRDefault="001A0BCA" w:rsidP="000F7BDE">
      <w:pPr>
        <w:spacing w:after="0" w:line="298" w:lineRule="auto"/>
        <w:ind w:firstLine="706"/>
        <w:jc w:val="both"/>
        <w:rPr>
          <w:rFonts w:ascii="Book Antiqua" w:hAnsi="Book Antiqua"/>
        </w:rPr>
      </w:pPr>
      <w:r w:rsidRPr="00F84C36">
        <w:rPr>
          <w:rFonts w:ascii="Book Antiqua" w:hAnsi="Book Antiqua"/>
        </w:rPr>
        <w:t xml:space="preserve">En cuanto a este proyecto de ley </w:t>
      </w:r>
      <w:r w:rsidR="002310D2" w:rsidRPr="00F84C36">
        <w:rPr>
          <w:rFonts w:ascii="Book Antiqua" w:hAnsi="Book Antiqua"/>
        </w:rPr>
        <w:t xml:space="preserve">comienzan indicando que el alcohol es una sustancia que tiene efectos negativos en la función del cerebro, afectando el pensamiento, la capacidad de razonar y la coordinación muscular, </w:t>
      </w:r>
      <w:r w:rsidR="000C6CA5">
        <w:rPr>
          <w:rFonts w:ascii="Book Antiqua" w:hAnsi="Book Antiqua"/>
        </w:rPr>
        <w:t xml:space="preserve">los cuales son </w:t>
      </w:r>
      <w:r w:rsidR="002310D2" w:rsidRPr="00F84C36">
        <w:rPr>
          <w:rFonts w:ascii="Book Antiqua" w:hAnsi="Book Antiqua"/>
        </w:rPr>
        <w:t xml:space="preserve">habilidades esenciales para operar un vehículo de manera segura. Según la NHTSA el índice de deterioro por alcohol entre los conductores involucrados en choques de tráfico mortales en 2022 fue casi tres veces mayor por la noche que durante el día. </w:t>
      </w:r>
      <w:r w:rsidR="00827EF7">
        <w:rPr>
          <w:rFonts w:ascii="Book Antiqua" w:hAnsi="Book Antiqua"/>
        </w:rPr>
        <w:t>La Comisión indica que se</w:t>
      </w:r>
      <w:r w:rsidR="00827EF7" w:rsidRPr="00F84C36">
        <w:rPr>
          <w:rFonts w:ascii="Book Antiqua" w:hAnsi="Book Antiqua"/>
        </w:rPr>
        <w:t xml:space="preserve"> </w:t>
      </w:r>
      <w:r w:rsidR="002310D2" w:rsidRPr="00F84C36">
        <w:rPr>
          <w:rFonts w:ascii="Book Antiqua" w:hAnsi="Book Antiqua"/>
        </w:rPr>
        <w:t>hubiese podido evitar todas estas muertes. Un conductor ebrio sabe o debe saber que el consumo de alcohol afecta su capacidad para manejar y que conducir en la vía pública en ese estado incrementa drásticamente el riesgo de choques y la posibilidad de causar la muerte de otras personas. A pesar de este conocimiento,</w:t>
      </w:r>
      <w:r w:rsidR="00062B3D">
        <w:rPr>
          <w:rFonts w:ascii="Book Antiqua" w:hAnsi="Book Antiqua"/>
        </w:rPr>
        <w:t xml:space="preserve"> la persona</w:t>
      </w:r>
      <w:r w:rsidR="002310D2" w:rsidRPr="00F84C36">
        <w:rPr>
          <w:rFonts w:ascii="Book Antiqua" w:hAnsi="Book Antiqua"/>
        </w:rPr>
        <w:t xml:space="preserve"> elige conducir, demostrando una total indiferencia ante el peligro que representa. Además, tanto la decisión de ingerir alcohol como la de ponerse al volante son actos conscientes y voluntarios. El Estado invierte recursos públicos en campañas de concienciación y advertencias sobre los peligros de la conducción bajo los efectos del alcohol precisamente porque se trata de una conducta de alto riesgo.</w:t>
      </w:r>
    </w:p>
    <w:p w14:paraId="53D0524F" w14:textId="77777777" w:rsidR="004B3E3A" w:rsidRPr="00F84C36" w:rsidRDefault="004B3E3A" w:rsidP="000F7BDE">
      <w:pPr>
        <w:spacing w:after="0" w:line="298" w:lineRule="auto"/>
        <w:ind w:firstLine="706"/>
        <w:jc w:val="both"/>
        <w:rPr>
          <w:rFonts w:ascii="Book Antiqua" w:hAnsi="Book Antiqua"/>
        </w:rPr>
      </w:pPr>
    </w:p>
    <w:p w14:paraId="4A6FC2EA" w14:textId="1EE5C2C0" w:rsidR="002310D2" w:rsidRDefault="00E1228D" w:rsidP="000F7BDE">
      <w:pPr>
        <w:spacing w:after="0" w:line="298" w:lineRule="auto"/>
        <w:ind w:firstLine="706"/>
        <w:jc w:val="both"/>
        <w:rPr>
          <w:rFonts w:ascii="Book Antiqua" w:hAnsi="Book Antiqua"/>
        </w:rPr>
      </w:pPr>
      <w:r>
        <w:rPr>
          <w:rFonts w:ascii="Book Antiqua" w:hAnsi="Book Antiqua"/>
        </w:rPr>
        <w:t>La CST</w:t>
      </w:r>
      <w:r w:rsidRPr="00F84C36">
        <w:rPr>
          <w:rFonts w:ascii="Book Antiqua" w:hAnsi="Book Antiqua"/>
        </w:rPr>
        <w:t xml:space="preserve"> </w:t>
      </w:r>
      <w:r w:rsidR="00AA394D">
        <w:rPr>
          <w:rFonts w:ascii="Book Antiqua" w:hAnsi="Book Antiqua"/>
        </w:rPr>
        <w:t>enfatiza en la</w:t>
      </w:r>
      <w:r w:rsidR="002310D2" w:rsidRPr="00F84C36">
        <w:rPr>
          <w:rFonts w:ascii="Book Antiqua" w:hAnsi="Book Antiqua"/>
        </w:rPr>
        <w:t xml:space="preserve"> política pública </w:t>
      </w:r>
      <w:r w:rsidR="00AA394D">
        <w:rPr>
          <w:rFonts w:ascii="Book Antiqua" w:hAnsi="Book Antiqua"/>
        </w:rPr>
        <w:t>que rige dicha entidad,</w:t>
      </w:r>
      <w:r w:rsidR="002310D2" w:rsidRPr="00F84C36">
        <w:rPr>
          <w:rFonts w:ascii="Book Antiqua" w:hAnsi="Book Antiqua"/>
        </w:rPr>
        <w:t xml:space="preserve"> la cual nos resume indicando</w:t>
      </w:r>
      <w:r w:rsidR="00AA394D">
        <w:rPr>
          <w:rFonts w:ascii="Book Antiqua" w:hAnsi="Book Antiqua"/>
        </w:rPr>
        <w:t xml:space="preserve"> que</w:t>
      </w:r>
      <w:r w:rsidR="002310D2" w:rsidRPr="00F84C36">
        <w:rPr>
          <w:rFonts w:ascii="Book Antiqua" w:hAnsi="Book Antiqua"/>
        </w:rPr>
        <w:t>:</w:t>
      </w:r>
    </w:p>
    <w:p w14:paraId="66DAEBB9" w14:textId="77777777" w:rsidR="004B3E3A" w:rsidRDefault="004B3E3A" w:rsidP="000F7BDE">
      <w:pPr>
        <w:spacing w:after="0" w:line="298" w:lineRule="auto"/>
        <w:ind w:firstLine="706"/>
        <w:jc w:val="both"/>
        <w:rPr>
          <w:rFonts w:ascii="Book Antiqua" w:hAnsi="Book Antiqua"/>
        </w:rPr>
      </w:pPr>
    </w:p>
    <w:p w14:paraId="16D315CF" w14:textId="71F522DB" w:rsidR="002310D2" w:rsidRDefault="002310D2" w:rsidP="002236D8">
      <w:pPr>
        <w:spacing w:after="0" w:line="240" w:lineRule="auto"/>
        <w:ind w:left="720" w:right="720"/>
        <w:jc w:val="both"/>
        <w:rPr>
          <w:rFonts w:ascii="Book Antiqua" w:hAnsi="Book Antiqua"/>
          <w:sz w:val="22"/>
          <w:szCs w:val="22"/>
        </w:rPr>
      </w:pPr>
      <w:r w:rsidRPr="00F84C36">
        <w:rPr>
          <w:rFonts w:ascii="Book Antiqua" w:hAnsi="Book Antiqua"/>
          <w:sz w:val="22"/>
          <w:szCs w:val="22"/>
        </w:rPr>
        <w:t>“El Gobierno de Puerto Rico continúa realizando esfuerzos, en la reducción de choques a consecuencia de conductores inhábiles, por conducir bajo los efectos del alcohol, drogas o sustancias controladas. Con la participación de varias agencias, el Gobierno de Puerto Rico, afianza el mensaje de que existe un riesgo real, de que tarde o temprano, los infractores tendrán consecuencias por conducir mientras están bajo los efectos del alcohol, drogas o sustancias controladas. Esta conducta peligrosa no se puede tolerar. No solamente está en juego la integridad física de una persona, sino que está en juego la vida misma. Por tanto, el Gobierno de Puerto Rico tiene un interés apremiante de que las personas incursas en este comportamiento asuman la responsabilidad de sus actos. Es nuestro mayor interés proteger a la ciudadanía creando carreteras más seguras.”</w:t>
      </w:r>
    </w:p>
    <w:p w14:paraId="493E1029" w14:textId="77777777" w:rsidR="003439F8" w:rsidRPr="00F84C36" w:rsidRDefault="003439F8" w:rsidP="002236D8">
      <w:pPr>
        <w:spacing w:after="0" w:line="240" w:lineRule="auto"/>
        <w:ind w:left="720" w:right="720" w:firstLine="706"/>
        <w:jc w:val="both"/>
        <w:rPr>
          <w:rFonts w:ascii="Book Antiqua" w:hAnsi="Book Antiqua"/>
          <w:sz w:val="22"/>
          <w:szCs w:val="22"/>
        </w:rPr>
      </w:pPr>
    </w:p>
    <w:p w14:paraId="19978751" w14:textId="0571DDEC" w:rsidR="002310D2" w:rsidRDefault="002310D2" w:rsidP="000F7BDE">
      <w:pPr>
        <w:spacing w:after="0" w:line="298" w:lineRule="auto"/>
        <w:ind w:firstLine="706"/>
        <w:jc w:val="both"/>
        <w:rPr>
          <w:rFonts w:ascii="Book Antiqua" w:hAnsi="Book Antiqua"/>
        </w:rPr>
      </w:pPr>
      <w:r w:rsidRPr="00F84C36">
        <w:rPr>
          <w:rFonts w:ascii="Book Antiqua" w:hAnsi="Book Antiqua"/>
        </w:rPr>
        <w:t>Cónsono con todo lo anterior el (entonces) Director Ejecutivo de la Comisión, Luis A. Rodríguez Díaz</w:t>
      </w:r>
      <w:r w:rsidR="00997B9D">
        <w:rPr>
          <w:rFonts w:ascii="Book Antiqua" w:hAnsi="Book Antiqua"/>
        </w:rPr>
        <w:t>,</w:t>
      </w:r>
      <w:r w:rsidRPr="00F84C36">
        <w:rPr>
          <w:rFonts w:ascii="Book Antiqua" w:hAnsi="Book Antiqua"/>
        </w:rPr>
        <w:t xml:space="preserve"> nos informa que la </w:t>
      </w:r>
      <w:r w:rsidR="00997B9D">
        <w:rPr>
          <w:rFonts w:ascii="Book Antiqua" w:hAnsi="Book Antiqua"/>
        </w:rPr>
        <w:t>CST</w:t>
      </w:r>
      <w:r w:rsidRPr="00F84C36">
        <w:rPr>
          <w:rFonts w:ascii="Book Antiqua" w:hAnsi="Book Antiqua"/>
        </w:rPr>
        <w:t xml:space="preserve"> favorece que la sentencia se cumpla en una institución penal y que no haya pena suspendida o alterna. </w:t>
      </w:r>
      <w:r w:rsidR="00176FB0" w:rsidRPr="00F84C36">
        <w:rPr>
          <w:rFonts w:ascii="Book Antiqua" w:hAnsi="Book Antiqua"/>
        </w:rPr>
        <w:t>Además,</w:t>
      </w:r>
      <w:r w:rsidRPr="00F84C36">
        <w:rPr>
          <w:rFonts w:ascii="Book Antiqua" w:hAnsi="Book Antiqua"/>
        </w:rPr>
        <w:t xml:space="preserve"> </w:t>
      </w:r>
      <w:r w:rsidR="00997B9D">
        <w:rPr>
          <w:rFonts w:ascii="Book Antiqua" w:hAnsi="Book Antiqua"/>
        </w:rPr>
        <w:t>realizaron</w:t>
      </w:r>
      <w:r w:rsidRPr="00F84C36">
        <w:rPr>
          <w:rFonts w:ascii="Book Antiqua" w:hAnsi="Book Antiqua"/>
        </w:rPr>
        <w:t xml:space="preserve"> </w:t>
      </w:r>
      <w:r w:rsidRPr="00F84C36">
        <w:rPr>
          <w:rFonts w:ascii="Book Antiqua" w:hAnsi="Book Antiqua"/>
        </w:rPr>
        <w:lastRenderedPageBreak/>
        <w:t xml:space="preserve">recomendaciones de enmiendas técnicas al proyecto, las cuales hemos acogido, incorporándolas en el </w:t>
      </w:r>
      <w:r w:rsidR="00176FB0" w:rsidRPr="00F84C36">
        <w:rPr>
          <w:rFonts w:ascii="Book Antiqua" w:hAnsi="Book Antiqua"/>
        </w:rPr>
        <w:t>entrillado</w:t>
      </w:r>
      <w:r w:rsidRPr="00F84C36">
        <w:rPr>
          <w:rFonts w:ascii="Book Antiqua" w:hAnsi="Book Antiqua"/>
        </w:rPr>
        <w:t xml:space="preserve"> electrónico que se acompaña. </w:t>
      </w:r>
    </w:p>
    <w:p w14:paraId="75297C71" w14:textId="77777777" w:rsidR="00997B9D" w:rsidRPr="00F84C36" w:rsidRDefault="00997B9D" w:rsidP="000F7BDE">
      <w:pPr>
        <w:spacing w:after="0" w:line="298" w:lineRule="auto"/>
        <w:ind w:firstLine="706"/>
        <w:jc w:val="both"/>
        <w:rPr>
          <w:rFonts w:ascii="Book Antiqua" w:hAnsi="Book Antiqua"/>
        </w:rPr>
      </w:pPr>
    </w:p>
    <w:p w14:paraId="542E219C" w14:textId="35DE3956" w:rsidR="002310D2" w:rsidRPr="002236D8" w:rsidRDefault="002310D2" w:rsidP="00997B9D">
      <w:pPr>
        <w:spacing w:after="0" w:line="298" w:lineRule="auto"/>
        <w:ind w:firstLine="706"/>
        <w:jc w:val="center"/>
        <w:rPr>
          <w:rFonts w:ascii="Book Antiqua" w:hAnsi="Book Antiqua"/>
          <w:b/>
          <w:bCs/>
          <w:u w:val="single"/>
        </w:rPr>
      </w:pPr>
      <w:r w:rsidRPr="002236D8">
        <w:rPr>
          <w:rFonts w:ascii="Book Antiqua" w:hAnsi="Book Antiqua"/>
          <w:b/>
          <w:bCs/>
          <w:u w:val="single"/>
        </w:rPr>
        <w:t>Madres Contra Conducir Ebrio (MADD, por sus siglas en inglés)</w:t>
      </w:r>
    </w:p>
    <w:p w14:paraId="73345B6D" w14:textId="77777777" w:rsidR="00997B9D" w:rsidRPr="00F84C36" w:rsidRDefault="00997B9D" w:rsidP="002236D8">
      <w:pPr>
        <w:spacing w:after="0" w:line="298" w:lineRule="auto"/>
        <w:ind w:firstLine="706"/>
        <w:jc w:val="center"/>
        <w:rPr>
          <w:rFonts w:ascii="Book Antiqua" w:hAnsi="Book Antiqua"/>
          <w:b/>
          <w:bCs/>
        </w:rPr>
      </w:pPr>
    </w:p>
    <w:p w14:paraId="0A2AF4C2" w14:textId="753C73A5" w:rsidR="002310D2" w:rsidRDefault="002310D2" w:rsidP="006C68A1">
      <w:pPr>
        <w:spacing w:after="0" w:line="298" w:lineRule="auto"/>
        <w:ind w:firstLine="706"/>
        <w:jc w:val="both"/>
        <w:rPr>
          <w:rFonts w:ascii="Book Antiqua" w:hAnsi="Book Antiqua"/>
        </w:rPr>
      </w:pPr>
      <w:r w:rsidRPr="00F84C36">
        <w:rPr>
          <w:rFonts w:ascii="Book Antiqua" w:hAnsi="Book Antiqua"/>
        </w:rPr>
        <w:t>Por la voz de Melissa Ramírez-Rivera, Directora Ejecutiva</w:t>
      </w:r>
      <w:r w:rsidR="00CD5FF6">
        <w:rPr>
          <w:rFonts w:ascii="Book Antiqua" w:hAnsi="Book Antiqua"/>
        </w:rPr>
        <w:t xml:space="preserve"> de </w:t>
      </w:r>
      <w:r w:rsidR="003206BB" w:rsidRPr="002236D8">
        <w:rPr>
          <w:rFonts w:ascii="Book Antiqua" w:hAnsi="Book Antiqua"/>
        </w:rPr>
        <w:t>Madres Contra Conducir Ebrio (MADD, por sus siglas en inglés)</w:t>
      </w:r>
      <w:r w:rsidR="006C68A1" w:rsidRPr="002236D8">
        <w:rPr>
          <w:rFonts w:ascii="Book Antiqua" w:hAnsi="Book Antiqua"/>
          <w:b/>
          <w:bCs/>
        </w:rPr>
        <w:t xml:space="preserve"> </w:t>
      </w:r>
      <w:r w:rsidR="006C68A1" w:rsidRPr="002236D8">
        <w:rPr>
          <w:rFonts w:ascii="Book Antiqua" w:hAnsi="Book Antiqua"/>
        </w:rPr>
        <w:t>la</w:t>
      </w:r>
      <w:r w:rsidRPr="00F84C36">
        <w:rPr>
          <w:rFonts w:ascii="Book Antiqua" w:hAnsi="Book Antiqua"/>
        </w:rPr>
        <w:t xml:space="preserve"> organización sin fines de lucro nos presenta su parecer en cuanto al P. de la C. 321. </w:t>
      </w:r>
      <w:r w:rsidR="00D93BFA" w:rsidRPr="00F84C36">
        <w:rPr>
          <w:rFonts w:ascii="Book Antiqua" w:hAnsi="Book Antiqua"/>
        </w:rPr>
        <w:t xml:space="preserve">Luego de agradecer al autor de la medida nos informan sobre lo siguiente: </w:t>
      </w:r>
    </w:p>
    <w:p w14:paraId="3A6909B2" w14:textId="77777777" w:rsidR="004B3E3A" w:rsidRPr="002236D8" w:rsidRDefault="004B3E3A" w:rsidP="006C68A1">
      <w:pPr>
        <w:spacing w:after="0" w:line="298" w:lineRule="auto"/>
        <w:ind w:firstLine="706"/>
        <w:jc w:val="both"/>
        <w:rPr>
          <w:rFonts w:ascii="Book Antiqua" w:hAnsi="Book Antiqua"/>
          <w:b/>
          <w:bCs/>
          <w:u w:val="single"/>
        </w:rPr>
      </w:pPr>
    </w:p>
    <w:p w14:paraId="065288E7" w14:textId="36E7AE32" w:rsidR="00D83701" w:rsidRDefault="00D83701" w:rsidP="00D83701">
      <w:pPr>
        <w:spacing w:after="0" w:line="298" w:lineRule="auto"/>
        <w:ind w:firstLine="706"/>
        <w:jc w:val="both"/>
        <w:rPr>
          <w:rFonts w:ascii="Book Antiqua" w:hAnsi="Book Antiqua"/>
        </w:rPr>
      </w:pPr>
      <w:r w:rsidRPr="002236D8">
        <w:rPr>
          <w:rFonts w:ascii="Book Antiqua" w:hAnsi="Book Antiqua"/>
        </w:rPr>
        <w:t>La entidad destaca el grave impacto del problema de conducir bajo los efectos del alcohol y otras drogas, señalando que cada 78 segundos una persona muere o resulta herida en un choque causado por un conductor ebrio. La situación sigue empeorando: en Puerto Rico, en 2022 hubo 91 muertes por esta causa, un aumento del 17% comparado con 2019, cuando se registraron 78 fatalidades.</w:t>
      </w:r>
      <w:r>
        <w:rPr>
          <w:rFonts w:ascii="Book Antiqua" w:hAnsi="Book Antiqua"/>
        </w:rPr>
        <w:t xml:space="preserve"> </w:t>
      </w:r>
      <w:r w:rsidRPr="002236D8">
        <w:rPr>
          <w:rFonts w:ascii="Book Antiqua" w:hAnsi="Book Antiqua"/>
        </w:rPr>
        <w:t>Desde 1982, más de 6,700 personas han fallecido en Puerto Rico en accidentes provocados por conductores ebrios, según datos de la NHTSA.</w:t>
      </w:r>
    </w:p>
    <w:p w14:paraId="251E8D39" w14:textId="77777777" w:rsidR="00D83701" w:rsidRPr="00453139" w:rsidRDefault="00D83701" w:rsidP="00D83701">
      <w:pPr>
        <w:spacing w:after="0" w:line="298" w:lineRule="auto"/>
        <w:ind w:firstLine="706"/>
        <w:jc w:val="both"/>
        <w:rPr>
          <w:rFonts w:ascii="Book Antiqua" w:hAnsi="Book Antiqua"/>
        </w:rPr>
      </w:pPr>
    </w:p>
    <w:p w14:paraId="489F3E89" w14:textId="1B4F4EB4" w:rsidR="00D83701" w:rsidRDefault="00D83701" w:rsidP="002236D8">
      <w:pPr>
        <w:spacing w:after="0" w:line="298" w:lineRule="auto"/>
        <w:ind w:firstLine="706"/>
        <w:jc w:val="both"/>
        <w:rPr>
          <w:rFonts w:ascii="Book Antiqua" w:hAnsi="Book Antiqua"/>
        </w:rPr>
      </w:pPr>
      <w:r w:rsidRPr="00453139">
        <w:rPr>
          <w:rFonts w:ascii="Book Antiqua" w:hAnsi="Book Antiqua"/>
        </w:rPr>
        <w:t xml:space="preserve">MADD apoya </w:t>
      </w:r>
      <w:r w:rsidRPr="002236D8">
        <w:rPr>
          <w:rFonts w:ascii="Book Antiqua" w:hAnsi="Book Antiqua"/>
        </w:rPr>
        <w:t>firmemente el Proyecto de la Cámara 321 (PC 321), porque:</w:t>
      </w:r>
      <w:r w:rsidRPr="00331040">
        <w:rPr>
          <w:rFonts w:ascii="Book Antiqua" w:hAnsi="Book Antiqua"/>
        </w:rPr>
        <w:t xml:space="preserve"> (1) </w:t>
      </w:r>
      <w:r w:rsidRPr="002236D8">
        <w:rPr>
          <w:rFonts w:ascii="Book Antiqua" w:hAnsi="Book Antiqua"/>
        </w:rPr>
        <w:t>Elimina la posibilidad de conceder sentencias suspendidas a conductores ebrios que causen lesiones corporales graves o muerte</w:t>
      </w:r>
      <w:r w:rsidRPr="00331040">
        <w:rPr>
          <w:rFonts w:ascii="Book Antiqua" w:hAnsi="Book Antiqua"/>
        </w:rPr>
        <w:t xml:space="preserve">; (2) </w:t>
      </w:r>
      <w:r w:rsidRPr="002236D8">
        <w:rPr>
          <w:rFonts w:ascii="Book Antiqua" w:hAnsi="Book Antiqua"/>
        </w:rPr>
        <w:t>Busca garantizar justicia para las víctimas de estos accidentes</w:t>
      </w:r>
      <w:r w:rsidRPr="00331040">
        <w:rPr>
          <w:rFonts w:ascii="Book Antiqua" w:hAnsi="Book Antiqua"/>
        </w:rPr>
        <w:t xml:space="preserve">; y (3) </w:t>
      </w:r>
      <w:r w:rsidRPr="002236D8">
        <w:rPr>
          <w:rFonts w:ascii="Book Antiqua" w:hAnsi="Book Antiqua"/>
        </w:rPr>
        <w:t>Envía un mensaje claro de que conducir ebrio es inaceptable y que las consecuencias serán serias y efectivas.</w:t>
      </w:r>
    </w:p>
    <w:p w14:paraId="76B35791" w14:textId="77777777" w:rsidR="004B3E3A" w:rsidRPr="002236D8" w:rsidRDefault="004B3E3A" w:rsidP="002236D8">
      <w:pPr>
        <w:spacing w:after="0" w:line="298" w:lineRule="auto"/>
        <w:ind w:firstLine="706"/>
        <w:jc w:val="both"/>
        <w:rPr>
          <w:rFonts w:ascii="Book Antiqua" w:hAnsi="Book Antiqua"/>
        </w:rPr>
      </w:pPr>
    </w:p>
    <w:p w14:paraId="202EF001" w14:textId="72A5F7FA" w:rsidR="00D83701" w:rsidRDefault="00D83701" w:rsidP="00D83701">
      <w:pPr>
        <w:spacing w:after="0" w:line="298" w:lineRule="auto"/>
        <w:ind w:firstLine="706"/>
        <w:jc w:val="both"/>
        <w:rPr>
          <w:rFonts w:ascii="Book Antiqua" w:hAnsi="Book Antiqua"/>
        </w:rPr>
      </w:pPr>
      <w:r w:rsidRPr="002236D8">
        <w:rPr>
          <w:rFonts w:ascii="Book Antiqua" w:hAnsi="Book Antiqua"/>
        </w:rPr>
        <w:t>Finalmente, MADD insiste en que el P</w:t>
      </w:r>
      <w:r w:rsidR="00331040">
        <w:rPr>
          <w:rFonts w:ascii="Book Antiqua" w:hAnsi="Book Antiqua"/>
        </w:rPr>
        <w:t xml:space="preserve">. de la </w:t>
      </w:r>
      <w:r w:rsidRPr="002236D8">
        <w:rPr>
          <w:rFonts w:ascii="Book Antiqua" w:hAnsi="Book Antiqua"/>
        </w:rPr>
        <w:t>C</w:t>
      </w:r>
      <w:r w:rsidR="00331040">
        <w:rPr>
          <w:rFonts w:ascii="Book Antiqua" w:hAnsi="Book Antiqua"/>
        </w:rPr>
        <w:t>.</w:t>
      </w:r>
      <w:r w:rsidRPr="002236D8">
        <w:rPr>
          <w:rFonts w:ascii="Book Antiqua" w:hAnsi="Book Antiqua"/>
        </w:rPr>
        <w:t xml:space="preserve"> 321 es crucial para tratar este delito con la gravedad que merece y para detener la pérdida de vidas inocentes en las carreteras de Puerto Rico.</w:t>
      </w:r>
    </w:p>
    <w:p w14:paraId="1DEBD319" w14:textId="77777777" w:rsidR="004B3E3A" w:rsidRPr="002236D8" w:rsidRDefault="004B3E3A" w:rsidP="00D83701">
      <w:pPr>
        <w:spacing w:after="0" w:line="298" w:lineRule="auto"/>
        <w:ind w:firstLine="706"/>
        <w:jc w:val="both"/>
        <w:rPr>
          <w:rFonts w:ascii="Book Antiqua" w:hAnsi="Book Antiqua"/>
        </w:rPr>
      </w:pPr>
    </w:p>
    <w:p w14:paraId="77FCF579" w14:textId="56715379" w:rsidR="002310D2" w:rsidRPr="00F84C36" w:rsidRDefault="00D93BFA" w:rsidP="000F7BDE">
      <w:pPr>
        <w:spacing w:after="0" w:line="298" w:lineRule="auto"/>
        <w:ind w:firstLine="706"/>
        <w:jc w:val="both"/>
        <w:rPr>
          <w:rFonts w:ascii="Book Antiqua" w:hAnsi="Book Antiqua"/>
        </w:rPr>
      </w:pPr>
      <w:r w:rsidRPr="00F84C36">
        <w:rPr>
          <w:rFonts w:ascii="Book Antiqua" w:hAnsi="Book Antiqua"/>
        </w:rPr>
        <w:t xml:space="preserve">Esta Comisión concurre con los planteamientos de esta organización, que se creó precisamente para luchar contra este mal social y procurar cambios en la política pública; cambios como los que </w:t>
      </w:r>
      <w:r w:rsidR="00E32E09">
        <w:rPr>
          <w:rFonts w:ascii="Book Antiqua" w:hAnsi="Book Antiqua"/>
        </w:rPr>
        <w:t>esta Asamblea Legislativa está</w:t>
      </w:r>
      <w:r w:rsidR="00E32E09" w:rsidRPr="00F84C36">
        <w:rPr>
          <w:rFonts w:ascii="Book Antiqua" w:hAnsi="Book Antiqua"/>
        </w:rPr>
        <w:t xml:space="preserve"> </w:t>
      </w:r>
      <w:r w:rsidRPr="00F84C36">
        <w:rPr>
          <w:rFonts w:ascii="Book Antiqua" w:hAnsi="Book Antiqua"/>
        </w:rPr>
        <w:t xml:space="preserve">procurando con este proyecto de ley. </w:t>
      </w:r>
    </w:p>
    <w:p w14:paraId="3112A0D0" w14:textId="77777777" w:rsidR="009338C3" w:rsidRDefault="009338C3" w:rsidP="000F7BDE">
      <w:pPr>
        <w:spacing w:after="0" w:line="298" w:lineRule="auto"/>
        <w:ind w:firstLine="706"/>
        <w:jc w:val="both"/>
        <w:rPr>
          <w:rFonts w:ascii="Book Antiqua" w:hAnsi="Book Antiqua"/>
          <w:b/>
          <w:bCs/>
        </w:rPr>
      </w:pPr>
    </w:p>
    <w:p w14:paraId="6664BB37" w14:textId="77777777" w:rsidR="004B3E3A" w:rsidRDefault="004B3E3A" w:rsidP="000F7BDE">
      <w:pPr>
        <w:spacing w:after="0" w:line="298" w:lineRule="auto"/>
        <w:ind w:firstLine="706"/>
        <w:jc w:val="both"/>
        <w:rPr>
          <w:rFonts w:ascii="Book Antiqua" w:hAnsi="Book Antiqua"/>
          <w:b/>
          <w:bCs/>
        </w:rPr>
      </w:pPr>
    </w:p>
    <w:p w14:paraId="465158B0" w14:textId="69AEA726" w:rsidR="00D93BFA" w:rsidRDefault="00D93BFA" w:rsidP="009338C3">
      <w:pPr>
        <w:spacing w:after="0" w:line="298" w:lineRule="auto"/>
        <w:ind w:firstLine="706"/>
        <w:jc w:val="center"/>
        <w:rPr>
          <w:rFonts w:ascii="Book Antiqua" w:hAnsi="Book Antiqua"/>
          <w:b/>
          <w:bCs/>
          <w:u w:val="single"/>
        </w:rPr>
      </w:pPr>
      <w:r w:rsidRPr="002236D8">
        <w:rPr>
          <w:rFonts w:ascii="Book Antiqua" w:hAnsi="Book Antiqua"/>
          <w:b/>
          <w:bCs/>
          <w:u w:val="single"/>
        </w:rPr>
        <w:lastRenderedPageBreak/>
        <w:t>Josean García (Ciudadano particular)</w:t>
      </w:r>
    </w:p>
    <w:p w14:paraId="7B95DE25" w14:textId="77777777" w:rsidR="009338C3" w:rsidRPr="002236D8" w:rsidRDefault="009338C3" w:rsidP="002236D8">
      <w:pPr>
        <w:spacing w:after="0" w:line="298" w:lineRule="auto"/>
        <w:ind w:firstLine="706"/>
        <w:jc w:val="center"/>
        <w:rPr>
          <w:rFonts w:ascii="Book Antiqua" w:hAnsi="Book Antiqua"/>
          <w:b/>
          <w:bCs/>
          <w:u w:val="single"/>
        </w:rPr>
      </w:pPr>
    </w:p>
    <w:p w14:paraId="72D3497C" w14:textId="2E3AA0CF" w:rsidR="00D93BFA" w:rsidRDefault="00D93BFA" w:rsidP="00D93BFA">
      <w:pPr>
        <w:spacing w:after="0" w:line="298" w:lineRule="auto"/>
        <w:jc w:val="both"/>
        <w:rPr>
          <w:rFonts w:ascii="Book Antiqua" w:hAnsi="Book Antiqua"/>
        </w:rPr>
      </w:pPr>
      <w:r w:rsidRPr="00F84C36">
        <w:rPr>
          <w:rFonts w:ascii="Book Antiqua" w:hAnsi="Book Antiqua"/>
        </w:rPr>
        <w:tab/>
      </w:r>
      <w:r w:rsidR="009338C3">
        <w:rPr>
          <w:rFonts w:ascii="Book Antiqua" w:hAnsi="Book Antiqua"/>
        </w:rPr>
        <w:t>La</w:t>
      </w:r>
      <w:r w:rsidR="009338C3" w:rsidRPr="00F84C36">
        <w:rPr>
          <w:rFonts w:ascii="Book Antiqua" w:hAnsi="Book Antiqua"/>
        </w:rPr>
        <w:t xml:space="preserve"> </w:t>
      </w:r>
      <w:r w:rsidRPr="00F84C36">
        <w:rPr>
          <w:rFonts w:ascii="Book Antiqua" w:hAnsi="Book Antiqua"/>
        </w:rPr>
        <w:t xml:space="preserve">Comisión de lo Jurídico recibió una ponencia muy singular: un ciudadano </w:t>
      </w:r>
      <w:r w:rsidR="00A31858" w:rsidRPr="00F84C36">
        <w:rPr>
          <w:rFonts w:ascii="Book Antiqua" w:hAnsi="Book Antiqua"/>
        </w:rPr>
        <w:t>que,</w:t>
      </w:r>
      <w:r w:rsidRPr="00F84C36">
        <w:rPr>
          <w:rFonts w:ascii="Book Antiqua" w:hAnsi="Book Antiqua"/>
        </w:rPr>
        <w:t xml:space="preserve"> preocupado por esta situación, y consternado por la pérdida de la vida de las hermanas Esther Raquel y Eunice Raquel García Velázquez, nos presenta su posición en apoyo al P. de la C. 321. El ciudadano consternado es el propio padre de estas jovencitas que, aún </w:t>
      </w:r>
      <w:r w:rsidR="00A31858" w:rsidRPr="00F84C36">
        <w:rPr>
          <w:rFonts w:ascii="Book Antiqua" w:hAnsi="Book Antiqua"/>
        </w:rPr>
        <w:t xml:space="preserve">compungido por el enorme dolor que le produce </w:t>
      </w:r>
      <w:r w:rsidRPr="00F84C36">
        <w:rPr>
          <w:rFonts w:ascii="Book Antiqua" w:hAnsi="Book Antiqua"/>
        </w:rPr>
        <w:t>la pérdida de sus hijas</w:t>
      </w:r>
      <w:r w:rsidR="009F2BA0">
        <w:rPr>
          <w:rFonts w:ascii="Book Antiqua" w:hAnsi="Book Antiqua"/>
        </w:rPr>
        <w:t>,</w:t>
      </w:r>
      <w:r w:rsidRPr="00F84C36">
        <w:rPr>
          <w:rFonts w:ascii="Book Antiqua" w:hAnsi="Book Antiqua"/>
        </w:rPr>
        <w:t xml:space="preserve"> nos ilustró </w:t>
      </w:r>
      <w:r w:rsidR="009F2BA0">
        <w:rPr>
          <w:rFonts w:ascii="Book Antiqua" w:hAnsi="Book Antiqua"/>
        </w:rPr>
        <w:t>con su propia experiencia</w:t>
      </w:r>
      <w:r w:rsidRPr="00F84C36">
        <w:rPr>
          <w:rFonts w:ascii="Book Antiqua" w:hAnsi="Book Antiqua"/>
        </w:rPr>
        <w:t xml:space="preserve">. Más allá de las lágrimas que su tragedia puede producir, este testimonio es fundamental para </w:t>
      </w:r>
      <w:r w:rsidR="009F2BA0">
        <w:rPr>
          <w:rFonts w:ascii="Book Antiqua" w:hAnsi="Book Antiqua"/>
        </w:rPr>
        <w:t>n</w:t>
      </w:r>
      <w:r w:rsidRPr="00F84C36">
        <w:rPr>
          <w:rFonts w:ascii="Book Antiqua" w:hAnsi="Book Antiqua"/>
        </w:rPr>
        <w:t xml:space="preserve">uestra Comisión, pues permite poner en relieve el dolor humano que esta conducta produce y </w:t>
      </w:r>
      <w:r w:rsidR="00A006A6" w:rsidRPr="00F84C36">
        <w:rPr>
          <w:rFonts w:ascii="Book Antiqua" w:hAnsi="Book Antiqua"/>
        </w:rPr>
        <w:t>por qué</w:t>
      </w:r>
      <w:r w:rsidRPr="00F84C36">
        <w:rPr>
          <w:rFonts w:ascii="Book Antiqua" w:hAnsi="Book Antiqua"/>
        </w:rPr>
        <w:t xml:space="preserve"> no podemos ser condescendientes cuando se prueba más allá de duda razonable, que una persona le causó la muerte a otra por este tipo de negligencia. Por su contundencia e importancia, en cuanto a la intención de esta Comisión, queremos plasmar casi de forma íntegra su documento, para que quede como parte del historial legislativo de este proyecto. </w:t>
      </w:r>
      <w:r w:rsidR="00E13487">
        <w:rPr>
          <w:rFonts w:ascii="Book Antiqua" w:hAnsi="Book Antiqua"/>
        </w:rPr>
        <w:t>EL Sr. García nos narró que</w:t>
      </w:r>
      <w:r w:rsidRPr="00F84C36">
        <w:rPr>
          <w:rFonts w:ascii="Book Antiqua" w:hAnsi="Book Antiqua"/>
        </w:rPr>
        <w:t xml:space="preserve">: </w:t>
      </w:r>
    </w:p>
    <w:p w14:paraId="3462CB0D" w14:textId="77777777" w:rsidR="00A02F26" w:rsidRPr="00F84C36" w:rsidRDefault="00A02F26" w:rsidP="00D93BFA">
      <w:pPr>
        <w:spacing w:after="0" w:line="298" w:lineRule="auto"/>
        <w:jc w:val="both"/>
        <w:rPr>
          <w:rFonts w:ascii="Book Antiqua" w:hAnsi="Book Antiqua"/>
        </w:rPr>
      </w:pPr>
    </w:p>
    <w:p w14:paraId="7B49184E" w14:textId="2767914F" w:rsidR="00D93BFA" w:rsidRPr="004B3E3A" w:rsidRDefault="00D93BFA" w:rsidP="001124E2">
      <w:pPr>
        <w:spacing w:after="0" w:line="240" w:lineRule="auto"/>
        <w:ind w:left="720" w:right="720"/>
        <w:jc w:val="both"/>
        <w:rPr>
          <w:rFonts w:ascii="Book Antiqua" w:hAnsi="Book Antiqua"/>
        </w:rPr>
      </w:pPr>
      <w:r w:rsidRPr="004B3E3A">
        <w:rPr>
          <w:rFonts w:ascii="Book Antiqua" w:hAnsi="Book Antiqua"/>
        </w:rPr>
        <w:t>“Mi Posición sobre la legislación propuesta es positiva ya que va a crear consciencia y va a reforzar la responsabilidad penal de quienes, al infringir la Ley de Tránsito, causen lesiones graves o la muerte a otra persona. Sin embargo, considero que la medida debe evaluarse en detalle para garantizar que sea justa y efectiva. Con esta medida no se está buscando penalizar el alcohol, ni los negocios en donde se distribuyen tales bebidas, con esta medida aprobada lo que se busca es Penalizar la Decisión Errada de las personas que conociendo su estado y viendo todos los días los resultados causados por estas personas que deciden conducir en estado de embriaguez, considero que al aplicarse dichas penas no va a eliminar los accidentes, pero va a provocar una mayor disuasión para estos conductores irresponsables</w:t>
      </w:r>
      <w:r w:rsidR="00A02F26" w:rsidRPr="004B3E3A">
        <w:rPr>
          <w:rFonts w:ascii="Book Antiqua" w:hAnsi="Book Antiqua"/>
        </w:rPr>
        <w:t>.</w:t>
      </w:r>
    </w:p>
    <w:p w14:paraId="44842EE0" w14:textId="77777777" w:rsidR="00C06D14" w:rsidRPr="004B3E3A" w:rsidRDefault="00C06D14" w:rsidP="002236D8">
      <w:pPr>
        <w:spacing w:after="0" w:line="240" w:lineRule="auto"/>
        <w:ind w:left="720" w:right="720"/>
        <w:jc w:val="both"/>
        <w:rPr>
          <w:rFonts w:ascii="Book Antiqua" w:hAnsi="Book Antiqua"/>
        </w:rPr>
      </w:pPr>
    </w:p>
    <w:p w14:paraId="3E3655E2" w14:textId="77777777" w:rsidR="00D93BFA" w:rsidRPr="004B3E3A" w:rsidRDefault="00D93BFA" w:rsidP="002236D8">
      <w:pPr>
        <w:spacing w:line="240" w:lineRule="auto"/>
        <w:ind w:left="720" w:right="720"/>
        <w:jc w:val="both"/>
        <w:rPr>
          <w:rFonts w:ascii="Book Antiqua" w:hAnsi="Book Antiqua"/>
        </w:rPr>
      </w:pPr>
      <w:r w:rsidRPr="004B3E3A">
        <w:rPr>
          <w:rFonts w:ascii="Book Antiqua" w:hAnsi="Book Antiqua"/>
        </w:rPr>
        <w:t> 1. La eliminación de la sentencia suspendida y la libertad a prueba en estos casos refuerza la percepción de que estas conductas no serán toleradas. Esto podría reducir sustancialmente la incidencia de conductores que exceden los límites de velocidad, participan en carreras ilegales o conducen de manera negligente y en pleno menosprecio de la vida propia y ajena.</w:t>
      </w:r>
    </w:p>
    <w:p w14:paraId="45898828" w14:textId="77777777" w:rsidR="00D93BFA" w:rsidRPr="004B3E3A" w:rsidRDefault="00D93BFA" w:rsidP="002236D8">
      <w:pPr>
        <w:spacing w:line="240" w:lineRule="auto"/>
        <w:ind w:left="720" w:right="720"/>
        <w:jc w:val="both"/>
        <w:rPr>
          <w:rFonts w:ascii="Book Antiqua" w:hAnsi="Book Antiqua"/>
        </w:rPr>
      </w:pPr>
      <w:r w:rsidRPr="004B3E3A">
        <w:rPr>
          <w:rFonts w:ascii="Book Antiqua" w:hAnsi="Book Antiqua"/>
        </w:rPr>
        <w:t> 2. Es un paso hacia una mayor equidad en la aplicación de la justicia, asegurando que quienes causan daño grave o muerte enfrenten consecuencias proporcionales a sus actos. </w:t>
      </w:r>
    </w:p>
    <w:p w14:paraId="57F9E796" w14:textId="77777777" w:rsidR="00D93BFA" w:rsidRPr="004B3E3A" w:rsidRDefault="00D93BFA" w:rsidP="002236D8">
      <w:pPr>
        <w:spacing w:line="240" w:lineRule="auto"/>
        <w:ind w:left="720" w:right="720"/>
        <w:jc w:val="both"/>
        <w:rPr>
          <w:rFonts w:ascii="Book Antiqua" w:hAnsi="Book Antiqua"/>
        </w:rPr>
      </w:pPr>
      <w:r w:rsidRPr="004B3E3A">
        <w:rPr>
          <w:rFonts w:ascii="Book Antiqua" w:hAnsi="Book Antiqua"/>
        </w:rPr>
        <w:lastRenderedPageBreak/>
        <w:t>3. Esta medida refuerza los esfuerzos del Estado para reducir accidentes y promover el respeto a las normas de tránsito. </w:t>
      </w:r>
    </w:p>
    <w:p w14:paraId="2416AFCC" w14:textId="293D5172" w:rsidR="00D93BFA" w:rsidRPr="004B3E3A" w:rsidRDefault="00D93BFA" w:rsidP="002236D8">
      <w:pPr>
        <w:spacing w:line="240" w:lineRule="auto"/>
        <w:ind w:left="720" w:right="720"/>
        <w:jc w:val="both"/>
        <w:rPr>
          <w:rFonts w:ascii="Book Antiqua" w:hAnsi="Book Antiqua"/>
          <w:b/>
          <w:bCs/>
        </w:rPr>
      </w:pPr>
      <w:r w:rsidRPr="004B3E3A">
        <w:rPr>
          <w:rFonts w:ascii="Book Antiqua" w:hAnsi="Book Antiqua"/>
          <w:b/>
          <w:bCs/>
        </w:rPr>
        <w:t> Preocupaciones y aspectos que deben considerarse.</w:t>
      </w:r>
    </w:p>
    <w:p w14:paraId="1562FD14" w14:textId="77777777" w:rsidR="00D93BFA" w:rsidRPr="004B3E3A" w:rsidRDefault="00D93BFA" w:rsidP="002236D8">
      <w:pPr>
        <w:spacing w:line="240" w:lineRule="auto"/>
        <w:ind w:left="720" w:right="720"/>
        <w:jc w:val="both"/>
        <w:rPr>
          <w:rFonts w:ascii="Book Antiqua" w:hAnsi="Book Antiqua"/>
        </w:rPr>
      </w:pPr>
      <w:r w:rsidRPr="004B3E3A">
        <w:rPr>
          <w:rFonts w:ascii="Book Antiqua" w:hAnsi="Book Antiqua"/>
        </w:rPr>
        <w:t> 1. Eliminación total de la discreción judicial - Si bien es necesario aplicar sanciones severas, la eliminación absoluta de la sentencia suspendida podría resultar en penas desproporcionadas en ciertos casos. - Algunos accidentes, aunque trágicos, pueden no involucrar una negligencia crasa o una intención evidente de infringir la ley.  2. Rehabilitación y prevención como parte de la solución - El castigo es fundamental, pero también lo es la rehabilitación. La legislación debería incluir disposiciones que fomenten programas de educación vial y tratamiento para infractores reincidentes. </w:t>
      </w:r>
    </w:p>
    <w:p w14:paraId="6834C966" w14:textId="77777777" w:rsidR="00D93BFA" w:rsidRPr="004B3E3A" w:rsidRDefault="00D93BFA" w:rsidP="002236D8">
      <w:pPr>
        <w:spacing w:line="240" w:lineRule="auto"/>
        <w:ind w:left="720" w:right="720"/>
        <w:jc w:val="both"/>
        <w:rPr>
          <w:rFonts w:ascii="Book Antiqua" w:hAnsi="Book Antiqua"/>
          <w:b/>
          <w:bCs/>
        </w:rPr>
      </w:pPr>
      <w:r w:rsidRPr="004B3E3A">
        <w:rPr>
          <w:rFonts w:ascii="Book Antiqua" w:hAnsi="Book Antiqua"/>
          <w:b/>
          <w:bCs/>
        </w:rPr>
        <w:t> Sugerencias de Enmiendas</w:t>
      </w:r>
    </w:p>
    <w:p w14:paraId="4C1F3947" w14:textId="77777777" w:rsidR="00D93BFA" w:rsidRPr="004B3E3A" w:rsidRDefault="00D93BFA" w:rsidP="002236D8">
      <w:pPr>
        <w:spacing w:line="240" w:lineRule="auto"/>
        <w:ind w:left="720" w:right="720"/>
        <w:jc w:val="both"/>
        <w:rPr>
          <w:rFonts w:ascii="Book Antiqua" w:hAnsi="Book Antiqua"/>
        </w:rPr>
      </w:pPr>
      <w:r w:rsidRPr="004B3E3A">
        <w:rPr>
          <w:rFonts w:ascii="Book Antiqua" w:hAnsi="Book Antiqua"/>
        </w:rPr>
        <w:t>Para mejorar la efectividad y justicia del PC 321, propongo las siguientes enmiendas: 1. Gradualidad en la eliminación de la sentencia suspendida - En lugar de eliminar por completo la posibilidad de libertad a prueba, se podría establecer un criterio más específico que permita a los jueces considerar factores atenuantes en casos particulares. - Por ejemplo: - Si hubo negligencia crasa y consumo de alcohol o drogas, la sentencia suspendida no debe ser una opción. - Si el accidente ocurrió en condiciones que reducen la culpabilidad del conductor (por ejemplo, una falla mecánica inesperada o condiciones de la carretera), el tribunal podría evaluar medidas alternativas. Aumento de recursos para la fiscalización - La legislación debe acompañarse de un refuerzo en los mecanismos de supervisión, aumentando patrullajes y controles de tránsito para detectar infracciones antes de que causen tragedias.</w:t>
      </w:r>
    </w:p>
    <w:p w14:paraId="4769E74F" w14:textId="77777777" w:rsidR="00D93BFA" w:rsidRPr="004B3E3A" w:rsidRDefault="00D93BFA" w:rsidP="002236D8">
      <w:pPr>
        <w:spacing w:line="240" w:lineRule="auto"/>
        <w:ind w:left="720" w:right="720"/>
        <w:jc w:val="both"/>
        <w:rPr>
          <w:rFonts w:ascii="Book Antiqua" w:hAnsi="Book Antiqua"/>
          <w:b/>
          <w:bCs/>
        </w:rPr>
      </w:pPr>
      <w:r w:rsidRPr="004B3E3A">
        <w:rPr>
          <w:rFonts w:ascii="Book Antiqua" w:hAnsi="Book Antiqua"/>
          <w:b/>
          <w:bCs/>
        </w:rPr>
        <w:t>Efectividad de leyes similares en otros lugares</w:t>
      </w:r>
    </w:p>
    <w:p w14:paraId="44DB9A1D" w14:textId="77777777" w:rsidR="00D93BFA" w:rsidRPr="004B3E3A" w:rsidRDefault="00D93BFA" w:rsidP="002236D8">
      <w:pPr>
        <w:spacing w:line="240" w:lineRule="auto"/>
        <w:ind w:left="720" w:right="720"/>
        <w:jc w:val="both"/>
        <w:rPr>
          <w:rFonts w:ascii="Book Antiqua" w:hAnsi="Book Antiqua"/>
        </w:rPr>
      </w:pPr>
      <w:r w:rsidRPr="004B3E3A">
        <w:rPr>
          <w:rFonts w:ascii="Book Antiqua" w:hAnsi="Book Antiqua"/>
        </w:rPr>
        <w:t>Es importante analizar el impacto de legislaciones similares en otras jurisdicciones. Estados como California, Texas y Florida han endurecido las penas para conductores imprudentes, combinando castigos severos con programas de educación y rehabilitación. Puerto Rico podría beneficiarse de enfoques similares.</w:t>
      </w:r>
    </w:p>
    <w:p w14:paraId="16D2B24E" w14:textId="77777777" w:rsidR="00D93BFA" w:rsidRPr="004B3E3A" w:rsidRDefault="00D93BFA" w:rsidP="002236D8">
      <w:pPr>
        <w:spacing w:line="240" w:lineRule="auto"/>
        <w:ind w:left="720" w:right="720"/>
        <w:jc w:val="both"/>
        <w:rPr>
          <w:rFonts w:ascii="Book Antiqua" w:hAnsi="Book Antiqua"/>
        </w:rPr>
      </w:pPr>
      <w:r w:rsidRPr="004B3E3A">
        <w:rPr>
          <w:rFonts w:ascii="Book Antiqua" w:hAnsi="Book Antiqua"/>
        </w:rPr>
        <w:t>Más allá del aspecto punitivo, la prevención juega un papel clave. Propongo que esta legislación vaya acompañada de campañas de concienciación para educar a la ciudadanía sobre los peligros del manejo imprudente. </w:t>
      </w:r>
    </w:p>
    <w:p w14:paraId="301D9E27" w14:textId="1A5D92ED" w:rsidR="00D93BFA" w:rsidRPr="004B3E3A" w:rsidRDefault="00D93BFA" w:rsidP="00A02F26">
      <w:pPr>
        <w:spacing w:after="0" w:line="240" w:lineRule="auto"/>
        <w:ind w:left="720" w:right="720"/>
        <w:jc w:val="both"/>
        <w:rPr>
          <w:rFonts w:ascii="Book Antiqua" w:hAnsi="Book Antiqua"/>
        </w:rPr>
      </w:pPr>
      <w:r w:rsidRPr="004B3E3A">
        <w:rPr>
          <w:rFonts w:ascii="Book Antiqua" w:hAnsi="Book Antiqua"/>
        </w:rPr>
        <w:t xml:space="preserve">El Proyecto de la Cámara 321 es un esfuerzo valioso para fortalecer la seguridad vial y la justicia en Puerto Rico. Estoy de acuerdo con la necesidad de imponer sanciones más estrictas a quienes, por su negligencia, causan daños graves o la muerte a otros como paso con mis Dos hijas Esther </w:t>
      </w:r>
      <w:r w:rsidRPr="004B3E3A">
        <w:rPr>
          <w:rFonts w:ascii="Book Antiqua" w:hAnsi="Book Antiqua"/>
        </w:rPr>
        <w:lastRenderedPageBreak/>
        <w:t>R García Vázquez que a su vez estaba embarazada con 6 meses de gestación y Eunice R García Vázquez que fueron Víctimas inocentes de un conductor negligente que conociendo su estado de ebriedad tomo la Decisión Errada de prender su vehículo y se aventuró a conducir conociendo su estado causando así el accidente donde se perdieron 3 vidas</w:t>
      </w:r>
      <w:r w:rsidR="00D93279" w:rsidRPr="004B3E3A">
        <w:rPr>
          <w:rFonts w:ascii="Book Antiqua" w:hAnsi="Book Antiqua"/>
        </w:rPr>
        <w:t>.”</w:t>
      </w:r>
    </w:p>
    <w:p w14:paraId="41125FAF" w14:textId="77777777" w:rsidR="00A02F26" w:rsidRPr="004B3E3A" w:rsidRDefault="00A02F26" w:rsidP="002236D8">
      <w:pPr>
        <w:spacing w:after="0" w:line="240" w:lineRule="auto"/>
        <w:ind w:left="720" w:right="720"/>
        <w:jc w:val="both"/>
        <w:rPr>
          <w:rFonts w:ascii="Book Antiqua" w:hAnsi="Book Antiqua"/>
        </w:rPr>
      </w:pPr>
    </w:p>
    <w:p w14:paraId="666FE0D6" w14:textId="5194FBAF" w:rsidR="00D93279" w:rsidRPr="00F84C36" w:rsidRDefault="00D93279" w:rsidP="00D93279">
      <w:pPr>
        <w:spacing w:after="0" w:line="298" w:lineRule="auto"/>
        <w:ind w:firstLine="706"/>
        <w:jc w:val="both"/>
        <w:rPr>
          <w:rFonts w:ascii="Book Antiqua" w:hAnsi="Book Antiqua"/>
        </w:rPr>
      </w:pPr>
      <w:r w:rsidRPr="00F84C36">
        <w:rPr>
          <w:rFonts w:ascii="Book Antiqua" w:hAnsi="Book Antiqua"/>
        </w:rPr>
        <w:t xml:space="preserve">El señor García culminó </w:t>
      </w:r>
      <w:r w:rsidR="00715AEE" w:rsidRPr="00F84C36">
        <w:rPr>
          <w:rFonts w:ascii="Book Antiqua" w:hAnsi="Book Antiqua"/>
        </w:rPr>
        <w:t>agradeciendo</w:t>
      </w:r>
      <w:r w:rsidRPr="00F84C36">
        <w:rPr>
          <w:rFonts w:ascii="Book Antiqua" w:hAnsi="Book Antiqua"/>
        </w:rPr>
        <w:t xml:space="preserve"> a la Comisión la oportunidad de participar de este proceso. Sin embargo, somos nosotros los que queremos agradecerle a él por su valor, desprendimiento y tesón, en luchar para obtener justicia para su familia. No hubiéramos querido jamás que él y toda su comunidad tuvieran que estar pasando por esta tragedia. </w:t>
      </w:r>
    </w:p>
    <w:p w14:paraId="506BBD97" w14:textId="4075532D" w:rsidR="00C03C24" w:rsidRPr="002236D8" w:rsidRDefault="00C03C24" w:rsidP="002236D8">
      <w:pPr>
        <w:spacing w:after="0" w:line="298" w:lineRule="auto"/>
        <w:ind w:firstLine="706"/>
        <w:jc w:val="center"/>
        <w:rPr>
          <w:rFonts w:ascii="Book Antiqua" w:hAnsi="Book Antiqua"/>
          <w:b/>
          <w:bCs/>
          <w:u w:val="single"/>
        </w:rPr>
      </w:pPr>
      <w:bookmarkStart w:id="0" w:name="_Hlk196644757"/>
      <w:r w:rsidRPr="002236D8">
        <w:rPr>
          <w:rFonts w:ascii="Book Antiqua" w:hAnsi="Book Antiqua"/>
          <w:b/>
          <w:bCs/>
          <w:u w:val="single"/>
        </w:rPr>
        <w:t>Oficina de Administración de los Tribunales (OAT)</w:t>
      </w:r>
    </w:p>
    <w:bookmarkEnd w:id="0"/>
    <w:p w14:paraId="15356BC2" w14:textId="77777777" w:rsidR="00B02865" w:rsidRDefault="00B02865" w:rsidP="00C03C24">
      <w:pPr>
        <w:spacing w:after="0" w:line="298" w:lineRule="auto"/>
        <w:ind w:firstLine="706"/>
        <w:jc w:val="both"/>
        <w:rPr>
          <w:rFonts w:ascii="Book Antiqua" w:hAnsi="Book Antiqua"/>
        </w:rPr>
      </w:pPr>
    </w:p>
    <w:p w14:paraId="207D907E" w14:textId="72B74600" w:rsidR="00C206E4" w:rsidRDefault="00C03C24" w:rsidP="005670E8">
      <w:pPr>
        <w:spacing w:after="0" w:line="298" w:lineRule="auto"/>
        <w:ind w:firstLine="706"/>
        <w:jc w:val="both"/>
        <w:rPr>
          <w:rFonts w:ascii="Book Antiqua" w:hAnsi="Book Antiqua"/>
        </w:rPr>
      </w:pPr>
      <w:r w:rsidRPr="00F84C36">
        <w:rPr>
          <w:rFonts w:ascii="Book Antiqua" w:hAnsi="Book Antiqua"/>
        </w:rPr>
        <w:t>La</w:t>
      </w:r>
      <w:r w:rsidR="005670E8">
        <w:rPr>
          <w:rFonts w:ascii="Book Antiqua" w:hAnsi="Book Antiqua"/>
        </w:rPr>
        <w:t xml:space="preserve"> Oficina de Administración de Tribunales</w:t>
      </w:r>
      <w:r w:rsidRPr="00F84C36">
        <w:rPr>
          <w:rFonts w:ascii="Book Antiqua" w:hAnsi="Book Antiqua"/>
        </w:rPr>
        <w:t xml:space="preserve"> </w:t>
      </w:r>
      <w:r w:rsidR="005670E8">
        <w:rPr>
          <w:rFonts w:ascii="Book Antiqua" w:hAnsi="Book Antiqua"/>
        </w:rPr>
        <w:t>(</w:t>
      </w:r>
      <w:r w:rsidRPr="00F84C36">
        <w:rPr>
          <w:rFonts w:ascii="Book Antiqua" w:hAnsi="Book Antiqua"/>
        </w:rPr>
        <w:t>OAT</w:t>
      </w:r>
      <w:r w:rsidR="005670E8">
        <w:rPr>
          <w:rFonts w:ascii="Book Antiqua" w:hAnsi="Book Antiqua"/>
        </w:rPr>
        <w:t>)</w:t>
      </w:r>
      <w:r w:rsidRPr="00F84C36">
        <w:rPr>
          <w:rFonts w:ascii="Book Antiqua" w:hAnsi="Book Antiqua"/>
        </w:rPr>
        <w:t xml:space="preserve"> nos indica que se abstienen de </w:t>
      </w:r>
      <w:r w:rsidR="00C206E4">
        <w:rPr>
          <w:rFonts w:ascii="Book Antiqua" w:hAnsi="Book Antiqua"/>
        </w:rPr>
        <w:t>realizar</w:t>
      </w:r>
      <w:r w:rsidR="00C206E4" w:rsidRPr="00F84C36">
        <w:rPr>
          <w:rFonts w:ascii="Book Antiqua" w:hAnsi="Book Antiqua"/>
        </w:rPr>
        <w:t xml:space="preserve"> </w:t>
      </w:r>
      <w:r w:rsidRPr="00F84C36">
        <w:rPr>
          <w:rFonts w:ascii="Book Antiqua" w:hAnsi="Book Antiqua"/>
        </w:rPr>
        <w:t xml:space="preserve">comentarios sobre </w:t>
      </w:r>
      <w:r w:rsidR="00DE4263" w:rsidRPr="00F84C36">
        <w:rPr>
          <w:rFonts w:ascii="Book Antiqua" w:hAnsi="Book Antiqua"/>
        </w:rPr>
        <w:t xml:space="preserve">la intención legislativa plasmada en </w:t>
      </w:r>
      <w:r w:rsidRPr="00F84C36">
        <w:rPr>
          <w:rFonts w:ascii="Book Antiqua" w:hAnsi="Book Antiqua"/>
        </w:rPr>
        <w:t xml:space="preserve">el P. de la C. 321. Específicamente </w:t>
      </w:r>
      <w:r w:rsidR="00C206E4">
        <w:rPr>
          <w:rFonts w:ascii="Book Antiqua" w:hAnsi="Book Antiqua"/>
        </w:rPr>
        <w:t>la OAT manifiesta que</w:t>
      </w:r>
      <w:r w:rsidRPr="00F84C36">
        <w:rPr>
          <w:rFonts w:ascii="Book Antiqua" w:hAnsi="Book Antiqua"/>
        </w:rPr>
        <w:t>:</w:t>
      </w:r>
    </w:p>
    <w:p w14:paraId="5E1758EC" w14:textId="77777777" w:rsidR="004B3E3A" w:rsidRPr="00F84C36" w:rsidRDefault="004B3E3A" w:rsidP="005670E8">
      <w:pPr>
        <w:spacing w:after="0" w:line="298" w:lineRule="auto"/>
        <w:ind w:firstLine="706"/>
        <w:jc w:val="both"/>
        <w:rPr>
          <w:rFonts w:ascii="Book Antiqua" w:hAnsi="Book Antiqua"/>
        </w:rPr>
      </w:pPr>
    </w:p>
    <w:p w14:paraId="37C1E532" w14:textId="061729AE" w:rsidR="00C03C24" w:rsidRPr="00F84C36" w:rsidRDefault="00200E2C" w:rsidP="00A006A6">
      <w:pPr>
        <w:spacing w:after="0" w:line="298" w:lineRule="auto"/>
        <w:ind w:left="720" w:right="720" w:firstLine="706"/>
        <w:jc w:val="both"/>
        <w:rPr>
          <w:rFonts w:ascii="Book Antiqua" w:hAnsi="Book Antiqua"/>
        </w:rPr>
      </w:pPr>
      <w:r>
        <w:rPr>
          <w:rFonts w:ascii="Book Antiqua" w:hAnsi="Book Antiqua"/>
        </w:rPr>
        <w:t xml:space="preserve">El </w:t>
      </w:r>
      <w:r w:rsidR="00C03C24" w:rsidRPr="00F84C36">
        <w:rPr>
          <w:rFonts w:ascii="Book Antiqua" w:hAnsi="Book Antiqua"/>
        </w:rPr>
        <w:t>asunto sobre el que versa el Proyecto de la Cámara 321 corresponde al ámbito de autoridad de los poderes Legislativo y Ejecutivo. Como regla general, el Poder Judicial se abstiene de emitir juicio sobre asuntos de política pública gubernamental de la competencia de los otros poderes de gobierno, razón por la que declinamos emitir comentarios respecto a los méritos de la propuesta legislativa de referencia y solicitamos que nos excuse de comparecer a la audiencia pública señalada.</w:t>
      </w:r>
    </w:p>
    <w:p w14:paraId="028DDBCC" w14:textId="77777777" w:rsidR="00A94F88" w:rsidRPr="00F84C36" w:rsidRDefault="00A94F88" w:rsidP="008703A0">
      <w:pPr>
        <w:spacing w:after="0" w:line="360" w:lineRule="auto"/>
        <w:jc w:val="center"/>
        <w:rPr>
          <w:rFonts w:ascii="Book Antiqua" w:eastAsia="Times New Roman" w:hAnsi="Book Antiqua" w:cs="Times New Roman"/>
          <w:kern w:val="0"/>
          <w14:ligatures w14:val="none"/>
        </w:rPr>
      </w:pPr>
    </w:p>
    <w:p w14:paraId="015F67E8" w14:textId="6D7026D0" w:rsidR="00F94272" w:rsidRPr="00F84C36" w:rsidRDefault="00CB4BCC" w:rsidP="008703A0">
      <w:pPr>
        <w:spacing w:after="0" w:line="360" w:lineRule="auto"/>
        <w:jc w:val="center"/>
        <w:rPr>
          <w:rFonts w:ascii="Book Antiqua" w:eastAsia="Calibri" w:hAnsi="Book Antiqua" w:cs="Times New Roman"/>
          <w:b/>
          <w:bCs/>
          <w:spacing w:val="12"/>
          <w:kern w:val="0"/>
          <w14:ligatures w14:val="none"/>
        </w:rPr>
      </w:pPr>
      <w:r w:rsidRPr="00F84C36">
        <w:rPr>
          <w:rFonts w:ascii="Book Antiqua" w:eastAsia="Calibri" w:hAnsi="Book Antiqua" w:cs="Times New Roman"/>
          <w:b/>
          <w:bCs/>
          <w:spacing w:val="12"/>
          <w:kern w:val="0"/>
          <w14:ligatures w14:val="none"/>
        </w:rPr>
        <w:t>ANÁLISIS DE LA MEDIDA</w:t>
      </w:r>
    </w:p>
    <w:p w14:paraId="743E26B7" w14:textId="434ECD63" w:rsidR="00F35191" w:rsidRDefault="006B02FF" w:rsidP="000F7BDE">
      <w:pPr>
        <w:spacing w:after="0" w:line="298" w:lineRule="auto"/>
        <w:ind w:firstLine="706"/>
        <w:jc w:val="both"/>
        <w:rPr>
          <w:rFonts w:ascii="Book Antiqua" w:hAnsi="Book Antiqua"/>
        </w:rPr>
      </w:pPr>
      <w:r w:rsidRPr="00F84C36">
        <w:rPr>
          <w:rFonts w:ascii="Book Antiqua" w:eastAsia="Calibri" w:hAnsi="Book Antiqua" w:cs="Times New Roman"/>
          <w:bCs/>
          <w:kern w:val="0"/>
          <w14:ligatures w14:val="none"/>
        </w:rPr>
        <w:t xml:space="preserve">Evaluados todos los comentarios </w:t>
      </w:r>
      <w:r w:rsidR="00171D05" w:rsidRPr="00F84C36">
        <w:rPr>
          <w:rFonts w:ascii="Book Antiqua" w:eastAsia="Calibri" w:hAnsi="Book Antiqua" w:cs="Times New Roman"/>
          <w:bCs/>
          <w:kern w:val="0"/>
          <w14:ligatures w14:val="none"/>
        </w:rPr>
        <w:t>r</w:t>
      </w:r>
      <w:r w:rsidRPr="00F84C36">
        <w:rPr>
          <w:rFonts w:ascii="Book Antiqua" w:eastAsia="Calibri" w:hAnsi="Book Antiqua" w:cs="Times New Roman"/>
          <w:bCs/>
          <w:kern w:val="0"/>
          <w14:ligatures w14:val="none"/>
        </w:rPr>
        <w:t xml:space="preserve">ecibidos, </w:t>
      </w:r>
      <w:r w:rsidR="00D93279" w:rsidRPr="00F84C36">
        <w:rPr>
          <w:rFonts w:ascii="Book Antiqua" w:eastAsia="Calibri" w:hAnsi="Book Antiqua" w:cs="Times New Roman"/>
          <w:bCs/>
          <w:kern w:val="0"/>
          <w14:ligatures w14:val="none"/>
        </w:rPr>
        <w:t xml:space="preserve">no podemos estar más convencidos de la necesidad de “cerrar el círculo” para este tipo de casos. Es decir, </w:t>
      </w:r>
      <w:r w:rsidR="00E942B8" w:rsidRPr="00F84C36">
        <w:rPr>
          <w:rFonts w:ascii="Book Antiqua" w:eastAsia="Calibri" w:hAnsi="Book Antiqua" w:cs="Times New Roman"/>
          <w:bCs/>
          <w:kern w:val="0"/>
          <w14:ligatures w14:val="none"/>
        </w:rPr>
        <w:t xml:space="preserve">como </w:t>
      </w:r>
      <w:r w:rsidR="00F35191" w:rsidRPr="00F84C36">
        <w:rPr>
          <w:rFonts w:ascii="Book Antiqua" w:hAnsi="Book Antiqua"/>
        </w:rPr>
        <w:t xml:space="preserve">señala el Departamento de Justicia, </w:t>
      </w:r>
      <w:r w:rsidR="005F06F3" w:rsidRPr="00F84C36">
        <w:rPr>
          <w:rFonts w:ascii="Book Antiqua" w:hAnsi="Book Antiqua"/>
        </w:rPr>
        <w:t xml:space="preserve">el </w:t>
      </w:r>
      <w:r w:rsidR="00E942B8" w:rsidRPr="00F84C36">
        <w:rPr>
          <w:rFonts w:ascii="Book Antiqua" w:hAnsi="Book Antiqua"/>
        </w:rPr>
        <w:t>Artículo</w:t>
      </w:r>
      <w:r w:rsidR="005F06F3" w:rsidRPr="00F84C36">
        <w:rPr>
          <w:rFonts w:ascii="Book Antiqua" w:hAnsi="Book Antiqua"/>
        </w:rPr>
        <w:t xml:space="preserve"> 7.01 de la Ley 22</w:t>
      </w:r>
      <w:r w:rsidR="00F35191" w:rsidRPr="00F84C36">
        <w:rPr>
          <w:rFonts w:ascii="Book Antiqua" w:hAnsi="Book Antiqua"/>
        </w:rPr>
        <w:t>, Ley de Vehículos y Tránsito, antes citada,</w:t>
      </w:r>
      <w:r w:rsidR="005F06F3" w:rsidRPr="00F84C36">
        <w:rPr>
          <w:rFonts w:ascii="Book Antiqua" w:hAnsi="Book Antiqua"/>
        </w:rPr>
        <w:t xml:space="preserve"> dispone</w:t>
      </w:r>
      <w:r w:rsidR="00F35191" w:rsidRPr="00F84C36">
        <w:rPr>
          <w:rFonts w:ascii="Book Antiqua" w:hAnsi="Book Antiqua"/>
        </w:rPr>
        <w:t>,</w:t>
      </w:r>
      <w:r w:rsidR="005F06F3" w:rsidRPr="00F84C36">
        <w:rPr>
          <w:rFonts w:ascii="Book Antiqua" w:hAnsi="Book Antiqua"/>
        </w:rPr>
        <w:t xml:space="preserve"> </w:t>
      </w:r>
      <w:r w:rsidR="005F06F3" w:rsidRPr="00F84C36">
        <w:rPr>
          <w:rFonts w:ascii="Book Antiqua" w:hAnsi="Book Antiqua"/>
          <w:b/>
          <w:bCs/>
        </w:rPr>
        <w:t>como norma general</w:t>
      </w:r>
      <w:r w:rsidR="005F06F3" w:rsidRPr="00F84C36">
        <w:rPr>
          <w:rFonts w:ascii="Book Antiqua" w:hAnsi="Book Antiqua"/>
        </w:rPr>
        <w:t>, que constitu</w:t>
      </w:r>
      <w:r w:rsidR="00F35191" w:rsidRPr="00F84C36">
        <w:rPr>
          <w:rFonts w:ascii="Book Antiqua" w:hAnsi="Book Antiqua"/>
        </w:rPr>
        <w:t>ye</w:t>
      </w:r>
      <w:r w:rsidR="005F06F3" w:rsidRPr="00F84C36">
        <w:rPr>
          <w:rFonts w:ascii="Book Antiqua" w:hAnsi="Book Antiqua"/>
        </w:rPr>
        <w:t xml:space="preserve"> delito conducir un </w:t>
      </w:r>
      <w:r w:rsidR="00E942B8" w:rsidRPr="00F84C36">
        <w:rPr>
          <w:rFonts w:ascii="Book Antiqua" w:hAnsi="Book Antiqua"/>
        </w:rPr>
        <w:t>vehículo</w:t>
      </w:r>
      <w:r w:rsidR="005F06F3" w:rsidRPr="00F84C36">
        <w:rPr>
          <w:rFonts w:ascii="Book Antiqua" w:hAnsi="Book Antiqua"/>
        </w:rPr>
        <w:t xml:space="preserve"> de motor bajo los efectos de bebidas embriagantes</w:t>
      </w:r>
      <w:r w:rsidR="00F35191" w:rsidRPr="00F84C36">
        <w:rPr>
          <w:rFonts w:ascii="Book Antiqua" w:hAnsi="Book Antiqua"/>
        </w:rPr>
        <w:t xml:space="preserve"> (definidas en el Artículo 7.02)</w:t>
      </w:r>
      <w:r w:rsidR="005F06F3" w:rsidRPr="00F84C36">
        <w:rPr>
          <w:rFonts w:ascii="Book Antiqua" w:hAnsi="Book Antiqua"/>
        </w:rPr>
        <w:t>, drogas o sustancias controladas</w:t>
      </w:r>
      <w:r w:rsidR="00F35191" w:rsidRPr="00F84C36">
        <w:rPr>
          <w:rFonts w:ascii="Book Antiqua" w:hAnsi="Book Antiqua"/>
        </w:rPr>
        <w:t xml:space="preserve"> (definidas en el Artículo 7.03)</w:t>
      </w:r>
      <w:r w:rsidR="005F06F3" w:rsidRPr="00F84C36">
        <w:rPr>
          <w:rFonts w:ascii="Book Antiqua" w:hAnsi="Book Antiqua"/>
        </w:rPr>
        <w:t>.</w:t>
      </w:r>
      <w:r w:rsidR="00F35191" w:rsidRPr="00F84C36">
        <w:rPr>
          <w:rFonts w:ascii="Book Antiqua" w:hAnsi="Book Antiqua"/>
        </w:rPr>
        <w:t xml:space="preserve">  En el Artículo 7.06, por su parte, se dispone que</w:t>
      </w:r>
      <w:r w:rsidR="004047BE">
        <w:rPr>
          <w:rFonts w:ascii="Book Antiqua" w:hAnsi="Book Antiqua"/>
        </w:rPr>
        <w:t>,</w:t>
      </w:r>
      <w:r w:rsidR="00F35191" w:rsidRPr="00F84C36">
        <w:rPr>
          <w:rFonts w:ascii="Book Antiqua" w:hAnsi="Book Antiqua"/>
        </w:rPr>
        <w:t xml:space="preserve"> a consecuencia de la violación de cualquiera de esos tres Artículos (7.01, 7.02 y 7.03), se </w:t>
      </w:r>
      <w:r w:rsidR="005F06F3" w:rsidRPr="00F84C36">
        <w:rPr>
          <w:rFonts w:ascii="Book Antiqua" w:hAnsi="Book Antiqua"/>
        </w:rPr>
        <w:t xml:space="preserve">le ocasionare la muerte a otra persona, se le </w:t>
      </w:r>
      <w:r w:rsidR="000B72A1" w:rsidRPr="00F84C36">
        <w:rPr>
          <w:rFonts w:ascii="Book Antiqua" w:hAnsi="Book Antiqua"/>
        </w:rPr>
        <w:t>impondrá</w:t>
      </w:r>
      <w:r w:rsidR="005F06F3" w:rsidRPr="00F84C36">
        <w:rPr>
          <w:rFonts w:ascii="Book Antiqua" w:hAnsi="Book Antiqua"/>
        </w:rPr>
        <w:t xml:space="preserve">́ una pena de </w:t>
      </w:r>
      <w:r w:rsidR="000B72A1" w:rsidRPr="00F84C36">
        <w:rPr>
          <w:rFonts w:ascii="Book Antiqua" w:hAnsi="Book Antiqua"/>
        </w:rPr>
        <w:t>reclusión</w:t>
      </w:r>
      <w:r w:rsidR="005F06F3" w:rsidRPr="00F84C36">
        <w:rPr>
          <w:rFonts w:ascii="Book Antiqua" w:hAnsi="Book Antiqua"/>
        </w:rPr>
        <w:t xml:space="preserve"> por un </w:t>
      </w:r>
      <w:r w:rsidR="000B72A1" w:rsidRPr="00F84C36">
        <w:rPr>
          <w:rFonts w:ascii="Book Antiqua" w:hAnsi="Book Antiqua"/>
        </w:rPr>
        <w:t>término</w:t>
      </w:r>
      <w:r w:rsidR="005F06F3" w:rsidRPr="00F84C36">
        <w:rPr>
          <w:rFonts w:ascii="Book Antiqua" w:hAnsi="Book Antiqua"/>
        </w:rPr>
        <w:t xml:space="preserve"> fijo de quince (15) </w:t>
      </w:r>
      <w:r w:rsidR="0054073A" w:rsidRPr="00F84C36">
        <w:rPr>
          <w:rFonts w:ascii="Book Antiqua" w:hAnsi="Book Antiqua"/>
        </w:rPr>
        <w:t>años</w:t>
      </w:r>
      <w:r w:rsidR="00F35191" w:rsidRPr="00F84C36">
        <w:rPr>
          <w:rFonts w:ascii="Book Antiqua" w:hAnsi="Book Antiqua"/>
        </w:rPr>
        <w:t xml:space="preserve">. Si se causare </w:t>
      </w:r>
      <w:r w:rsidR="005F06F3" w:rsidRPr="00F84C36">
        <w:rPr>
          <w:rFonts w:ascii="Book Antiqua" w:hAnsi="Book Antiqua"/>
        </w:rPr>
        <w:t xml:space="preserve">grave </w:t>
      </w:r>
      <w:r w:rsidR="000B72A1" w:rsidRPr="00F84C36">
        <w:rPr>
          <w:rFonts w:ascii="Book Antiqua" w:hAnsi="Book Antiqua"/>
        </w:rPr>
        <w:t>daño</w:t>
      </w:r>
      <w:r w:rsidR="005F06F3" w:rsidRPr="00F84C36">
        <w:rPr>
          <w:rFonts w:ascii="Book Antiqua" w:hAnsi="Book Antiqua"/>
        </w:rPr>
        <w:t xml:space="preserve"> corporal, la pena de </w:t>
      </w:r>
      <w:r w:rsidR="000B72A1" w:rsidRPr="00F84C36">
        <w:rPr>
          <w:rFonts w:ascii="Book Antiqua" w:hAnsi="Book Antiqua"/>
        </w:rPr>
        <w:lastRenderedPageBreak/>
        <w:t>reclusión</w:t>
      </w:r>
      <w:r w:rsidR="005F06F3" w:rsidRPr="00F84C36">
        <w:rPr>
          <w:rFonts w:ascii="Book Antiqua" w:hAnsi="Book Antiqua"/>
        </w:rPr>
        <w:t xml:space="preserve"> </w:t>
      </w:r>
      <w:r w:rsidR="000B72A1" w:rsidRPr="00F84C36">
        <w:rPr>
          <w:rFonts w:ascii="Book Antiqua" w:hAnsi="Book Antiqua"/>
        </w:rPr>
        <w:t>será</w:t>
      </w:r>
      <w:r w:rsidR="005F06F3" w:rsidRPr="00F84C36">
        <w:rPr>
          <w:rFonts w:ascii="Book Antiqua" w:hAnsi="Book Antiqua"/>
        </w:rPr>
        <w:t xml:space="preserve">́ por un </w:t>
      </w:r>
      <w:r w:rsidR="000B72A1" w:rsidRPr="00F84C36">
        <w:rPr>
          <w:rFonts w:ascii="Book Antiqua" w:hAnsi="Book Antiqua"/>
        </w:rPr>
        <w:t>término</w:t>
      </w:r>
      <w:r w:rsidR="005F06F3" w:rsidRPr="00F84C36">
        <w:rPr>
          <w:rFonts w:ascii="Book Antiqua" w:hAnsi="Book Antiqua"/>
        </w:rPr>
        <w:t xml:space="preserve"> fijo de quince (5) </w:t>
      </w:r>
      <w:r w:rsidR="0054073A" w:rsidRPr="00F84C36">
        <w:rPr>
          <w:rFonts w:ascii="Book Antiqua" w:hAnsi="Book Antiqua"/>
        </w:rPr>
        <w:t>años</w:t>
      </w:r>
      <w:r w:rsidR="005F06F3" w:rsidRPr="00F84C36">
        <w:rPr>
          <w:rFonts w:ascii="Book Antiqua" w:hAnsi="Book Antiqua"/>
        </w:rPr>
        <w:t>.</w:t>
      </w:r>
      <w:r w:rsidR="00F35191" w:rsidRPr="00F84C36">
        <w:rPr>
          <w:rFonts w:ascii="Book Antiqua" w:hAnsi="Book Antiqua"/>
        </w:rPr>
        <w:t xml:space="preserve">  En estos casos</w:t>
      </w:r>
      <w:r w:rsidR="00151EAB" w:rsidRPr="00F84C36">
        <w:rPr>
          <w:rFonts w:ascii="Book Antiqua" w:hAnsi="Book Antiqua"/>
        </w:rPr>
        <w:t xml:space="preserve"> </w:t>
      </w:r>
      <w:r w:rsidR="00F35191" w:rsidRPr="00F84C36">
        <w:rPr>
          <w:rFonts w:ascii="Book Antiqua" w:hAnsi="Book Antiqua"/>
        </w:rPr>
        <w:t xml:space="preserve">de convicciones o reincidencias bajo el Artículo 7.06, </w:t>
      </w:r>
      <w:r w:rsidR="00F35191" w:rsidRPr="00F84C36">
        <w:rPr>
          <w:rFonts w:ascii="Book Antiqua" w:hAnsi="Book Antiqua"/>
          <w:b/>
          <w:bCs/>
        </w:rPr>
        <w:t>no habrá el beneficio de sentencia suspendida</w:t>
      </w:r>
      <w:r w:rsidR="00151EAB" w:rsidRPr="00F84C36">
        <w:rPr>
          <w:rFonts w:ascii="Book Antiqua" w:hAnsi="Book Antiqua"/>
          <w:b/>
          <w:bCs/>
        </w:rPr>
        <w:t xml:space="preserve"> y</w:t>
      </w:r>
      <w:r w:rsidR="00F35191" w:rsidRPr="00F84C36">
        <w:rPr>
          <w:rFonts w:ascii="Book Antiqua" w:hAnsi="Book Antiqua"/>
          <w:b/>
          <w:bCs/>
        </w:rPr>
        <w:t xml:space="preserve"> </w:t>
      </w:r>
      <w:r w:rsidR="00151EAB" w:rsidRPr="00F84C36">
        <w:rPr>
          <w:rFonts w:ascii="Book Antiqua" w:hAnsi="Book Antiqua"/>
          <w:b/>
          <w:bCs/>
        </w:rPr>
        <w:t>el tribunal no podrá suspender los efectos de la sentencia de reclusión</w:t>
      </w:r>
      <w:r w:rsidR="00151EAB" w:rsidRPr="00F84C36">
        <w:rPr>
          <w:rFonts w:ascii="Book Antiqua" w:hAnsi="Book Antiqua"/>
        </w:rPr>
        <w:t xml:space="preserve"> (Artículo 7.08).</w:t>
      </w:r>
    </w:p>
    <w:p w14:paraId="1D213C53" w14:textId="77777777" w:rsidR="00D53E2B" w:rsidRPr="00F84C36" w:rsidRDefault="00D53E2B" w:rsidP="000F7BDE">
      <w:pPr>
        <w:spacing w:after="0" w:line="298" w:lineRule="auto"/>
        <w:ind w:firstLine="706"/>
        <w:jc w:val="both"/>
        <w:rPr>
          <w:rFonts w:ascii="Book Antiqua" w:hAnsi="Book Antiqua"/>
        </w:rPr>
      </w:pPr>
    </w:p>
    <w:p w14:paraId="24CDFAA7" w14:textId="167A2E01" w:rsidR="00151EAB" w:rsidRDefault="00151EAB" w:rsidP="000F7BDE">
      <w:pPr>
        <w:spacing w:after="0" w:line="298" w:lineRule="auto"/>
        <w:ind w:firstLine="706"/>
        <w:jc w:val="both"/>
        <w:rPr>
          <w:rFonts w:ascii="Book Antiqua" w:hAnsi="Book Antiqua"/>
        </w:rPr>
      </w:pPr>
      <w:r w:rsidRPr="00F84C36">
        <w:rPr>
          <w:rFonts w:ascii="Book Antiqua" w:hAnsi="Book Antiqua"/>
        </w:rPr>
        <w:t xml:space="preserve">A base de lo expuesto, es evidente que lo propuesto en </w:t>
      </w:r>
      <w:r w:rsidR="00171D05" w:rsidRPr="00F84C36">
        <w:rPr>
          <w:rFonts w:ascii="Book Antiqua" w:hAnsi="Book Antiqua"/>
        </w:rPr>
        <w:t>estas enmiendas</w:t>
      </w:r>
      <w:r w:rsidRPr="00F84C36">
        <w:rPr>
          <w:rFonts w:ascii="Book Antiqua" w:hAnsi="Book Antiqua"/>
        </w:rPr>
        <w:t xml:space="preserve"> es replicar </w:t>
      </w:r>
      <w:r w:rsidR="00D53E2B">
        <w:rPr>
          <w:rFonts w:ascii="Book Antiqua" w:hAnsi="Book Antiqua"/>
        </w:rPr>
        <w:t xml:space="preserve">y uniformar </w:t>
      </w:r>
      <w:r w:rsidRPr="00F84C36">
        <w:rPr>
          <w:rFonts w:ascii="Book Antiqua" w:hAnsi="Book Antiqua"/>
        </w:rPr>
        <w:t xml:space="preserve">esas disposiciones de la Ley 22, </w:t>
      </w:r>
      <w:r w:rsidRPr="00F84C36">
        <w:rPr>
          <w:rFonts w:ascii="Book Antiqua" w:hAnsi="Book Antiqua"/>
          <w:i/>
          <w:iCs/>
        </w:rPr>
        <w:t>supra</w:t>
      </w:r>
      <w:r w:rsidRPr="00F84C36">
        <w:rPr>
          <w:rFonts w:ascii="Book Antiqua" w:hAnsi="Book Antiqua"/>
        </w:rPr>
        <w:t>, en la Ley de Sentencia Suspendida y Libertad a Prueba, antes citada</w:t>
      </w:r>
      <w:r w:rsidR="00D3587B" w:rsidRPr="00F84C36">
        <w:rPr>
          <w:rFonts w:ascii="Book Antiqua" w:hAnsi="Book Antiqua"/>
        </w:rPr>
        <w:t xml:space="preserve">, y con ello, enviar un mensaje contundente de que, en estos casos, no habrá el beneficio de sentencia suspendida y el tribunal no podrá suspender los efectos de la sentencia de reclusión. </w:t>
      </w:r>
    </w:p>
    <w:p w14:paraId="301C14C5" w14:textId="77777777" w:rsidR="004B3E3A" w:rsidRDefault="004B3E3A" w:rsidP="000F7BDE">
      <w:pPr>
        <w:spacing w:after="0" w:line="298" w:lineRule="auto"/>
        <w:ind w:firstLine="706"/>
        <w:jc w:val="both"/>
        <w:rPr>
          <w:rFonts w:ascii="Book Antiqua" w:hAnsi="Book Antiqua"/>
        </w:rPr>
      </w:pPr>
    </w:p>
    <w:p w14:paraId="2C7F6B97" w14:textId="4A027D6A" w:rsidR="004B3E3A" w:rsidRDefault="004B3E3A" w:rsidP="000F7BDE">
      <w:pPr>
        <w:spacing w:after="0" w:line="298" w:lineRule="auto"/>
        <w:ind w:firstLine="706"/>
        <w:jc w:val="both"/>
        <w:rPr>
          <w:rFonts w:ascii="Book Antiqua" w:hAnsi="Book Antiqua"/>
        </w:rPr>
      </w:pPr>
      <w:r w:rsidRPr="00343A94">
        <w:rPr>
          <w:rFonts w:ascii="Book Antiqua" w:hAnsi="Book Antiqua"/>
        </w:rPr>
        <w:t>Por otro lado, esta Comisión entendió que no debe crearse el Artículo 5 propuesto en la medida, toda vez que el Código Penal establece en su Artículo 48 las penas aplicables a las personas naturales, y define claramente en su Artículo 49 que las penas de reclusión consisten en la privación de libertad en una institución penal durante el tiempo que se establece en la sentencia. Dicho estatuto es uno claro y no se encuentra sujeto a otras interpretaciones.</w:t>
      </w:r>
      <w:r>
        <w:rPr>
          <w:rFonts w:ascii="Book Antiqua" w:hAnsi="Book Antiqua"/>
        </w:rPr>
        <w:t xml:space="preserve"> </w:t>
      </w:r>
    </w:p>
    <w:p w14:paraId="2E1B7A82" w14:textId="77777777" w:rsidR="00D53E2B" w:rsidRPr="00F84C36" w:rsidRDefault="00D53E2B" w:rsidP="000F7BDE">
      <w:pPr>
        <w:spacing w:after="0" w:line="298" w:lineRule="auto"/>
        <w:ind w:firstLine="706"/>
        <w:jc w:val="both"/>
        <w:rPr>
          <w:rFonts w:ascii="Book Antiqua" w:hAnsi="Book Antiqua"/>
        </w:rPr>
      </w:pPr>
    </w:p>
    <w:p w14:paraId="30CB43E9" w14:textId="3CDFE7A1" w:rsidR="00D93279" w:rsidRDefault="00D93279" w:rsidP="00D93279">
      <w:pPr>
        <w:spacing w:after="0" w:line="298" w:lineRule="auto"/>
        <w:ind w:firstLine="706"/>
        <w:jc w:val="both"/>
        <w:rPr>
          <w:rFonts w:ascii="Book Antiqua" w:hAnsi="Book Antiqua"/>
        </w:rPr>
      </w:pPr>
      <w:r w:rsidRPr="00F84C36">
        <w:rPr>
          <w:rFonts w:ascii="Book Antiqua" w:hAnsi="Book Antiqua"/>
        </w:rPr>
        <w:t xml:space="preserve">Puerto Rico quedó perplejo cuando conoció la noticia de que la persona que le quitó la vida a Justin Rafael </w:t>
      </w:r>
      <w:r w:rsidR="00176FB0" w:rsidRPr="00F84C36">
        <w:rPr>
          <w:rFonts w:ascii="Book Antiqua" w:hAnsi="Book Antiqua"/>
        </w:rPr>
        <w:t>Santos</w:t>
      </w:r>
      <w:r w:rsidRPr="00F84C36">
        <w:rPr>
          <w:rFonts w:ascii="Book Antiqua" w:hAnsi="Book Antiqua"/>
        </w:rPr>
        <w:t xml:space="preserve"> fue declarada culpable, sin embargo y hasta el momento, no cumplirá ni un solo día en prisión. Esta situación causó un repudio de tal magnitud, que precisamente provocó las enmiendas necesarias que son el estado de derecho actual en referencia a la Ley 22-2000. Pero en el trámite que se realizó sobre dichas enmiendas, es decir la “Ley Natalia Nicole Ayala Rivera” (</w:t>
      </w:r>
      <w:r w:rsidR="00E942B8" w:rsidRPr="00F84C36">
        <w:rPr>
          <w:rFonts w:ascii="Book Antiqua" w:hAnsi="Book Antiqua"/>
        </w:rPr>
        <w:t xml:space="preserve">la citada </w:t>
      </w:r>
      <w:r w:rsidRPr="00F84C36">
        <w:rPr>
          <w:rFonts w:ascii="Book Antiqua" w:hAnsi="Book Antiqua"/>
        </w:rPr>
        <w:t>Ley 154-2024), quedó pendiente las enmiendas que procuramos en esta nueva legislación para continuar produciendo justicia para las víctimas de este tipo de delito en Puerto Rico. Sí, porque conducir un vehículo bajo los efectos de sustancias que merman los sentidos y provocan que los conductores no estén en condiciones óptimas es conducta criminal. Consumir alcohol ciertamente es legal en determinadas circunstancias</w:t>
      </w:r>
      <w:r w:rsidR="00715AEE" w:rsidRPr="00F84C36">
        <w:rPr>
          <w:rFonts w:ascii="Book Antiqua" w:hAnsi="Book Antiqua"/>
        </w:rPr>
        <w:t xml:space="preserve">. Pero tratándose de un consumo voluntario, el cual muchas veces resulta en un consumo desmedido, reduce la habilidad de una persona promedio para conducirse adecuadamente en las vías públicas de Puerto Rico. Por lo tanto, queremos que quede claro que si una persona es responsable ante el Tribunal General de Justicia por provocar la muerte o grave daño personal a otra -de conformidad con las disposiciones de la citada Ley 22-2000, su pena será de reclusión, sin privilegios ni contemplaciones. Si queremos mantener nuestras vías públicas libres de </w:t>
      </w:r>
      <w:r w:rsidR="00715AEE" w:rsidRPr="00F84C36">
        <w:rPr>
          <w:rFonts w:ascii="Book Antiqua" w:hAnsi="Book Antiqua"/>
        </w:rPr>
        <w:lastRenderedPageBreak/>
        <w:t xml:space="preserve">este riesgo, tenemos que recordarnos a todos los ciudadanos aquel viejo dicho que se tiene que continuar repitiendo hasta que se convierta en una realidad: “Si bebes, pasa la llave”. </w:t>
      </w:r>
    </w:p>
    <w:p w14:paraId="3C2CC377" w14:textId="77777777" w:rsidR="004B3E3A" w:rsidRDefault="004B3E3A" w:rsidP="00D93279">
      <w:pPr>
        <w:spacing w:after="0" w:line="298" w:lineRule="auto"/>
        <w:ind w:firstLine="706"/>
        <w:jc w:val="both"/>
        <w:rPr>
          <w:rFonts w:ascii="Book Antiqua" w:hAnsi="Book Antiqua"/>
        </w:rPr>
      </w:pPr>
    </w:p>
    <w:p w14:paraId="48AA9079" w14:textId="77777777" w:rsidR="004B3E3A" w:rsidRDefault="004B3E3A" w:rsidP="00D93279">
      <w:pPr>
        <w:spacing w:after="0" w:line="298" w:lineRule="auto"/>
        <w:ind w:firstLine="706"/>
        <w:jc w:val="both"/>
        <w:rPr>
          <w:rFonts w:ascii="Book Antiqua" w:hAnsi="Book Antiqua"/>
        </w:rPr>
      </w:pPr>
    </w:p>
    <w:p w14:paraId="79A19A80" w14:textId="77777777" w:rsidR="004B3E3A" w:rsidRPr="00F84C36" w:rsidRDefault="004B3E3A" w:rsidP="00D93279">
      <w:pPr>
        <w:spacing w:after="0" w:line="298" w:lineRule="auto"/>
        <w:ind w:firstLine="706"/>
        <w:jc w:val="both"/>
        <w:rPr>
          <w:rFonts w:ascii="Book Antiqua" w:hAnsi="Book Antiqua"/>
        </w:rPr>
      </w:pPr>
    </w:p>
    <w:p w14:paraId="394B5952" w14:textId="77777777" w:rsidR="00A31858" w:rsidRPr="00F84C36" w:rsidRDefault="00A31858" w:rsidP="000B4646">
      <w:pPr>
        <w:spacing w:after="0" w:line="360" w:lineRule="auto"/>
        <w:jc w:val="center"/>
        <w:rPr>
          <w:rFonts w:ascii="Book Antiqua" w:eastAsia="Book Antiqua" w:hAnsi="Book Antiqua" w:cs="Book Antiqua"/>
          <w:b/>
          <w:spacing w:val="12"/>
          <w:kern w:val="0"/>
          <w14:ligatures w14:val="none"/>
        </w:rPr>
      </w:pPr>
    </w:p>
    <w:p w14:paraId="6AEFF224" w14:textId="79908BAD" w:rsidR="00BC44F1" w:rsidRDefault="00CB4BCC" w:rsidP="000B4646">
      <w:pPr>
        <w:spacing w:after="0" w:line="360" w:lineRule="auto"/>
        <w:jc w:val="center"/>
        <w:rPr>
          <w:rFonts w:ascii="Book Antiqua" w:eastAsia="Book Antiqua" w:hAnsi="Book Antiqua" w:cs="Book Antiqua"/>
          <w:b/>
          <w:spacing w:val="12"/>
          <w:kern w:val="0"/>
          <w14:ligatures w14:val="none"/>
        </w:rPr>
      </w:pPr>
      <w:r w:rsidRPr="00F84C36">
        <w:rPr>
          <w:rFonts w:ascii="Book Antiqua" w:eastAsia="Book Antiqua" w:hAnsi="Book Antiqua" w:cs="Book Antiqua"/>
          <w:b/>
          <w:spacing w:val="12"/>
          <w:kern w:val="0"/>
          <w14:ligatures w14:val="none"/>
        </w:rPr>
        <w:t>CONCLUSIÓN</w:t>
      </w:r>
    </w:p>
    <w:p w14:paraId="71E723A2" w14:textId="77777777" w:rsidR="004B3E3A" w:rsidRPr="00F84C36" w:rsidRDefault="004B3E3A" w:rsidP="000B4646">
      <w:pPr>
        <w:spacing w:after="0" w:line="360" w:lineRule="auto"/>
        <w:jc w:val="center"/>
        <w:rPr>
          <w:rFonts w:ascii="Book Antiqua" w:eastAsia="Book Antiqua" w:hAnsi="Book Antiqua" w:cs="Book Antiqua"/>
          <w:b/>
          <w:spacing w:val="12"/>
          <w:kern w:val="0"/>
          <w14:ligatures w14:val="none"/>
        </w:rPr>
      </w:pPr>
    </w:p>
    <w:p w14:paraId="21488ADE" w14:textId="2473F9F1" w:rsidR="000743E5" w:rsidRPr="00F84C36" w:rsidRDefault="000743E5" w:rsidP="00BA0FB9">
      <w:pPr>
        <w:pStyle w:val="NormalWeb"/>
        <w:spacing w:before="0" w:beforeAutospacing="0" w:after="0" w:afterAutospacing="0" w:line="360" w:lineRule="auto"/>
        <w:ind w:firstLine="708"/>
        <w:jc w:val="both"/>
        <w:rPr>
          <w:rFonts w:ascii="Book Antiqua" w:hAnsi="Book Antiqua"/>
        </w:rPr>
      </w:pPr>
      <w:r w:rsidRPr="00F84C36">
        <w:rPr>
          <w:rFonts w:ascii="Book Antiqua" w:hAnsi="Book Antiqua"/>
        </w:rPr>
        <w:t xml:space="preserve">Por los fundamentos expuestos, la Comisión de lo Jurídico recomienda la aprobación del P. de la C. </w:t>
      </w:r>
      <w:r w:rsidR="007C0447" w:rsidRPr="00F84C36">
        <w:rPr>
          <w:rFonts w:ascii="Book Antiqua" w:hAnsi="Book Antiqua"/>
        </w:rPr>
        <w:t>321</w:t>
      </w:r>
      <w:r w:rsidRPr="00F84C36">
        <w:rPr>
          <w:rFonts w:ascii="Book Antiqua" w:hAnsi="Book Antiqua"/>
        </w:rPr>
        <w:t xml:space="preserve">, con las enmiendas </w:t>
      </w:r>
      <w:r w:rsidRPr="00F84C36">
        <w:rPr>
          <w:rFonts w:ascii="Book Antiqua" w:eastAsia="Calibri" w:hAnsi="Book Antiqua"/>
        </w:rPr>
        <w:t xml:space="preserve">incluidas en el entirillado electrónico que acompaña a este informe y que se hace formar parte </w:t>
      </w:r>
      <w:r w:rsidR="000B72A1" w:rsidRPr="00F84C36">
        <w:rPr>
          <w:rFonts w:ascii="Book Antiqua" w:eastAsia="Calibri" w:hAnsi="Book Antiqua"/>
        </w:rPr>
        <w:t>de este</w:t>
      </w:r>
      <w:r w:rsidRPr="00F84C36">
        <w:rPr>
          <w:rFonts w:ascii="Book Antiqua" w:eastAsia="Calibri" w:hAnsi="Book Antiqua"/>
        </w:rPr>
        <w:t>.</w:t>
      </w:r>
    </w:p>
    <w:p w14:paraId="44E63056" w14:textId="77777777" w:rsidR="000B72A1" w:rsidRDefault="000B72A1" w:rsidP="000B4646">
      <w:pPr>
        <w:spacing w:after="0" w:line="360" w:lineRule="auto"/>
        <w:jc w:val="both"/>
        <w:rPr>
          <w:rFonts w:ascii="Book Antiqua" w:eastAsia="Book Antiqua" w:hAnsi="Book Antiqua" w:cs="Book Antiqua"/>
          <w:kern w:val="0"/>
          <w14:ligatures w14:val="none"/>
        </w:rPr>
      </w:pPr>
    </w:p>
    <w:p w14:paraId="5144D337" w14:textId="104868B9" w:rsidR="00CB4BCC" w:rsidRPr="00F84C36" w:rsidRDefault="00CB4BCC" w:rsidP="000B4646">
      <w:pPr>
        <w:spacing w:after="0" w:line="360" w:lineRule="auto"/>
        <w:jc w:val="both"/>
        <w:rPr>
          <w:rFonts w:ascii="Book Antiqua" w:eastAsia="Book Antiqua" w:hAnsi="Book Antiqua" w:cs="Book Antiqua"/>
          <w:kern w:val="0"/>
          <w14:ligatures w14:val="none"/>
        </w:rPr>
      </w:pPr>
      <w:r w:rsidRPr="00F84C36">
        <w:rPr>
          <w:rFonts w:ascii="Book Antiqua" w:eastAsia="Book Antiqua" w:hAnsi="Book Antiqua" w:cs="Book Antiqua"/>
          <w:kern w:val="0"/>
          <w14:ligatures w14:val="none"/>
        </w:rPr>
        <w:t xml:space="preserve">Respetuosamente </w:t>
      </w:r>
      <w:r w:rsidR="006B02FF" w:rsidRPr="00F84C36">
        <w:rPr>
          <w:rFonts w:ascii="Book Antiqua" w:eastAsia="Book Antiqua" w:hAnsi="Book Antiqua" w:cs="Book Antiqua"/>
          <w:kern w:val="0"/>
          <w14:ligatures w14:val="none"/>
        </w:rPr>
        <w:t>presentad</w:t>
      </w:r>
      <w:r w:rsidRPr="00F84C36">
        <w:rPr>
          <w:rFonts w:ascii="Book Antiqua" w:eastAsia="Book Antiqua" w:hAnsi="Book Antiqua" w:cs="Book Antiqua"/>
          <w:kern w:val="0"/>
          <w14:ligatures w14:val="none"/>
        </w:rPr>
        <w:t>o,</w:t>
      </w:r>
    </w:p>
    <w:p w14:paraId="5867B946" w14:textId="77777777" w:rsidR="00CB4BCC" w:rsidRPr="00F84C36" w:rsidRDefault="00CB4BCC" w:rsidP="00CB4BCC">
      <w:pPr>
        <w:spacing w:after="0" w:line="360" w:lineRule="auto"/>
        <w:jc w:val="both"/>
        <w:rPr>
          <w:rFonts w:ascii="Book Antiqua" w:eastAsia="Book Antiqua" w:hAnsi="Book Antiqua" w:cs="Book Antiqua"/>
          <w:b/>
          <w:bCs/>
          <w:i/>
          <w:iCs/>
          <w:kern w:val="0"/>
          <w14:ligatures w14:val="none"/>
        </w:rPr>
      </w:pPr>
    </w:p>
    <w:p w14:paraId="725277FD" w14:textId="77777777" w:rsidR="00F46CE1" w:rsidRPr="00F84C36" w:rsidRDefault="00F46CE1" w:rsidP="00CB4BCC">
      <w:pPr>
        <w:spacing w:after="0" w:line="360" w:lineRule="auto"/>
        <w:jc w:val="both"/>
        <w:rPr>
          <w:rFonts w:ascii="Book Antiqua" w:eastAsia="Book Antiqua" w:hAnsi="Book Antiqua" w:cs="Book Antiqua"/>
          <w:b/>
          <w:bCs/>
          <w:i/>
          <w:iCs/>
          <w:kern w:val="0"/>
          <w14:ligatures w14:val="none"/>
        </w:rPr>
      </w:pPr>
    </w:p>
    <w:p w14:paraId="1E3B9989" w14:textId="4D34957A" w:rsidR="00CB4BCC" w:rsidRPr="00F84C36" w:rsidRDefault="00320217" w:rsidP="00CB4BCC">
      <w:pPr>
        <w:spacing w:after="0" w:line="240" w:lineRule="auto"/>
        <w:jc w:val="both"/>
        <w:rPr>
          <w:rFonts w:ascii="Book Antiqua" w:eastAsia="Book Antiqua" w:hAnsi="Book Antiqua" w:cs="Book Antiqua"/>
          <w:smallCaps/>
          <w:kern w:val="0"/>
          <w14:ligatures w14:val="none"/>
        </w:rPr>
      </w:pPr>
      <w:r w:rsidRPr="00F84C36">
        <w:rPr>
          <w:rFonts w:ascii="Book Antiqua" w:eastAsia="Book Antiqua" w:hAnsi="Book Antiqua" w:cs="Book Antiqua"/>
          <w:smallCaps/>
          <w:kern w:val="0"/>
          <w14:ligatures w14:val="none"/>
        </w:rPr>
        <w:t>José J. Pérez Cordero</w:t>
      </w:r>
    </w:p>
    <w:p w14:paraId="6F7DCDD8" w14:textId="77777777" w:rsidR="00CB4BCC" w:rsidRPr="00F84C36" w:rsidRDefault="00CB4BCC" w:rsidP="00CB4BCC">
      <w:pPr>
        <w:spacing w:after="0" w:line="240" w:lineRule="auto"/>
        <w:jc w:val="both"/>
        <w:rPr>
          <w:rFonts w:ascii="Book Antiqua" w:eastAsia="Book Antiqua" w:hAnsi="Book Antiqua" w:cs="Book Antiqua"/>
          <w:kern w:val="0"/>
          <w14:ligatures w14:val="none"/>
        </w:rPr>
      </w:pPr>
      <w:r w:rsidRPr="00F84C36">
        <w:rPr>
          <w:rFonts w:ascii="Book Antiqua" w:eastAsia="Book Antiqua" w:hAnsi="Book Antiqua" w:cs="Book Antiqua"/>
          <w:kern w:val="0"/>
          <w14:ligatures w14:val="none"/>
        </w:rPr>
        <w:t>Presidente</w:t>
      </w:r>
    </w:p>
    <w:p w14:paraId="138F54FE" w14:textId="724F354D" w:rsidR="00CB4BCC" w:rsidRPr="00F84C36" w:rsidRDefault="00320217" w:rsidP="00CB4BCC">
      <w:pPr>
        <w:spacing w:after="0" w:line="240" w:lineRule="auto"/>
        <w:rPr>
          <w:rFonts w:ascii="Book Antiqua" w:eastAsia="Times New Roman" w:hAnsi="Book Antiqua" w:cs="Times New Roman"/>
          <w:kern w:val="0"/>
          <w:szCs w:val="20"/>
          <w14:ligatures w14:val="none"/>
        </w:rPr>
      </w:pPr>
      <w:r w:rsidRPr="00F84C36">
        <w:rPr>
          <w:rFonts w:ascii="Book Antiqua" w:eastAsia="Book Antiqua" w:hAnsi="Book Antiqua" w:cs="Book Antiqua"/>
          <w:kern w:val="0"/>
          <w14:ligatures w14:val="none"/>
        </w:rPr>
        <w:t>Comisión de lo Jurídico</w:t>
      </w:r>
    </w:p>
    <w:p w14:paraId="7CBC3E14" w14:textId="77777777" w:rsidR="00CB4BCC" w:rsidRPr="00F84C36" w:rsidRDefault="00CB4BCC" w:rsidP="00CB4BCC">
      <w:pPr>
        <w:rPr>
          <w:rFonts w:ascii="Book Antiqua" w:hAnsi="Book Antiqua"/>
        </w:rPr>
      </w:pPr>
    </w:p>
    <w:p w14:paraId="36546E0C" w14:textId="77777777" w:rsidR="00AD63FF" w:rsidRPr="00F84C36" w:rsidRDefault="00AD63FF">
      <w:pPr>
        <w:rPr>
          <w:rFonts w:ascii="Book Antiqua" w:hAnsi="Book Antiqua"/>
        </w:rPr>
      </w:pPr>
    </w:p>
    <w:sectPr w:rsidR="00AD63FF" w:rsidRPr="00F84C36" w:rsidSect="00CB4BCC">
      <w:headerReference w:type="even" r:id="rId12"/>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F6B7D" w14:textId="77777777" w:rsidR="004E035F" w:rsidRDefault="004E035F">
      <w:pPr>
        <w:spacing w:after="0" w:line="240" w:lineRule="auto"/>
      </w:pPr>
      <w:r>
        <w:separator/>
      </w:r>
    </w:p>
  </w:endnote>
  <w:endnote w:type="continuationSeparator" w:id="0">
    <w:p w14:paraId="09F94AB8" w14:textId="77777777" w:rsidR="004E035F" w:rsidRDefault="004E0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02DEE" w14:textId="77777777" w:rsidR="004E035F" w:rsidRDefault="004E035F">
      <w:pPr>
        <w:spacing w:after="0" w:line="240" w:lineRule="auto"/>
      </w:pPr>
      <w:r>
        <w:separator/>
      </w:r>
    </w:p>
  </w:footnote>
  <w:footnote w:type="continuationSeparator" w:id="0">
    <w:p w14:paraId="212AD43D" w14:textId="77777777" w:rsidR="004E035F" w:rsidRDefault="004E035F">
      <w:pPr>
        <w:spacing w:after="0" w:line="240" w:lineRule="auto"/>
      </w:pPr>
      <w:r>
        <w:continuationSeparator/>
      </w:r>
    </w:p>
  </w:footnote>
  <w:footnote w:id="1">
    <w:p w14:paraId="6E3D2903" w14:textId="15B74175" w:rsidR="00A006A6" w:rsidRPr="002236D8" w:rsidRDefault="00A006A6" w:rsidP="002236D8">
      <w:pPr>
        <w:pStyle w:val="FootnoteText"/>
        <w:jc w:val="both"/>
        <w:rPr>
          <w:rFonts w:ascii="Times New Roman" w:hAnsi="Times New Roman" w:cs="Times New Roman"/>
        </w:rPr>
      </w:pPr>
      <w:r w:rsidRPr="002236D8">
        <w:rPr>
          <w:rStyle w:val="FootnoteReference"/>
          <w:rFonts w:ascii="Times New Roman" w:hAnsi="Times New Roman" w:cs="Times New Roman"/>
        </w:rPr>
        <w:footnoteRef/>
      </w:r>
      <w:r w:rsidRPr="002236D8">
        <w:rPr>
          <w:rFonts w:ascii="Times New Roman" w:hAnsi="Times New Roman" w:cs="Times New Roman"/>
        </w:rPr>
        <w:t xml:space="preserve"> Este es el título según el entirillado electrónico que proponemos. </w:t>
      </w:r>
    </w:p>
  </w:footnote>
  <w:footnote w:id="2">
    <w:p w14:paraId="2743491E" w14:textId="2C7F82E1" w:rsidR="000C18F3" w:rsidRPr="00A006A6" w:rsidRDefault="000C18F3" w:rsidP="00453139">
      <w:pPr>
        <w:pStyle w:val="FootnoteText"/>
        <w:jc w:val="both"/>
        <w:rPr>
          <w:rFonts w:ascii="Times New Roman" w:hAnsi="Times New Roman" w:cs="Times New Roman"/>
          <w:lang w:val="es-ES"/>
        </w:rPr>
      </w:pPr>
      <w:r w:rsidRPr="00A006A6">
        <w:rPr>
          <w:rStyle w:val="FootnoteReference"/>
          <w:rFonts w:ascii="Times New Roman" w:hAnsi="Times New Roman" w:cs="Times New Roman"/>
          <w:lang w:val="es-ES"/>
        </w:rPr>
        <w:footnoteRef/>
      </w:r>
      <w:r w:rsidRPr="00A006A6">
        <w:rPr>
          <w:rFonts w:ascii="Times New Roman" w:hAnsi="Times New Roman" w:cs="Times New Roman"/>
          <w:lang w:val="es-ES"/>
        </w:rPr>
        <w:t xml:space="preserve"> Exposición de Motivos, P. de la C. 321.</w:t>
      </w:r>
    </w:p>
  </w:footnote>
  <w:footnote w:id="3">
    <w:p w14:paraId="7417B844" w14:textId="618A7DB6" w:rsidR="00071AFA" w:rsidRPr="00A006A6" w:rsidRDefault="00071AFA" w:rsidP="00453139">
      <w:pPr>
        <w:pStyle w:val="FootnoteText"/>
        <w:jc w:val="both"/>
        <w:rPr>
          <w:rFonts w:ascii="Times New Roman" w:hAnsi="Times New Roman" w:cs="Times New Roman"/>
        </w:rPr>
      </w:pPr>
      <w:r w:rsidRPr="00A006A6">
        <w:rPr>
          <w:rStyle w:val="FootnoteReference"/>
          <w:rFonts w:ascii="Times New Roman" w:hAnsi="Times New Roman" w:cs="Times New Roman"/>
        </w:rPr>
        <w:footnoteRef/>
      </w:r>
      <w:r w:rsidRPr="00A006A6">
        <w:rPr>
          <w:rFonts w:ascii="Times New Roman" w:hAnsi="Times New Roman" w:cs="Times New Roman"/>
        </w:rPr>
        <w:t xml:space="preserve"> Diario Metro, “Culpable Mayra Enid Nevárez por la muerte de Justin Santos”, 12 de septiembre de 2024; disponible en </w:t>
      </w:r>
      <w:hyperlink r:id="rId1" w:history="1">
        <w:r w:rsidRPr="00A006A6">
          <w:rPr>
            <w:rStyle w:val="Hyperlink"/>
            <w:rFonts w:ascii="Times New Roman" w:hAnsi="Times New Roman" w:cs="Times New Roman"/>
          </w:rPr>
          <w:t>https://www.metro.pr/noticias/2024/09/12/culpable-mayra-enid-nevarez-por-la-muerte-de-justin-santos/</w:t>
        </w:r>
      </w:hyperlink>
      <w:r w:rsidRPr="00A006A6">
        <w:rPr>
          <w:rFonts w:ascii="Times New Roman" w:hAnsi="Times New Roman" w:cs="Times New Roman"/>
        </w:rPr>
        <w:t xml:space="preserve"> </w:t>
      </w:r>
    </w:p>
  </w:footnote>
  <w:footnote w:id="4">
    <w:p w14:paraId="413EBAAF" w14:textId="6E6170A4" w:rsidR="00AD73D0" w:rsidRPr="002236D8" w:rsidRDefault="00AD73D0" w:rsidP="002236D8">
      <w:pPr>
        <w:pStyle w:val="FootnoteText"/>
        <w:jc w:val="both"/>
        <w:rPr>
          <w:rFonts w:ascii="Times New Roman" w:hAnsi="Times New Roman" w:cs="Times New Roman"/>
        </w:rPr>
      </w:pPr>
      <w:r w:rsidRPr="002236D8">
        <w:rPr>
          <w:rStyle w:val="FootnoteReference"/>
          <w:rFonts w:ascii="Times New Roman" w:hAnsi="Times New Roman" w:cs="Times New Roman"/>
        </w:rPr>
        <w:footnoteRef/>
      </w:r>
      <w:r w:rsidRPr="002236D8">
        <w:rPr>
          <w:rFonts w:ascii="Times New Roman" w:hAnsi="Times New Roman" w:cs="Times New Roman"/>
        </w:rPr>
        <w:t xml:space="preserve"> Véase “Policía de Puerto Rico aclara detalles sobre accidente fatal y proceso de investigación”, diario digital Entérate Sin Filtro, 25 de noviembre de 2024.</w:t>
      </w:r>
    </w:p>
  </w:footnote>
  <w:footnote w:id="5">
    <w:p w14:paraId="0C866DFC" w14:textId="68F9238F" w:rsidR="00E017BB" w:rsidRPr="00A006A6" w:rsidRDefault="00E017BB" w:rsidP="00453139">
      <w:pPr>
        <w:pStyle w:val="FootnoteText"/>
        <w:jc w:val="both"/>
        <w:rPr>
          <w:rFonts w:ascii="Times New Roman" w:hAnsi="Times New Roman" w:cs="Times New Roman"/>
        </w:rPr>
      </w:pPr>
      <w:r w:rsidRPr="00A006A6">
        <w:rPr>
          <w:rStyle w:val="FootnoteReference"/>
          <w:rFonts w:ascii="Times New Roman" w:hAnsi="Times New Roman" w:cs="Times New Roman"/>
        </w:rPr>
        <w:footnoteRef/>
      </w:r>
      <w:r w:rsidRPr="00A006A6">
        <w:rPr>
          <w:rFonts w:ascii="Times New Roman" w:hAnsi="Times New Roman" w:cs="Times New Roman"/>
        </w:rPr>
        <w:t xml:space="preserve"> Según detallaremos más adelante, vuestra Comisión de lo Jurídico celebró una vista pública el pasado 20 de marzo, para recibir comentarios e insumo de agencias públicas, entidades privadas y ciudadanos particulares que se encuentran consternados por estas muertes que son totalmente prevenibles. </w:t>
      </w:r>
    </w:p>
  </w:footnote>
  <w:footnote w:id="6">
    <w:p w14:paraId="2A6CCE48" w14:textId="4E9A085B" w:rsidR="005B1E02" w:rsidRPr="00A006A6" w:rsidRDefault="005B1E02" w:rsidP="00453139">
      <w:pPr>
        <w:pStyle w:val="FootnoteText"/>
        <w:jc w:val="both"/>
        <w:rPr>
          <w:rFonts w:ascii="Times New Roman" w:hAnsi="Times New Roman" w:cs="Times New Roman"/>
          <w:lang w:val="es-ES"/>
        </w:rPr>
      </w:pPr>
      <w:r w:rsidRPr="00A006A6">
        <w:rPr>
          <w:rStyle w:val="FootnoteReference"/>
          <w:rFonts w:ascii="Times New Roman" w:hAnsi="Times New Roman" w:cs="Times New Roman"/>
          <w:lang w:val="es-ES"/>
        </w:rPr>
        <w:footnoteRef/>
      </w:r>
      <w:r w:rsidRPr="00A006A6">
        <w:rPr>
          <w:rFonts w:ascii="Times New Roman" w:hAnsi="Times New Roman" w:cs="Times New Roman"/>
          <w:lang w:val="es-ES"/>
        </w:rPr>
        <w:t xml:space="preserve"> Comentarios del Departamento de Justicia, Proyecto de la Cámara 321</w:t>
      </w:r>
      <w:r w:rsidR="00C537C7" w:rsidRPr="00A006A6">
        <w:rPr>
          <w:rFonts w:ascii="Times New Roman" w:hAnsi="Times New Roman" w:cs="Times New Roman"/>
          <w:lang w:val="es-ES"/>
        </w:rPr>
        <w:t>, 14 de marzo de 2025, Pág. 5</w:t>
      </w:r>
      <w:r w:rsidRPr="00A006A6">
        <w:rPr>
          <w:rFonts w:ascii="Times New Roman" w:hAnsi="Times New Roman" w:cs="Times New Roman"/>
          <w:lang w:val="es-ES"/>
        </w:rPr>
        <w:t>.</w:t>
      </w:r>
    </w:p>
  </w:footnote>
  <w:footnote w:id="7">
    <w:p w14:paraId="3DC7B95D" w14:textId="64EA8ED4" w:rsidR="00432086" w:rsidRPr="00A006A6" w:rsidRDefault="00432086" w:rsidP="00453139">
      <w:pPr>
        <w:pStyle w:val="FootnoteText"/>
        <w:jc w:val="both"/>
        <w:rPr>
          <w:rFonts w:ascii="Times New Roman" w:hAnsi="Times New Roman" w:cs="Times New Roman"/>
          <w:lang w:val="es-ES"/>
        </w:rPr>
      </w:pPr>
      <w:r w:rsidRPr="00A006A6">
        <w:rPr>
          <w:rStyle w:val="FootnoteReference"/>
          <w:rFonts w:ascii="Times New Roman" w:hAnsi="Times New Roman" w:cs="Times New Roman"/>
          <w:lang w:val="es-ES"/>
        </w:rPr>
        <w:footnoteRef/>
      </w:r>
      <w:r w:rsidRPr="00A006A6">
        <w:rPr>
          <w:rFonts w:ascii="Times New Roman" w:hAnsi="Times New Roman" w:cs="Times New Roman"/>
          <w:lang w:val="es-ES"/>
        </w:rPr>
        <w:t xml:space="preserve"> </w:t>
      </w:r>
      <w:r w:rsidRPr="00A006A6">
        <w:rPr>
          <w:rFonts w:ascii="Times New Roman" w:hAnsi="Times New Roman" w:cs="Times New Roman"/>
          <w:i/>
          <w:iCs/>
          <w:lang w:val="es-ES"/>
        </w:rPr>
        <w:t>Id.</w:t>
      </w:r>
    </w:p>
  </w:footnote>
  <w:footnote w:id="8">
    <w:p w14:paraId="648B1CED" w14:textId="4DA627BD" w:rsidR="00B166D9" w:rsidRPr="00A006A6" w:rsidRDefault="00B166D9" w:rsidP="00453139">
      <w:pPr>
        <w:pStyle w:val="FootnoteText"/>
        <w:jc w:val="both"/>
        <w:rPr>
          <w:rFonts w:ascii="Times New Roman" w:hAnsi="Times New Roman" w:cs="Times New Roman"/>
          <w:lang w:val="es-ES"/>
        </w:rPr>
      </w:pPr>
      <w:r w:rsidRPr="00A006A6">
        <w:rPr>
          <w:rStyle w:val="FootnoteReference"/>
          <w:rFonts w:ascii="Times New Roman" w:hAnsi="Times New Roman" w:cs="Times New Roman"/>
          <w:lang w:val="es-ES"/>
        </w:rPr>
        <w:footnoteRef/>
      </w:r>
      <w:r w:rsidRPr="00A006A6">
        <w:rPr>
          <w:rFonts w:ascii="Times New Roman" w:hAnsi="Times New Roman" w:cs="Times New Roman"/>
          <w:lang w:val="es-ES"/>
        </w:rPr>
        <w:t xml:space="preserve"> Cinco años de reclusión, pena de multa no menor de $1,000.00 ni mayor de $5,000.00 y pena de restitución, cuando causó grave daño corporal o pena de reclusión por un término fijo de 15 años</w:t>
      </w:r>
      <w:r w:rsidR="00137636" w:rsidRPr="00A006A6">
        <w:rPr>
          <w:rFonts w:ascii="Times New Roman" w:hAnsi="Times New Roman" w:cs="Times New Roman"/>
          <w:lang w:val="es-ES"/>
        </w:rPr>
        <w:t xml:space="preserve"> cuando ocasionó la muerte.</w:t>
      </w:r>
    </w:p>
  </w:footnote>
  <w:footnote w:id="9">
    <w:p w14:paraId="0A5CED69" w14:textId="68FBD721" w:rsidR="00DE4263" w:rsidRPr="00A006A6" w:rsidRDefault="00DE4263" w:rsidP="00453139">
      <w:pPr>
        <w:pStyle w:val="FootnoteText"/>
        <w:jc w:val="both"/>
        <w:rPr>
          <w:rFonts w:ascii="Times New Roman" w:hAnsi="Times New Roman" w:cs="Times New Roman"/>
        </w:rPr>
      </w:pPr>
      <w:r w:rsidRPr="00A006A6">
        <w:rPr>
          <w:rStyle w:val="FootnoteReference"/>
          <w:rFonts w:ascii="Times New Roman" w:hAnsi="Times New Roman" w:cs="Times New Roman"/>
        </w:rPr>
        <w:footnoteRef/>
      </w:r>
      <w:r w:rsidRPr="00A006A6">
        <w:rPr>
          <w:rFonts w:ascii="Times New Roman" w:hAnsi="Times New Roman" w:cs="Times New Roman"/>
        </w:rPr>
        <w:t xml:space="preserve"> Nos informan que esa determinación judicial se encuentra pendiente de ser decidida por el Tribunal de Apelaciones en el caso Pueblo v. Nevárez KLCE202500179.</w:t>
      </w:r>
    </w:p>
  </w:footnote>
  <w:footnote w:id="10">
    <w:p w14:paraId="59950E50" w14:textId="6C072F69" w:rsidR="00F06D9A" w:rsidRPr="002236D8" w:rsidRDefault="00F06D9A" w:rsidP="002236D8">
      <w:pPr>
        <w:pStyle w:val="FootnoteText"/>
        <w:jc w:val="both"/>
        <w:rPr>
          <w:rFonts w:ascii="Times New Roman" w:hAnsi="Times New Roman" w:cs="Times New Roman"/>
        </w:rPr>
      </w:pPr>
      <w:r w:rsidRPr="002236D8">
        <w:rPr>
          <w:rStyle w:val="FootnoteReference"/>
          <w:rFonts w:ascii="Times New Roman" w:hAnsi="Times New Roman" w:cs="Times New Roman"/>
        </w:rPr>
        <w:footnoteRef/>
      </w:r>
      <w:r w:rsidRPr="002236D8">
        <w:rPr>
          <w:rFonts w:ascii="Times New Roman" w:hAnsi="Times New Roman" w:cs="Times New Roman"/>
        </w:rPr>
        <w:t xml:space="preserve"> </w:t>
      </w:r>
      <w:r w:rsidRPr="00A006A6">
        <w:rPr>
          <w:rFonts w:ascii="Times New Roman" w:hAnsi="Times New Roman" w:cs="Times New Roman"/>
          <w:lang w:val="es-ES"/>
        </w:rPr>
        <w:t>Comentarios del Departamento de Justicia, Proyecto de la Cámara 321, 14 de marzo de 2025, Pág. 7.</w:t>
      </w:r>
    </w:p>
  </w:footnote>
  <w:footnote w:id="11">
    <w:p w14:paraId="5B44E855" w14:textId="4CB62352" w:rsidR="00453139" w:rsidRPr="00453139" w:rsidRDefault="00453139" w:rsidP="002236D8">
      <w:pPr>
        <w:pStyle w:val="FootnoteText"/>
        <w:jc w:val="both"/>
      </w:pPr>
      <w:r>
        <w:rPr>
          <w:rStyle w:val="FootnoteReference"/>
        </w:rPr>
        <w:footnoteRef/>
      </w:r>
      <w:r>
        <w:t xml:space="preserve"> </w:t>
      </w:r>
      <w:r w:rsidRPr="002236D8">
        <w:rPr>
          <w:rFonts w:ascii="Times New Roman" w:hAnsi="Times New Roman" w:cs="Times New Roman"/>
        </w:rPr>
        <w:t>El DSP también hace una recomendación favorable sobre la Sección 3 de</w:t>
      </w:r>
      <w:r>
        <w:rPr>
          <w:rFonts w:ascii="Times New Roman" w:hAnsi="Times New Roman" w:cs="Times New Roman"/>
        </w:rPr>
        <w:t xml:space="preserve"> este p</w:t>
      </w:r>
      <w:r w:rsidRPr="002236D8">
        <w:rPr>
          <w:rFonts w:ascii="Times New Roman" w:hAnsi="Times New Roman" w:cs="Times New Roman"/>
        </w:rPr>
        <w:t>royecto, para insertar un nuevo Art 5 a la</w:t>
      </w:r>
      <w:r w:rsidRPr="002236D8">
        <w:rPr>
          <w:rFonts w:ascii="Times New Roman" w:hAnsi="Times New Roman" w:cs="Times New Roman"/>
          <w:lang w:val="es-ES_tradnl"/>
        </w:rPr>
        <w:t xml:space="preserve"> Ley Núm. 259 de 3 de abril de 1946. Sin embargo, y a la misma vez, nos recuerda el principio constitucional de que los proyectos de ley deben versar sobre un solo asunto. Entendiendo que esta intención legislativa es muy loable, pero versa sobre un tema separado, recomendamos eliminar este lenguaje del P. de la C. 321 y que el mismo sea objeto de un proyecto de ley separado el cual presentaremos ante esta Cámara de Representantes posteriormente.</w:t>
      </w:r>
      <w:r>
        <w:rPr>
          <w:rFonts w:ascii="Book Antiqua" w:hAnsi="Book Antiqua"/>
          <w:lang w:val="es-ES_tradn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Default="00DC0D78" w:rsidP="00BA0F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rPr>
      <w:id w:val="681237441"/>
      <w:docPartObj>
        <w:docPartGallery w:val="Page Numbers (Top of Page)"/>
        <w:docPartUnique/>
      </w:docPartObj>
    </w:sdtPr>
    <w:sdtEndPr>
      <w:rPr>
        <w:rStyle w:val="PageNumber"/>
      </w:rPr>
    </w:sdtEndPr>
    <w:sdtContent>
      <w:p w14:paraId="1C5FEFF4" w14:textId="7958099E" w:rsidR="00BA0FB9" w:rsidRPr="00BA0FB9" w:rsidRDefault="00BA0FB9" w:rsidP="002547E9">
        <w:pPr>
          <w:pStyle w:val="Header"/>
          <w:framePr w:wrap="none" w:vAnchor="text" w:hAnchor="margin" w:xAlign="right" w:y="1"/>
          <w:rPr>
            <w:rStyle w:val="PageNumber"/>
            <w:rFonts w:ascii="Book Antiqua" w:hAnsi="Book Antiqua"/>
            <w:sz w:val="20"/>
          </w:rPr>
        </w:pPr>
        <w:r w:rsidRPr="00BA0FB9">
          <w:rPr>
            <w:rStyle w:val="PageNumber"/>
            <w:rFonts w:ascii="Book Antiqua" w:hAnsi="Book Antiqua"/>
            <w:sz w:val="20"/>
          </w:rPr>
          <w:fldChar w:fldCharType="begin"/>
        </w:r>
        <w:r w:rsidRPr="00BA0FB9">
          <w:rPr>
            <w:rStyle w:val="PageNumber"/>
            <w:rFonts w:ascii="Book Antiqua" w:hAnsi="Book Antiqua"/>
            <w:sz w:val="20"/>
          </w:rPr>
          <w:instrText xml:space="preserve"> PAGE </w:instrText>
        </w:r>
        <w:r w:rsidRPr="00BA0FB9">
          <w:rPr>
            <w:rStyle w:val="PageNumber"/>
            <w:rFonts w:ascii="Book Antiqua" w:hAnsi="Book Antiqua"/>
            <w:sz w:val="20"/>
          </w:rPr>
          <w:fldChar w:fldCharType="separate"/>
        </w:r>
        <w:r w:rsidRPr="00BA0FB9">
          <w:rPr>
            <w:rStyle w:val="PageNumber"/>
            <w:rFonts w:ascii="Book Antiqua" w:hAnsi="Book Antiqua"/>
            <w:noProof/>
            <w:sz w:val="20"/>
          </w:rPr>
          <w:t>5</w:t>
        </w:r>
        <w:r w:rsidRPr="00BA0FB9">
          <w:rPr>
            <w:rStyle w:val="PageNumber"/>
            <w:rFonts w:ascii="Book Antiqua" w:hAnsi="Book Antiqua"/>
            <w:sz w:val="20"/>
          </w:rPr>
          <w:fldChar w:fldCharType="end"/>
        </w:r>
      </w:p>
    </w:sdtContent>
  </w:sdt>
  <w:p w14:paraId="01DC0CA7" w14:textId="0C15CEA1" w:rsidR="00017DE0" w:rsidRPr="00BA0FB9" w:rsidRDefault="00BA0FB9" w:rsidP="00BA0FB9">
    <w:pPr>
      <w:pStyle w:val="Header"/>
      <w:ind w:right="360"/>
      <w:rPr>
        <w:rFonts w:ascii="Book Antiqua" w:hAnsi="Book Antiqua"/>
        <w:sz w:val="20"/>
      </w:rPr>
    </w:pPr>
    <w:r w:rsidRPr="00BA0FB9">
      <w:rPr>
        <w:rFonts w:ascii="Book Antiqua" w:hAnsi="Book Antiqua"/>
        <w:sz w:val="20"/>
      </w:rPr>
      <w:t>Comisión de lo Jurídico</w:t>
    </w:r>
  </w:p>
  <w:p w14:paraId="63732081" w14:textId="2A64CDFD" w:rsidR="00BA0FB9" w:rsidRPr="00BA0FB9" w:rsidRDefault="00FD7233" w:rsidP="00BA0FB9">
    <w:pPr>
      <w:pStyle w:val="Header"/>
      <w:ind w:right="360"/>
      <w:rPr>
        <w:rFonts w:ascii="Book Antiqua" w:hAnsi="Book Antiqua"/>
        <w:sz w:val="20"/>
      </w:rPr>
    </w:pPr>
    <w:r>
      <w:rPr>
        <w:rFonts w:ascii="Book Antiqua" w:hAnsi="Book Antiqua"/>
        <w:sz w:val="20"/>
      </w:rPr>
      <w:t xml:space="preserve">Segundo </w:t>
    </w:r>
    <w:r w:rsidR="00BA0FB9" w:rsidRPr="00BA0FB9">
      <w:rPr>
        <w:rFonts w:ascii="Book Antiqua" w:hAnsi="Book Antiqua"/>
        <w:sz w:val="20"/>
      </w:rPr>
      <w:t>Informe P. de la C.</w:t>
    </w:r>
    <w:r w:rsidR="00BA0FB9">
      <w:rPr>
        <w:rFonts w:ascii="Book Antiqua" w:hAnsi="Book Antiqua"/>
        <w:sz w:val="20"/>
      </w:rPr>
      <w:t xml:space="preserve"> </w:t>
    </w:r>
    <w:r w:rsidR="007C0447">
      <w:rPr>
        <w:rFonts w:ascii="Book Antiqua" w:hAnsi="Book Antiqua"/>
        <w:sz w:val="20"/>
      </w:rPr>
      <w:t>321</w:t>
    </w:r>
  </w:p>
  <w:p w14:paraId="4C9DFBF4" w14:textId="77777777" w:rsidR="00BA0FB9" w:rsidRPr="00BA0FB9" w:rsidRDefault="00BA0FB9" w:rsidP="00BA0FB9">
    <w:pPr>
      <w:pStyle w:val="Header"/>
      <w:ind w:right="360"/>
      <w:rPr>
        <w:rFonts w:ascii="Book Antiqua" w:hAnsi="Book Antiqua"/>
        <w:sz w:val="20"/>
      </w:rPr>
    </w:pPr>
  </w:p>
  <w:p w14:paraId="21538D54" w14:textId="77777777" w:rsidR="00BA0FB9" w:rsidRPr="00BA0FB9"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7EBB"/>
    <w:multiLevelType w:val="multilevel"/>
    <w:tmpl w:val="224E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9380116"/>
    <w:multiLevelType w:val="multilevel"/>
    <w:tmpl w:val="C1E8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547962422">
    <w:abstractNumId w:val="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1"/>
  </w:num>
  <w:num w:numId="3" w16cid:durableId="574238919">
    <w:abstractNumId w:val="4"/>
  </w:num>
  <w:num w:numId="4" w16cid:durableId="1949703315">
    <w:abstractNumId w:val="0"/>
  </w:num>
  <w:num w:numId="5" w16cid:durableId="6985503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35B6"/>
    <w:rsid w:val="0000415C"/>
    <w:rsid w:val="000120EA"/>
    <w:rsid w:val="000136F7"/>
    <w:rsid w:val="000140F6"/>
    <w:rsid w:val="000177B6"/>
    <w:rsid w:val="00017DE0"/>
    <w:rsid w:val="000277D6"/>
    <w:rsid w:val="00033266"/>
    <w:rsid w:val="000341E7"/>
    <w:rsid w:val="000368D3"/>
    <w:rsid w:val="000510A4"/>
    <w:rsid w:val="00053414"/>
    <w:rsid w:val="00057149"/>
    <w:rsid w:val="0005781F"/>
    <w:rsid w:val="00062B3D"/>
    <w:rsid w:val="0006757A"/>
    <w:rsid w:val="00067A08"/>
    <w:rsid w:val="00070932"/>
    <w:rsid w:val="0007153C"/>
    <w:rsid w:val="00071AFA"/>
    <w:rsid w:val="000743E5"/>
    <w:rsid w:val="00076BDB"/>
    <w:rsid w:val="00087EB1"/>
    <w:rsid w:val="00096272"/>
    <w:rsid w:val="000A48EB"/>
    <w:rsid w:val="000A5BDE"/>
    <w:rsid w:val="000A762F"/>
    <w:rsid w:val="000B15BE"/>
    <w:rsid w:val="000B30BC"/>
    <w:rsid w:val="000B4646"/>
    <w:rsid w:val="000B72A1"/>
    <w:rsid w:val="000C18F3"/>
    <w:rsid w:val="000C6CA5"/>
    <w:rsid w:val="000D434B"/>
    <w:rsid w:val="000D6272"/>
    <w:rsid w:val="000D6426"/>
    <w:rsid w:val="000D7951"/>
    <w:rsid w:val="000E3E7B"/>
    <w:rsid w:val="000F0B24"/>
    <w:rsid w:val="000F3725"/>
    <w:rsid w:val="000F48F4"/>
    <w:rsid w:val="000F7BDE"/>
    <w:rsid w:val="00101518"/>
    <w:rsid w:val="00103370"/>
    <w:rsid w:val="00110219"/>
    <w:rsid w:val="001124E2"/>
    <w:rsid w:val="001155A8"/>
    <w:rsid w:val="00127DAC"/>
    <w:rsid w:val="00131433"/>
    <w:rsid w:val="00134979"/>
    <w:rsid w:val="00136D7B"/>
    <w:rsid w:val="00137636"/>
    <w:rsid w:val="001407A8"/>
    <w:rsid w:val="0014669D"/>
    <w:rsid w:val="00151944"/>
    <w:rsid w:val="00151C0B"/>
    <w:rsid w:val="00151EAB"/>
    <w:rsid w:val="00155053"/>
    <w:rsid w:val="00162770"/>
    <w:rsid w:val="00163F28"/>
    <w:rsid w:val="00165172"/>
    <w:rsid w:val="00165BB2"/>
    <w:rsid w:val="00165F38"/>
    <w:rsid w:val="0016625F"/>
    <w:rsid w:val="00167D19"/>
    <w:rsid w:val="00171D05"/>
    <w:rsid w:val="00176FB0"/>
    <w:rsid w:val="00183348"/>
    <w:rsid w:val="00186A03"/>
    <w:rsid w:val="00187592"/>
    <w:rsid w:val="00191A62"/>
    <w:rsid w:val="001A0BCA"/>
    <w:rsid w:val="001A1EDF"/>
    <w:rsid w:val="001A1FF4"/>
    <w:rsid w:val="001A261F"/>
    <w:rsid w:val="001A2630"/>
    <w:rsid w:val="001B058C"/>
    <w:rsid w:val="001B2964"/>
    <w:rsid w:val="001C6691"/>
    <w:rsid w:val="001D2E44"/>
    <w:rsid w:val="001D7E64"/>
    <w:rsid w:val="001E040E"/>
    <w:rsid w:val="001F2813"/>
    <w:rsid w:val="001F2BD5"/>
    <w:rsid w:val="001F2E26"/>
    <w:rsid w:val="001F4835"/>
    <w:rsid w:val="001F65F6"/>
    <w:rsid w:val="001F682B"/>
    <w:rsid w:val="00200E2C"/>
    <w:rsid w:val="002016B5"/>
    <w:rsid w:val="00202382"/>
    <w:rsid w:val="00202B70"/>
    <w:rsid w:val="00203B38"/>
    <w:rsid w:val="002044FE"/>
    <w:rsid w:val="00204A9D"/>
    <w:rsid w:val="00211176"/>
    <w:rsid w:val="002136CB"/>
    <w:rsid w:val="002149FE"/>
    <w:rsid w:val="00217313"/>
    <w:rsid w:val="00217E90"/>
    <w:rsid w:val="002221F0"/>
    <w:rsid w:val="002236D8"/>
    <w:rsid w:val="00230542"/>
    <w:rsid w:val="002310D2"/>
    <w:rsid w:val="002323A7"/>
    <w:rsid w:val="0024129A"/>
    <w:rsid w:val="00242BF0"/>
    <w:rsid w:val="00250F0F"/>
    <w:rsid w:val="00252E35"/>
    <w:rsid w:val="002541BE"/>
    <w:rsid w:val="00265D81"/>
    <w:rsid w:val="00272B73"/>
    <w:rsid w:val="00275C5D"/>
    <w:rsid w:val="00275F07"/>
    <w:rsid w:val="00277355"/>
    <w:rsid w:val="00280F1B"/>
    <w:rsid w:val="00282A9F"/>
    <w:rsid w:val="00296EC8"/>
    <w:rsid w:val="002A439F"/>
    <w:rsid w:val="002A5686"/>
    <w:rsid w:val="002B28D2"/>
    <w:rsid w:val="002B2A35"/>
    <w:rsid w:val="002B4C35"/>
    <w:rsid w:val="002B51B7"/>
    <w:rsid w:val="002C0D49"/>
    <w:rsid w:val="002C2D88"/>
    <w:rsid w:val="002C46B6"/>
    <w:rsid w:val="002D2E26"/>
    <w:rsid w:val="002E49F0"/>
    <w:rsid w:val="002E4EC1"/>
    <w:rsid w:val="002E53E1"/>
    <w:rsid w:val="002F0998"/>
    <w:rsid w:val="002F18AB"/>
    <w:rsid w:val="002F1980"/>
    <w:rsid w:val="002F4AC2"/>
    <w:rsid w:val="002F4E78"/>
    <w:rsid w:val="002F4F33"/>
    <w:rsid w:val="002F5B77"/>
    <w:rsid w:val="00300B4D"/>
    <w:rsid w:val="00303DE8"/>
    <w:rsid w:val="003062C9"/>
    <w:rsid w:val="003067F4"/>
    <w:rsid w:val="00310674"/>
    <w:rsid w:val="00310C64"/>
    <w:rsid w:val="003140AD"/>
    <w:rsid w:val="0031417B"/>
    <w:rsid w:val="0031443B"/>
    <w:rsid w:val="00317204"/>
    <w:rsid w:val="00320217"/>
    <w:rsid w:val="003206BB"/>
    <w:rsid w:val="003206D9"/>
    <w:rsid w:val="00322C70"/>
    <w:rsid w:val="0032636C"/>
    <w:rsid w:val="00331040"/>
    <w:rsid w:val="00332DC5"/>
    <w:rsid w:val="00333271"/>
    <w:rsid w:val="00337C3E"/>
    <w:rsid w:val="00337DDD"/>
    <w:rsid w:val="003429B9"/>
    <w:rsid w:val="003435EA"/>
    <w:rsid w:val="003439F8"/>
    <w:rsid w:val="00343A94"/>
    <w:rsid w:val="00345A92"/>
    <w:rsid w:val="00345C57"/>
    <w:rsid w:val="00371A01"/>
    <w:rsid w:val="00371D82"/>
    <w:rsid w:val="0038195D"/>
    <w:rsid w:val="00381AE9"/>
    <w:rsid w:val="003828D1"/>
    <w:rsid w:val="00385EA0"/>
    <w:rsid w:val="00387AA8"/>
    <w:rsid w:val="003927E7"/>
    <w:rsid w:val="003A1A56"/>
    <w:rsid w:val="003A4D3E"/>
    <w:rsid w:val="003A543A"/>
    <w:rsid w:val="003A56B4"/>
    <w:rsid w:val="003B48B0"/>
    <w:rsid w:val="003C2B1D"/>
    <w:rsid w:val="003C2DBF"/>
    <w:rsid w:val="003C30E4"/>
    <w:rsid w:val="003C3D24"/>
    <w:rsid w:val="003C61C9"/>
    <w:rsid w:val="003D0732"/>
    <w:rsid w:val="003D0CCD"/>
    <w:rsid w:val="003D2144"/>
    <w:rsid w:val="003D4C49"/>
    <w:rsid w:val="003E2C27"/>
    <w:rsid w:val="003E31B6"/>
    <w:rsid w:val="003E4B8A"/>
    <w:rsid w:val="003E5F73"/>
    <w:rsid w:val="003F07BA"/>
    <w:rsid w:val="003F6738"/>
    <w:rsid w:val="003F6B6E"/>
    <w:rsid w:val="0040058A"/>
    <w:rsid w:val="00400694"/>
    <w:rsid w:val="004011C3"/>
    <w:rsid w:val="00401E40"/>
    <w:rsid w:val="00403161"/>
    <w:rsid w:val="004047BE"/>
    <w:rsid w:val="00410994"/>
    <w:rsid w:val="00413517"/>
    <w:rsid w:val="00414D73"/>
    <w:rsid w:val="00416B0C"/>
    <w:rsid w:val="0041772F"/>
    <w:rsid w:val="00417E18"/>
    <w:rsid w:val="0042009C"/>
    <w:rsid w:val="0042272E"/>
    <w:rsid w:val="0042546D"/>
    <w:rsid w:val="00425F9C"/>
    <w:rsid w:val="00426675"/>
    <w:rsid w:val="0042743B"/>
    <w:rsid w:val="0042783C"/>
    <w:rsid w:val="00432086"/>
    <w:rsid w:val="00433900"/>
    <w:rsid w:val="004347CD"/>
    <w:rsid w:val="00436F96"/>
    <w:rsid w:val="00440ED7"/>
    <w:rsid w:val="00444A9E"/>
    <w:rsid w:val="00450143"/>
    <w:rsid w:val="0045102D"/>
    <w:rsid w:val="004524C9"/>
    <w:rsid w:val="00453139"/>
    <w:rsid w:val="00453CFE"/>
    <w:rsid w:val="00455EAC"/>
    <w:rsid w:val="00457F21"/>
    <w:rsid w:val="00460F8A"/>
    <w:rsid w:val="004642B0"/>
    <w:rsid w:val="00465F31"/>
    <w:rsid w:val="004678C2"/>
    <w:rsid w:val="00471331"/>
    <w:rsid w:val="00486A6E"/>
    <w:rsid w:val="0049095B"/>
    <w:rsid w:val="004918F4"/>
    <w:rsid w:val="004922A1"/>
    <w:rsid w:val="004A4D97"/>
    <w:rsid w:val="004A5C02"/>
    <w:rsid w:val="004B05BC"/>
    <w:rsid w:val="004B39EC"/>
    <w:rsid w:val="004B3E0A"/>
    <w:rsid w:val="004B3E3A"/>
    <w:rsid w:val="004C0DAB"/>
    <w:rsid w:val="004C14F1"/>
    <w:rsid w:val="004C3C30"/>
    <w:rsid w:val="004D03F0"/>
    <w:rsid w:val="004D19BF"/>
    <w:rsid w:val="004D2FC8"/>
    <w:rsid w:val="004E035F"/>
    <w:rsid w:val="004E1D46"/>
    <w:rsid w:val="004E696C"/>
    <w:rsid w:val="004F1018"/>
    <w:rsid w:val="004F380E"/>
    <w:rsid w:val="004F5503"/>
    <w:rsid w:val="004F6867"/>
    <w:rsid w:val="005003E2"/>
    <w:rsid w:val="005044D6"/>
    <w:rsid w:val="00510A81"/>
    <w:rsid w:val="00511877"/>
    <w:rsid w:val="00512BB2"/>
    <w:rsid w:val="00512D7C"/>
    <w:rsid w:val="00513338"/>
    <w:rsid w:val="005149DD"/>
    <w:rsid w:val="00517B4E"/>
    <w:rsid w:val="0052051E"/>
    <w:rsid w:val="00525C21"/>
    <w:rsid w:val="00526E3D"/>
    <w:rsid w:val="00532969"/>
    <w:rsid w:val="00532FBC"/>
    <w:rsid w:val="0054073A"/>
    <w:rsid w:val="005429CD"/>
    <w:rsid w:val="00544732"/>
    <w:rsid w:val="00544B79"/>
    <w:rsid w:val="005452A6"/>
    <w:rsid w:val="0054585D"/>
    <w:rsid w:val="0055257F"/>
    <w:rsid w:val="005534C8"/>
    <w:rsid w:val="0055498A"/>
    <w:rsid w:val="00566EB3"/>
    <w:rsid w:val="005670E8"/>
    <w:rsid w:val="00570CCC"/>
    <w:rsid w:val="00571EBB"/>
    <w:rsid w:val="00574681"/>
    <w:rsid w:val="00575F07"/>
    <w:rsid w:val="005838C2"/>
    <w:rsid w:val="00586AF3"/>
    <w:rsid w:val="00590826"/>
    <w:rsid w:val="0059332C"/>
    <w:rsid w:val="00593F67"/>
    <w:rsid w:val="00595807"/>
    <w:rsid w:val="00595B66"/>
    <w:rsid w:val="00595E03"/>
    <w:rsid w:val="005979DD"/>
    <w:rsid w:val="005A13A5"/>
    <w:rsid w:val="005A1F4B"/>
    <w:rsid w:val="005A2049"/>
    <w:rsid w:val="005A295E"/>
    <w:rsid w:val="005A32A6"/>
    <w:rsid w:val="005A32FE"/>
    <w:rsid w:val="005A7DF9"/>
    <w:rsid w:val="005B08F8"/>
    <w:rsid w:val="005B1D73"/>
    <w:rsid w:val="005B1E02"/>
    <w:rsid w:val="005B1E47"/>
    <w:rsid w:val="005B2906"/>
    <w:rsid w:val="005B2A11"/>
    <w:rsid w:val="005B2E79"/>
    <w:rsid w:val="005B5ECB"/>
    <w:rsid w:val="005C4B93"/>
    <w:rsid w:val="005C5B93"/>
    <w:rsid w:val="005C6FEA"/>
    <w:rsid w:val="005D185C"/>
    <w:rsid w:val="005D2E19"/>
    <w:rsid w:val="005D415D"/>
    <w:rsid w:val="005E4419"/>
    <w:rsid w:val="005E49FD"/>
    <w:rsid w:val="005E6827"/>
    <w:rsid w:val="005F06F3"/>
    <w:rsid w:val="005F2D63"/>
    <w:rsid w:val="005F595B"/>
    <w:rsid w:val="006032A1"/>
    <w:rsid w:val="00604F86"/>
    <w:rsid w:val="00607753"/>
    <w:rsid w:val="00610995"/>
    <w:rsid w:val="00616C07"/>
    <w:rsid w:val="00621FFC"/>
    <w:rsid w:val="006227E0"/>
    <w:rsid w:val="006238A3"/>
    <w:rsid w:val="00633DA8"/>
    <w:rsid w:val="00634555"/>
    <w:rsid w:val="00635FC4"/>
    <w:rsid w:val="0063667B"/>
    <w:rsid w:val="0064035D"/>
    <w:rsid w:val="006425CA"/>
    <w:rsid w:val="00642B14"/>
    <w:rsid w:val="0064366D"/>
    <w:rsid w:val="006440AB"/>
    <w:rsid w:val="00644953"/>
    <w:rsid w:val="00645C61"/>
    <w:rsid w:val="00647AE3"/>
    <w:rsid w:val="00650E61"/>
    <w:rsid w:val="0065253D"/>
    <w:rsid w:val="00656B8F"/>
    <w:rsid w:val="00656F82"/>
    <w:rsid w:val="00660E3A"/>
    <w:rsid w:val="00661A92"/>
    <w:rsid w:val="00662077"/>
    <w:rsid w:val="00663C6C"/>
    <w:rsid w:val="00666BEA"/>
    <w:rsid w:val="0067020F"/>
    <w:rsid w:val="006702E7"/>
    <w:rsid w:val="00671E3F"/>
    <w:rsid w:val="006756B5"/>
    <w:rsid w:val="00681750"/>
    <w:rsid w:val="00683C80"/>
    <w:rsid w:val="00690458"/>
    <w:rsid w:val="00690505"/>
    <w:rsid w:val="00690C0B"/>
    <w:rsid w:val="006A151D"/>
    <w:rsid w:val="006B02FF"/>
    <w:rsid w:val="006B55C5"/>
    <w:rsid w:val="006B5669"/>
    <w:rsid w:val="006B7588"/>
    <w:rsid w:val="006C178D"/>
    <w:rsid w:val="006C26B3"/>
    <w:rsid w:val="006C3629"/>
    <w:rsid w:val="006C3AC9"/>
    <w:rsid w:val="006C6271"/>
    <w:rsid w:val="006C68A1"/>
    <w:rsid w:val="006C6C95"/>
    <w:rsid w:val="006D3D53"/>
    <w:rsid w:val="006D5BFE"/>
    <w:rsid w:val="006D5EC1"/>
    <w:rsid w:val="006E019A"/>
    <w:rsid w:val="006E3AB8"/>
    <w:rsid w:val="006E3AFA"/>
    <w:rsid w:val="006E40DA"/>
    <w:rsid w:val="006E413B"/>
    <w:rsid w:val="006E441B"/>
    <w:rsid w:val="006E44D0"/>
    <w:rsid w:val="006E6FCA"/>
    <w:rsid w:val="006E7EED"/>
    <w:rsid w:val="006F62C4"/>
    <w:rsid w:val="0070194A"/>
    <w:rsid w:val="00703AB8"/>
    <w:rsid w:val="007059A7"/>
    <w:rsid w:val="00706C48"/>
    <w:rsid w:val="00710CB1"/>
    <w:rsid w:val="00711B31"/>
    <w:rsid w:val="007138E7"/>
    <w:rsid w:val="00715AEE"/>
    <w:rsid w:val="00717CA9"/>
    <w:rsid w:val="0072272E"/>
    <w:rsid w:val="00724D9D"/>
    <w:rsid w:val="00727AFB"/>
    <w:rsid w:val="00727FE4"/>
    <w:rsid w:val="00731469"/>
    <w:rsid w:val="007323DD"/>
    <w:rsid w:val="007343F0"/>
    <w:rsid w:val="00734878"/>
    <w:rsid w:val="007353C9"/>
    <w:rsid w:val="00735498"/>
    <w:rsid w:val="00737B0E"/>
    <w:rsid w:val="007535C4"/>
    <w:rsid w:val="00753C77"/>
    <w:rsid w:val="00754522"/>
    <w:rsid w:val="00761B64"/>
    <w:rsid w:val="0076367F"/>
    <w:rsid w:val="00764B9A"/>
    <w:rsid w:val="00765490"/>
    <w:rsid w:val="0077111F"/>
    <w:rsid w:val="00781046"/>
    <w:rsid w:val="0078410D"/>
    <w:rsid w:val="007926D0"/>
    <w:rsid w:val="00794D28"/>
    <w:rsid w:val="007A57DF"/>
    <w:rsid w:val="007A5E0C"/>
    <w:rsid w:val="007B40D9"/>
    <w:rsid w:val="007B43B9"/>
    <w:rsid w:val="007B7D61"/>
    <w:rsid w:val="007C0447"/>
    <w:rsid w:val="007C07C2"/>
    <w:rsid w:val="007C2647"/>
    <w:rsid w:val="007C2A8D"/>
    <w:rsid w:val="007C2F35"/>
    <w:rsid w:val="007C4D01"/>
    <w:rsid w:val="007C4E34"/>
    <w:rsid w:val="007C70DB"/>
    <w:rsid w:val="007D1087"/>
    <w:rsid w:val="007D1174"/>
    <w:rsid w:val="007D1DEA"/>
    <w:rsid w:val="007D6F71"/>
    <w:rsid w:val="007E1DCE"/>
    <w:rsid w:val="007E1FA6"/>
    <w:rsid w:val="007E324B"/>
    <w:rsid w:val="007E4D0B"/>
    <w:rsid w:val="007E520E"/>
    <w:rsid w:val="007E7DD1"/>
    <w:rsid w:val="007F269D"/>
    <w:rsid w:val="00800B2C"/>
    <w:rsid w:val="00803808"/>
    <w:rsid w:val="008048EC"/>
    <w:rsid w:val="0080694C"/>
    <w:rsid w:val="00807891"/>
    <w:rsid w:val="00811DB3"/>
    <w:rsid w:val="0081360F"/>
    <w:rsid w:val="00814F73"/>
    <w:rsid w:val="008169F6"/>
    <w:rsid w:val="00816BAF"/>
    <w:rsid w:val="00817714"/>
    <w:rsid w:val="00821032"/>
    <w:rsid w:val="00827EF7"/>
    <w:rsid w:val="0083327E"/>
    <w:rsid w:val="0083507A"/>
    <w:rsid w:val="00836B0A"/>
    <w:rsid w:val="008414AA"/>
    <w:rsid w:val="00844890"/>
    <w:rsid w:val="00847C71"/>
    <w:rsid w:val="008511D3"/>
    <w:rsid w:val="00860A65"/>
    <w:rsid w:val="00862C0D"/>
    <w:rsid w:val="00866738"/>
    <w:rsid w:val="008703A0"/>
    <w:rsid w:val="0087092F"/>
    <w:rsid w:val="00873477"/>
    <w:rsid w:val="00875E12"/>
    <w:rsid w:val="00877607"/>
    <w:rsid w:val="00880772"/>
    <w:rsid w:val="00881DFF"/>
    <w:rsid w:val="00881EB6"/>
    <w:rsid w:val="00884F8A"/>
    <w:rsid w:val="00885B16"/>
    <w:rsid w:val="00885B8D"/>
    <w:rsid w:val="00887AA1"/>
    <w:rsid w:val="00891F60"/>
    <w:rsid w:val="00897743"/>
    <w:rsid w:val="008A29AF"/>
    <w:rsid w:val="008A3931"/>
    <w:rsid w:val="008A70CD"/>
    <w:rsid w:val="008B0257"/>
    <w:rsid w:val="008B1DBA"/>
    <w:rsid w:val="008B5563"/>
    <w:rsid w:val="008C0062"/>
    <w:rsid w:val="008C4002"/>
    <w:rsid w:val="008D4790"/>
    <w:rsid w:val="008E19A5"/>
    <w:rsid w:val="008E2114"/>
    <w:rsid w:val="008E3355"/>
    <w:rsid w:val="008F0220"/>
    <w:rsid w:val="008F12F9"/>
    <w:rsid w:val="008F2F73"/>
    <w:rsid w:val="008F509B"/>
    <w:rsid w:val="008F5B4F"/>
    <w:rsid w:val="00901D6D"/>
    <w:rsid w:val="00902B84"/>
    <w:rsid w:val="00907023"/>
    <w:rsid w:val="00907242"/>
    <w:rsid w:val="00915134"/>
    <w:rsid w:val="009152B9"/>
    <w:rsid w:val="00917264"/>
    <w:rsid w:val="00921D43"/>
    <w:rsid w:val="00924D99"/>
    <w:rsid w:val="009266CF"/>
    <w:rsid w:val="00926DE5"/>
    <w:rsid w:val="00931025"/>
    <w:rsid w:val="00932679"/>
    <w:rsid w:val="009338C3"/>
    <w:rsid w:val="00935627"/>
    <w:rsid w:val="0093575A"/>
    <w:rsid w:val="00943BBA"/>
    <w:rsid w:val="00952D5D"/>
    <w:rsid w:val="00953EB2"/>
    <w:rsid w:val="0095527E"/>
    <w:rsid w:val="00963D5B"/>
    <w:rsid w:val="009643AD"/>
    <w:rsid w:val="009725A9"/>
    <w:rsid w:val="00975A50"/>
    <w:rsid w:val="00977EE6"/>
    <w:rsid w:val="00981DCF"/>
    <w:rsid w:val="00982CB0"/>
    <w:rsid w:val="0098467A"/>
    <w:rsid w:val="009847AF"/>
    <w:rsid w:val="009877D1"/>
    <w:rsid w:val="00991596"/>
    <w:rsid w:val="00993383"/>
    <w:rsid w:val="00993EAF"/>
    <w:rsid w:val="0099414C"/>
    <w:rsid w:val="00996ED7"/>
    <w:rsid w:val="00997187"/>
    <w:rsid w:val="00997AFB"/>
    <w:rsid w:val="00997B9D"/>
    <w:rsid w:val="00997EC4"/>
    <w:rsid w:val="009A04F8"/>
    <w:rsid w:val="009A34A6"/>
    <w:rsid w:val="009A378D"/>
    <w:rsid w:val="009A40AE"/>
    <w:rsid w:val="009A497C"/>
    <w:rsid w:val="009A704E"/>
    <w:rsid w:val="009B217F"/>
    <w:rsid w:val="009B6234"/>
    <w:rsid w:val="009C2103"/>
    <w:rsid w:val="009C72E9"/>
    <w:rsid w:val="009D7BA0"/>
    <w:rsid w:val="009E04CA"/>
    <w:rsid w:val="009E198A"/>
    <w:rsid w:val="009E6DB5"/>
    <w:rsid w:val="009F2BA0"/>
    <w:rsid w:val="009F53B4"/>
    <w:rsid w:val="009F6B5A"/>
    <w:rsid w:val="009F7109"/>
    <w:rsid w:val="009F7A36"/>
    <w:rsid w:val="00A006A6"/>
    <w:rsid w:val="00A0085F"/>
    <w:rsid w:val="00A01C2A"/>
    <w:rsid w:val="00A01F1A"/>
    <w:rsid w:val="00A02F26"/>
    <w:rsid w:val="00A03E58"/>
    <w:rsid w:val="00A0449E"/>
    <w:rsid w:val="00A0671A"/>
    <w:rsid w:val="00A10A5B"/>
    <w:rsid w:val="00A11846"/>
    <w:rsid w:val="00A2335A"/>
    <w:rsid w:val="00A24C90"/>
    <w:rsid w:val="00A27278"/>
    <w:rsid w:val="00A30B31"/>
    <w:rsid w:val="00A3135D"/>
    <w:rsid w:val="00A31858"/>
    <w:rsid w:val="00A436EA"/>
    <w:rsid w:val="00A43EB6"/>
    <w:rsid w:val="00A4506C"/>
    <w:rsid w:val="00A453D6"/>
    <w:rsid w:val="00A456E2"/>
    <w:rsid w:val="00A45DD0"/>
    <w:rsid w:val="00A50D44"/>
    <w:rsid w:val="00A619BC"/>
    <w:rsid w:val="00A63F11"/>
    <w:rsid w:val="00A65211"/>
    <w:rsid w:val="00A80596"/>
    <w:rsid w:val="00A816AC"/>
    <w:rsid w:val="00A84B57"/>
    <w:rsid w:val="00A863CE"/>
    <w:rsid w:val="00A877FA"/>
    <w:rsid w:val="00A879E7"/>
    <w:rsid w:val="00A925FE"/>
    <w:rsid w:val="00A92C00"/>
    <w:rsid w:val="00A94F88"/>
    <w:rsid w:val="00A977CD"/>
    <w:rsid w:val="00AA1A70"/>
    <w:rsid w:val="00AA394D"/>
    <w:rsid w:val="00AA662B"/>
    <w:rsid w:val="00AB2D42"/>
    <w:rsid w:val="00AC073E"/>
    <w:rsid w:val="00AC4AA0"/>
    <w:rsid w:val="00AC7AB9"/>
    <w:rsid w:val="00AD2C7C"/>
    <w:rsid w:val="00AD56C6"/>
    <w:rsid w:val="00AD63FF"/>
    <w:rsid w:val="00AD73D0"/>
    <w:rsid w:val="00AE0139"/>
    <w:rsid w:val="00AE37EF"/>
    <w:rsid w:val="00AF7B69"/>
    <w:rsid w:val="00B01CED"/>
    <w:rsid w:val="00B02865"/>
    <w:rsid w:val="00B03DC3"/>
    <w:rsid w:val="00B0458E"/>
    <w:rsid w:val="00B0753A"/>
    <w:rsid w:val="00B12DE3"/>
    <w:rsid w:val="00B13836"/>
    <w:rsid w:val="00B1497F"/>
    <w:rsid w:val="00B15A72"/>
    <w:rsid w:val="00B166D9"/>
    <w:rsid w:val="00B17875"/>
    <w:rsid w:val="00B20889"/>
    <w:rsid w:val="00B20FD6"/>
    <w:rsid w:val="00B21720"/>
    <w:rsid w:val="00B22333"/>
    <w:rsid w:val="00B379A4"/>
    <w:rsid w:val="00B41268"/>
    <w:rsid w:val="00B421AC"/>
    <w:rsid w:val="00B4316B"/>
    <w:rsid w:val="00B4354A"/>
    <w:rsid w:val="00B457F6"/>
    <w:rsid w:val="00B461B7"/>
    <w:rsid w:val="00B47C44"/>
    <w:rsid w:val="00B512CC"/>
    <w:rsid w:val="00B5398B"/>
    <w:rsid w:val="00B5657E"/>
    <w:rsid w:val="00B56E27"/>
    <w:rsid w:val="00B57119"/>
    <w:rsid w:val="00B636DF"/>
    <w:rsid w:val="00B6557B"/>
    <w:rsid w:val="00B675FD"/>
    <w:rsid w:val="00B67635"/>
    <w:rsid w:val="00B70A60"/>
    <w:rsid w:val="00B7115C"/>
    <w:rsid w:val="00B7159F"/>
    <w:rsid w:val="00B72C62"/>
    <w:rsid w:val="00B752A0"/>
    <w:rsid w:val="00B763D3"/>
    <w:rsid w:val="00B77119"/>
    <w:rsid w:val="00B77CEE"/>
    <w:rsid w:val="00B77ED2"/>
    <w:rsid w:val="00B823AA"/>
    <w:rsid w:val="00B82581"/>
    <w:rsid w:val="00B86D18"/>
    <w:rsid w:val="00B9068E"/>
    <w:rsid w:val="00B95B73"/>
    <w:rsid w:val="00B970C8"/>
    <w:rsid w:val="00BA02DF"/>
    <w:rsid w:val="00BA06F2"/>
    <w:rsid w:val="00BA0FB9"/>
    <w:rsid w:val="00BA1F27"/>
    <w:rsid w:val="00BA793A"/>
    <w:rsid w:val="00BB4F35"/>
    <w:rsid w:val="00BB5019"/>
    <w:rsid w:val="00BC15B4"/>
    <w:rsid w:val="00BC44F1"/>
    <w:rsid w:val="00BC6187"/>
    <w:rsid w:val="00BC6D11"/>
    <w:rsid w:val="00BD2C11"/>
    <w:rsid w:val="00BD6DF0"/>
    <w:rsid w:val="00BE4E95"/>
    <w:rsid w:val="00BE6F4B"/>
    <w:rsid w:val="00BF4209"/>
    <w:rsid w:val="00BF5559"/>
    <w:rsid w:val="00BF7047"/>
    <w:rsid w:val="00C03C24"/>
    <w:rsid w:val="00C06D14"/>
    <w:rsid w:val="00C076AB"/>
    <w:rsid w:val="00C10604"/>
    <w:rsid w:val="00C12DD1"/>
    <w:rsid w:val="00C206E4"/>
    <w:rsid w:val="00C31471"/>
    <w:rsid w:val="00C32493"/>
    <w:rsid w:val="00C3522B"/>
    <w:rsid w:val="00C4228B"/>
    <w:rsid w:val="00C43F3E"/>
    <w:rsid w:val="00C50727"/>
    <w:rsid w:val="00C531EE"/>
    <w:rsid w:val="00C537C7"/>
    <w:rsid w:val="00C5445D"/>
    <w:rsid w:val="00C60DB5"/>
    <w:rsid w:val="00C62701"/>
    <w:rsid w:val="00C6479D"/>
    <w:rsid w:val="00C662B4"/>
    <w:rsid w:val="00C665B7"/>
    <w:rsid w:val="00C66EA5"/>
    <w:rsid w:val="00C72216"/>
    <w:rsid w:val="00C723C7"/>
    <w:rsid w:val="00C74450"/>
    <w:rsid w:val="00C7578D"/>
    <w:rsid w:val="00C843F8"/>
    <w:rsid w:val="00C851B0"/>
    <w:rsid w:val="00C9258E"/>
    <w:rsid w:val="00C925B9"/>
    <w:rsid w:val="00C94C59"/>
    <w:rsid w:val="00CA4A6F"/>
    <w:rsid w:val="00CA6F77"/>
    <w:rsid w:val="00CA7F00"/>
    <w:rsid w:val="00CB1938"/>
    <w:rsid w:val="00CB4BCC"/>
    <w:rsid w:val="00CB5162"/>
    <w:rsid w:val="00CB53F1"/>
    <w:rsid w:val="00CB5CF2"/>
    <w:rsid w:val="00CC1712"/>
    <w:rsid w:val="00CC270A"/>
    <w:rsid w:val="00CC52C2"/>
    <w:rsid w:val="00CD1910"/>
    <w:rsid w:val="00CD4363"/>
    <w:rsid w:val="00CD5176"/>
    <w:rsid w:val="00CD5FF6"/>
    <w:rsid w:val="00CE27B3"/>
    <w:rsid w:val="00CE3AB5"/>
    <w:rsid w:val="00CE5A0D"/>
    <w:rsid w:val="00CE72F1"/>
    <w:rsid w:val="00CF0B27"/>
    <w:rsid w:val="00CF1113"/>
    <w:rsid w:val="00CF3141"/>
    <w:rsid w:val="00CF6F95"/>
    <w:rsid w:val="00D0041B"/>
    <w:rsid w:val="00D00BE8"/>
    <w:rsid w:val="00D01CCF"/>
    <w:rsid w:val="00D032B8"/>
    <w:rsid w:val="00D075A4"/>
    <w:rsid w:val="00D112EB"/>
    <w:rsid w:val="00D12599"/>
    <w:rsid w:val="00D14319"/>
    <w:rsid w:val="00D163E3"/>
    <w:rsid w:val="00D2019A"/>
    <w:rsid w:val="00D22AEA"/>
    <w:rsid w:val="00D25085"/>
    <w:rsid w:val="00D25253"/>
    <w:rsid w:val="00D26763"/>
    <w:rsid w:val="00D27AA3"/>
    <w:rsid w:val="00D32AE6"/>
    <w:rsid w:val="00D3587B"/>
    <w:rsid w:val="00D362C9"/>
    <w:rsid w:val="00D4136E"/>
    <w:rsid w:val="00D44CC7"/>
    <w:rsid w:val="00D467B9"/>
    <w:rsid w:val="00D53E2B"/>
    <w:rsid w:val="00D5588C"/>
    <w:rsid w:val="00D56EFF"/>
    <w:rsid w:val="00D61097"/>
    <w:rsid w:val="00D73A30"/>
    <w:rsid w:val="00D761B6"/>
    <w:rsid w:val="00D82974"/>
    <w:rsid w:val="00D83701"/>
    <w:rsid w:val="00D84B88"/>
    <w:rsid w:val="00D874CD"/>
    <w:rsid w:val="00D90CE6"/>
    <w:rsid w:val="00D91688"/>
    <w:rsid w:val="00D93279"/>
    <w:rsid w:val="00D93876"/>
    <w:rsid w:val="00D93BFA"/>
    <w:rsid w:val="00D94AF4"/>
    <w:rsid w:val="00D97A87"/>
    <w:rsid w:val="00DA2863"/>
    <w:rsid w:val="00DA2C43"/>
    <w:rsid w:val="00DA437E"/>
    <w:rsid w:val="00DA6C13"/>
    <w:rsid w:val="00DB2921"/>
    <w:rsid w:val="00DC0BD4"/>
    <w:rsid w:val="00DC0D78"/>
    <w:rsid w:val="00DC1C4E"/>
    <w:rsid w:val="00DC35F4"/>
    <w:rsid w:val="00DC409D"/>
    <w:rsid w:val="00DC6B0B"/>
    <w:rsid w:val="00DD0FC6"/>
    <w:rsid w:val="00DD1E4B"/>
    <w:rsid w:val="00DD2AB2"/>
    <w:rsid w:val="00DD46C9"/>
    <w:rsid w:val="00DD5E21"/>
    <w:rsid w:val="00DD78FE"/>
    <w:rsid w:val="00DE1A7D"/>
    <w:rsid w:val="00DE4263"/>
    <w:rsid w:val="00DE5009"/>
    <w:rsid w:val="00DE7346"/>
    <w:rsid w:val="00DF1135"/>
    <w:rsid w:val="00DF22F6"/>
    <w:rsid w:val="00DF30B9"/>
    <w:rsid w:val="00E017BB"/>
    <w:rsid w:val="00E029D3"/>
    <w:rsid w:val="00E06368"/>
    <w:rsid w:val="00E068BB"/>
    <w:rsid w:val="00E1228D"/>
    <w:rsid w:val="00E13487"/>
    <w:rsid w:val="00E17BB6"/>
    <w:rsid w:val="00E22A58"/>
    <w:rsid w:val="00E2357F"/>
    <w:rsid w:val="00E242D8"/>
    <w:rsid w:val="00E258F1"/>
    <w:rsid w:val="00E266C8"/>
    <w:rsid w:val="00E3066B"/>
    <w:rsid w:val="00E3093D"/>
    <w:rsid w:val="00E32E09"/>
    <w:rsid w:val="00E370D2"/>
    <w:rsid w:val="00E372BD"/>
    <w:rsid w:val="00E374DF"/>
    <w:rsid w:val="00E37F53"/>
    <w:rsid w:val="00E40788"/>
    <w:rsid w:val="00E40A24"/>
    <w:rsid w:val="00E54C56"/>
    <w:rsid w:val="00E54C5F"/>
    <w:rsid w:val="00E54EEA"/>
    <w:rsid w:val="00E60EB0"/>
    <w:rsid w:val="00E61E41"/>
    <w:rsid w:val="00E61E7C"/>
    <w:rsid w:val="00E634DC"/>
    <w:rsid w:val="00E648E7"/>
    <w:rsid w:val="00E6632B"/>
    <w:rsid w:val="00E677EF"/>
    <w:rsid w:val="00E67AA9"/>
    <w:rsid w:val="00E67EED"/>
    <w:rsid w:val="00E72C81"/>
    <w:rsid w:val="00E739D1"/>
    <w:rsid w:val="00E7548B"/>
    <w:rsid w:val="00E80252"/>
    <w:rsid w:val="00E83E01"/>
    <w:rsid w:val="00E84A93"/>
    <w:rsid w:val="00E92CD9"/>
    <w:rsid w:val="00E942B8"/>
    <w:rsid w:val="00E9488F"/>
    <w:rsid w:val="00E94C07"/>
    <w:rsid w:val="00E96311"/>
    <w:rsid w:val="00E9671F"/>
    <w:rsid w:val="00EA0FC2"/>
    <w:rsid w:val="00EA2870"/>
    <w:rsid w:val="00EA521C"/>
    <w:rsid w:val="00EA5AE0"/>
    <w:rsid w:val="00EB21F1"/>
    <w:rsid w:val="00EB4353"/>
    <w:rsid w:val="00EB5F3B"/>
    <w:rsid w:val="00EB6709"/>
    <w:rsid w:val="00EB69A8"/>
    <w:rsid w:val="00EC3B17"/>
    <w:rsid w:val="00EC4BBD"/>
    <w:rsid w:val="00EC5282"/>
    <w:rsid w:val="00ED2DAA"/>
    <w:rsid w:val="00ED4AE2"/>
    <w:rsid w:val="00ED4FD9"/>
    <w:rsid w:val="00ED6374"/>
    <w:rsid w:val="00EE0DA3"/>
    <w:rsid w:val="00EE0DD3"/>
    <w:rsid w:val="00EE179A"/>
    <w:rsid w:val="00EE2704"/>
    <w:rsid w:val="00EE40F2"/>
    <w:rsid w:val="00EE560D"/>
    <w:rsid w:val="00EF08ED"/>
    <w:rsid w:val="00EF0B2B"/>
    <w:rsid w:val="00EF1784"/>
    <w:rsid w:val="00EF5599"/>
    <w:rsid w:val="00EF75BF"/>
    <w:rsid w:val="00F02B4A"/>
    <w:rsid w:val="00F03882"/>
    <w:rsid w:val="00F06D9A"/>
    <w:rsid w:val="00F10FD2"/>
    <w:rsid w:val="00F12193"/>
    <w:rsid w:val="00F16319"/>
    <w:rsid w:val="00F16798"/>
    <w:rsid w:val="00F2281A"/>
    <w:rsid w:val="00F2640D"/>
    <w:rsid w:val="00F35191"/>
    <w:rsid w:val="00F46CE1"/>
    <w:rsid w:val="00F50CDC"/>
    <w:rsid w:val="00F55FCC"/>
    <w:rsid w:val="00F61973"/>
    <w:rsid w:val="00F62406"/>
    <w:rsid w:val="00F64361"/>
    <w:rsid w:val="00F666B5"/>
    <w:rsid w:val="00F66F16"/>
    <w:rsid w:val="00F67A76"/>
    <w:rsid w:val="00F67BF9"/>
    <w:rsid w:val="00F73E6F"/>
    <w:rsid w:val="00F74C3D"/>
    <w:rsid w:val="00F75B7B"/>
    <w:rsid w:val="00F7759E"/>
    <w:rsid w:val="00F835CD"/>
    <w:rsid w:val="00F84C36"/>
    <w:rsid w:val="00F85421"/>
    <w:rsid w:val="00F85460"/>
    <w:rsid w:val="00F85613"/>
    <w:rsid w:val="00F85AC7"/>
    <w:rsid w:val="00F86B2F"/>
    <w:rsid w:val="00F86E81"/>
    <w:rsid w:val="00F870FE"/>
    <w:rsid w:val="00F87F4D"/>
    <w:rsid w:val="00F91156"/>
    <w:rsid w:val="00F921FC"/>
    <w:rsid w:val="00F92D14"/>
    <w:rsid w:val="00F94272"/>
    <w:rsid w:val="00F97740"/>
    <w:rsid w:val="00FA42E2"/>
    <w:rsid w:val="00FA6928"/>
    <w:rsid w:val="00FA766E"/>
    <w:rsid w:val="00FB21AE"/>
    <w:rsid w:val="00FB5E09"/>
    <w:rsid w:val="00FB6934"/>
    <w:rsid w:val="00FC2512"/>
    <w:rsid w:val="00FC321F"/>
    <w:rsid w:val="00FC3A92"/>
    <w:rsid w:val="00FC7356"/>
    <w:rsid w:val="00FC7F10"/>
    <w:rsid w:val="00FD0271"/>
    <w:rsid w:val="00FD5230"/>
    <w:rsid w:val="00FD53B7"/>
    <w:rsid w:val="00FD57B8"/>
    <w:rsid w:val="00FD6918"/>
    <w:rsid w:val="00FD7233"/>
    <w:rsid w:val="00FE2235"/>
    <w:rsid w:val="00FE2E3C"/>
    <w:rsid w:val="00FE3BB3"/>
    <w:rsid w:val="00FE51C5"/>
    <w:rsid w:val="00FF05FA"/>
    <w:rsid w:val="00FF2005"/>
    <w:rsid w:val="00FF215A"/>
    <w:rsid w:val="00FF303C"/>
    <w:rsid w:val="00FF32BB"/>
    <w:rsid w:val="00FF3AB6"/>
    <w:rsid w:val="00FF4128"/>
    <w:rsid w:val="00FF62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E840"/>
  <w15:chartTrackingRefBased/>
  <w15:docId w15:val="{33373540-18F0-491D-A7C5-6EBEF5FC6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BCC"/>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071AFA"/>
    <w:rPr>
      <w:color w:val="467886" w:themeColor="hyperlink"/>
      <w:u w:val="single"/>
    </w:rPr>
  </w:style>
  <w:style w:type="character" w:styleId="UnresolvedMention">
    <w:name w:val="Unresolved Mention"/>
    <w:basedOn w:val="DefaultParagraphFont"/>
    <w:uiPriority w:val="99"/>
    <w:semiHidden/>
    <w:unhideWhenUsed/>
    <w:rsid w:val="00071AFA"/>
    <w:rPr>
      <w:color w:val="605E5C"/>
      <w:shd w:val="clear" w:color="auto" w:fill="E1DFDD"/>
    </w:rPr>
  </w:style>
  <w:style w:type="paragraph" w:styleId="Revision">
    <w:name w:val="Revision"/>
    <w:hidden/>
    <w:uiPriority w:val="99"/>
    <w:semiHidden/>
    <w:rsid w:val="005B5ECB"/>
    <w:pPr>
      <w:spacing w:after="0" w:line="240" w:lineRule="auto"/>
    </w:pPr>
  </w:style>
  <w:style w:type="character" w:styleId="CommentReference">
    <w:name w:val="annotation reference"/>
    <w:basedOn w:val="DefaultParagraphFont"/>
    <w:uiPriority w:val="99"/>
    <w:semiHidden/>
    <w:unhideWhenUsed/>
    <w:rsid w:val="00E84A93"/>
    <w:rPr>
      <w:sz w:val="16"/>
      <w:szCs w:val="16"/>
    </w:rPr>
  </w:style>
  <w:style w:type="paragraph" w:styleId="CommentText">
    <w:name w:val="annotation text"/>
    <w:basedOn w:val="Normal"/>
    <w:link w:val="CommentTextChar"/>
    <w:uiPriority w:val="99"/>
    <w:unhideWhenUsed/>
    <w:rsid w:val="00E84A93"/>
    <w:pPr>
      <w:spacing w:line="240" w:lineRule="auto"/>
    </w:pPr>
    <w:rPr>
      <w:sz w:val="20"/>
      <w:szCs w:val="20"/>
    </w:rPr>
  </w:style>
  <w:style w:type="character" w:customStyle="1" w:styleId="CommentTextChar">
    <w:name w:val="Comment Text Char"/>
    <w:basedOn w:val="DefaultParagraphFont"/>
    <w:link w:val="CommentText"/>
    <w:uiPriority w:val="99"/>
    <w:rsid w:val="00E84A93"/>
    <w:rPr>
      <w:sz w:val="20"/>
      <w:szCs w:val="20"/>
    </w:rPr>
  </w:style>
  <w:style w:type="paragraph" w:styleId="CommentSubject">
    <w:name w:val="annotation subject"/>
    <w:basedOn w:val="CommentText"/>
    <w:next w:val="CommentText"/>
    <w:link w:val="CommentSubjectChar"/>
    <w:uiPriority w:val="99"/>
    <w:semiHidden/>
    <w:unhideWhenUsed/>
    <w:rsid w:val="00E84A93"/>
    <w:rPr>
      <w:b/>
      <w:bCs/>
    </w:rPr>
  </w:style>
  <w:style w:type="character" w:customStyle="1" w:styleId="CommentSubjectChar">
    <w:name w:val="Comment Subject Char"/>
    <w:basedOn w:val="CommentTextChar"/>
    <w:link w:val="CommentSubject"/>
    <w:uiPriority w:val="99"/>
    <w:semiHidden/>
    <w:rsid w:val="00E84A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9092">
      <w:bodyDiv w:val="1"/>
      <w:marLeft w:val="0"/>
      <w:marRight w:val="0"/>
      <w:marTop w:val="0"/>
      <w:marBottom w:val="0"/>
      <w:divBdr>
        <w:top w:val="none" w:sz="0" w:space="0" w:color="auto"/>
        <w:left w:val="none" w:sz="0" w:space="0" w:color="auto"/>
        <w:bottom w:val="none" w:sz="0" w:space="0" w:color="auto"/>
        <w:right w:val="none" w:sz="0" w:space="0" w:color="auto"/>
      </w:divBdr>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455012">
      <w:bodyDiv w:val="1"/>
      <w:marLeft w:val="0"/>
      <w:marRight w:val="0"/>
      <w:marTop w:val="0"/>
      <w:marBottom w:val="0"/>
      <w:divBdr>
        <w:top w:val="none" w:sz="0" w:space="0" w:color="auto"/>
        <w:left w:val="none" w:sz="0" w:space="0" w:color="auto"/>
        <w:bottom w:val="none" w:sz="0" w:space="0" w:color="auto"/>
        <w:right w:val="none" w:sz="0" w:space="0" w:color="auto"/>
      </w:divBdr>
      <w:divsChild>
        <w:div w:id="280654442">
          <w:marLeft w:val="0"/>
          <w:marRight w:val="0"/>
          <w:marTop w:val="0"/>
          <w:marBottom w:val="0"/>
          <w:divBdr>
            <w:top w:val="none" w:sz="0" w:space="0" w:color="auto"/>
            <w:left w:val="none" w:sz="0" w:space="0" w:color="auto"/>
            <w:bottom w:val="none" w:sz="0" w:space="0" w:color="auto"/>
            <w:right w:val="none" w:sz="0" w:space="0" w:color="auto"/>
          </w:divBdr>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07798">
      <w:bodyDiv w:val="1"/>
      <w:marLeft w:val="0"/>
      <w:marRight w:val="0"/>
      <w:marTop w:val="0"/>
      <w:marBottom w:val="0"/>
      <w:divBdr>
        <w:top w:val="none" w:sz="0" w:space="0" w:color="auto"/>
        <w:left w:val="none" w:sz="0" w:space="0" w:color="auto"/>
        <w:bottom w:val="none" w:sz="0" w:space="0" w:color="auto"/>
        <w:right w:val="none" w:sz="0" w:space="0" w:color="auto"/>
      </w:divBdr>
    </w:div>
    <w:div w:id="1176505660">
      <w:bodyDiv w:val="1"/>
      <w:marLeft w:val="0"/>
      <w:marRight w:val="0"/>
      <w:marTop w:val="0"/>
      <w:marBottom w:val="0"/>
      <w:divBdr>
        <w:top w:val="none" w:sz="0" w:space="0" w:color="auto"/>
        <w:left w:val="none" w:sz="0" w:space="0" w:color="auto"/>
        <w:bottom w:val="none" w:sz="0" w:space="0" w:color="auto"/>
        <w:right w:val="none" w:sz="0" w:space="0" w:color="auto"/>
      </w:divBdr>
      <w:divsChild>
        <w:div w:id="953054279">
          <w:marLeft w:val="0"/>
          <w:marRight w:val="0"/>
          <w:marTop w:val="0"/>
          <w:marBottom w:val="0"/>
          <w:divBdr>
            <w:top w:val="none" w:sz="0" w:space="0" w:color="auto"/>
            <w:left w:val="none" w:sz="0" w:space="0" w:color="auto"/>
            <w:bottom w:val="none" w:sz="0" w:space="0" w:color="auto"/>
            <w:right w:val="none" w:sz="0" w:space="0" w:color="auto"/>
          </w:divBdr>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519044">
      <w:bodyDiv w:val="1"/>
      <w:marLeft w:val="0"/>
      <w:marRight w:val="0"/>
      <w:marTop w:val="0"/>
      <w:marBottom w:val="0"/>
      <w:divBdr>
        <w:top w:val="none" w:sz="0" w:space="0" w:color="auto"/>
        <w:left w:val="none" w:sz="0" w:space="0" w:color="auto"/>
        <w:bottom w:val="none" w:sz="0" w:space="0" w:color="auto"/>
        <w:right w:val="none" w:sz="0" w:space="0" w:color="auto"/>
      </w:divBdr>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18043">
      <w:bodyDiv w:val="1"/>
      <w:marLeft w:val="0"/>
      <w:marRight w:val="0"/>
      <w:marTop w:val="0"/>
      <w:marBottom w:val="0"/>
      <w:divBdr>
        <w:top w:val="none" w:sz="0" w:space="0" w:color="auto"/>
        <w:left w:val="none" w:sz="0" w:space="0" w:color="auto"/>
        <w:bottom w:val="none" w:sz="0" w:space="0" w:color="auto"/>
        <w:right w:val="none" w:sz="0" w:space="0" w:color="auto"/>
      </w:divBdr>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762113">
      <w:bodyDiv w:val="1"/>
      <w:marLeft w:val="0"/>
      <w:marRight w:val="0"/>
      <w:marTop w:val="0"/>
      <w:marBottom w:val="0"/>
      <w:divBdr>
        <w:top w:val="none" w:sz="0" w:space="0" w:color="auto"/>
        <w:left w:val="none" w:sz="0" w:space="0" w:color="auto"/>
        <w:bottom w:val="none" w:sz="0" w:space="0" w:color="auto"/>
        <w:right w:val="none" w:sz="0" w:space="0" w:color="auto"/>
      </w:divBdr>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984936">
      <w:bodyDiv w:val="1"/>
      <w:marLeft w:val="0"/>
      <w:marRight w:val="0"/>
      <w:marTop w:val="0"/>
      <w:marBottom w:val="0"/>
      <w:divBdr>
        <w:top w:val="none" w:sz="0" w:space="0" w:color="auto"/>
        <w:left w:val="none" w:sz="0" w:space="0" w:color="auto"/>
        <w:bottom w:val="none" w:sz="0" w:space="0" w:color="auto"/>
        <w:right w:val="none" w:sz="0" w:space="0" w:color="auto"/>
      </w:divBdr>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025803">
      <w:bodyDiv w:val="1"/>
      <w:marLeft w:val="0"/>
      <w:marRight w:val="0"/>
      <w:marTop w:val="0"/>
      <w:marBottom w:val="0"/>
      <w:divBdr>
        <w:top w:val="none" w:sz="0" w:space="0" w:color="auto"/>
        <w:left w:val="none" w:sz="0" w:space="0" w:color="auto"/>
        <w:bottom w:val="none" w:sz="0" w:space="0" w:color="auto"/>
        <w:right w:val="none" w:sz="0" w:space="0" w:color="auto"/>
      </w:divBdr>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82067">
      <w:bodyDiv w:val="1"/>
      <w:marLeft w:val="0"/>
      <w:marRight w:val="0"/>
      <w:marTop w:val="0"/>
      <w:marBottom w:val="0"/>
      <w:divBdr>
        <w:top w:val="none" w:sz="0" w:space="0" w:color="auto"/>
        <w:left w:val="none" w:sz="0" w:space="0" w:color="auto"/>
        <w:bottom w:val="none" w:sz="0" w:space="0" w:color="auto"/>
        <w:right w:val="none" w:sz="0" w:space="0" w:color="auto"/>
      </w:divBdr>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48563">
      <w:bodyDiv w:val="1"/>
      <w:marLeft w:val="0"/>
      <w:marRight w:val="0"/>
      <w:marTop w:val="0"/>
      <w:marBottom w:val="0"/>
      <w:divBdr>
        <w:top w:val="none" w:sz="0" w:space="0" w:color="auto"/>
        <w:left w:val="none" w:sz="0" w:space="0" w:color="auto"/>
        <w:bottom w:val="none" w:sz="0" w:space="0" w:color="auto"/>
        <w:right w:val="none" w:sz="0" w:space="0" w:color="auto"/>
      </w:divBdr>
    </w:div>
    <w:div w:id="211007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metro.pr/noticias/2024/09/12/culpable-mayra-enid-nevarez-por-la-muerte-de-justin-sant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4SQX5P7U7WPY-958212181-795518</_dlc_DocId>
    <_dlc_DocIdUrl xmlns="c890fddd-4e87-4e08-8b51-545f2a3f7b06">
      <Url>https://senpr.sharepoint.com/sites/obralegislativa/_layouts/15/DocIdRedir.aspx?ID=4SQX5P7U7WPY-958212181-795518</Url>
      <Description>4SQX5P7U7WPY-958212181-795518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BAA462E0-D196-40F9-A068-57E4F8BD84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477C81-B903-48BA-A05A-1FCB72C2D217}">
  <ds:schemaRefs>
    <ds:schemaRef ds:uri="http://schemas.microsoft.com/sharepoint/v3/contenttype/forms"/>
  </ds:schemaRefs>
</ds:datastoreItem>
</file>

<file path=customXml/itemProps4.xml><?xml version="1.0" encoding="utf-8"?>
<ds:datastoreItem xmlns:ds="http://schemas.openxmlformats.org/officeDocument/2006/customXml" ds:itemID="{DBC677E0-AA33-4ABA-B0E9-085B0258F678}">
  <ds:schemaRefs>
    <ds:schemaRef ds:uri="http://schemas.microsoft.com/sharepoint/events"/>
  </ds:schemaRefs>
</ds:datastoreItem>
</file>

<file path=customXml/itemProps5.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4424</Words>
  <Characters>25223</Characters>
  <Application>Microsoft Office Word</Application>
  <DocSecurity>4</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Camyl Moreno Pantojas</cp:lastModifiedBy>
  <cp:revision>2</cp:revision>
  <cp:lastPrinted>2025-04-04T20:44:00Z</cp:lastPrinted>
  <dcterms:created xsi:type="dcterms:W3CDTF">2025-04-28T20:20:00Z</dcterms:created>
  <dcterms:modified xsi:type="dcterms:W3CDTF">2025-04-28T20:20:00Z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6ae9c013-38e4-4425-a8a2-5bdaee703ffb</vt:lpwstr>
  </property>
  <property fmtid="{D5CDD505-2E9C-101B-9397-08002B2CF9AE}" pid="4" name="MediaServiceImageTags">
    <vt:lpwstr/>
  </property>
</Properties>
</file>