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4A5C02" w:rsidRDefault="00FD5230" w:rsidP="00CB4BCC">
      <w:pPr>
        <w:spacing w:after="0" w:line="240" w:lineRule="auto"/>
        <w:jc w:val="center"/>
        <w:rPr>
          <w:rFonts w:ascii="Book Antiqua" w:eastAsia="Times New Roman" w:hAnsi="Book Antiqua" w:cs="Times New Roman"/>
          <w:spacing w:val="12"/>
          <w:kern w:val="0"/>
          <w:sz w:val="28"/>
          <w:szCs w:val="28"/>
          <w:lang w:val="es-ES"/>
          <w14:ligatures w14:val="none"/>
        </w:rPr>
      </w:pPr>
      <w:r w:rsidRPr="004A5C02">
        <w:rPr>
          <w:rFonts w:ascii="Book Antiqua" w:eastAsia="Times New Roman" w:hAnsi="Book Antiqua" w:cs="Times New Roman"/>
          <w:spacing w:val="12"/>
          <w:kern w:val="0"/>
          <w:sz w:val="28"/>
          <w:szCs w:val="28"/>
          <w:lang w:val="es-ES"/>
          <w14:ligatures w14:val="none"/>
        </w:rPr>
        <w:t>GOBIERNO</w:t>
      </w:r>
      <w:r w:rsidR="00CB4BCC" w:rsidRPr="004A5C02">
        <w:rPr>
          <w:rFonts w:ascii="Book Antiqua" w:eastAsia="Times New Roman" w:hAnsi="Book Antiqua" w:cs="Times New Roman"/>
          <w:spacing w:val="12"/>
          <w:kern w:val="0"/>
          <w:sz w:val="28"/>
          <w:szCs w:val="28"/>
          <w:lang w:val="es-ES"/>
          <w14:ligatures w14:val="none"/>
        </w:rPr>
        <w:t xml:space="preserve"> DE PUERTO RICO</w:t>
      </w:r>
    </w:p>
    <w:p w14:paraId="7F83C0D6" w14:textId="77777777" w:rsidR="00CB4BCC" w:rsidRPr="00322C70"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7C89D709" w14:textId="77777777" w:rsidR="00CB4BCC" w:rsidRPr="00322C70" w:rsidRDefault="00CB4BCC" w:rsidP="00CB4BCC">
      <w:pPr>
        <w:spacing w:after="0" w:line="240" w:lineRule="auto"/>
        <w:jc w:val="center"/>
        <w:rPr>
          <w:rFonts w:ascii="Book Antiqua" w:eastAsia="Times New Roman" w:hAnsi="Book Antiqua" w:cs="Times New Roman"/>
          <w:kern w:val="0"/>
          <w:szCs w:val="20"/>
          <w:lang w:val="es-ES"/>
          <w14:ligatures w14:val="none"/>
        </w:rPr>
      </w:pPr>
    </w:p>
    <w:p w14:paraId="4F0B79DE" w14:textId="30D87ED2" w:rsidR="00CB4BCC" w:rsidRPr="00322C70"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22C70">
        <w:rPr>
          <w:rFonts w:ascii="Book Antiqua" w:eastAsia="Times New Roman" w:hAnsi="Book Antiqua" w:cs="Times New Roman"/>
          <w:kern w:val="0"/>
          <w:szCs w:val="20"/>
          <w:lang w:val="es-ES"/>
          <w14:ligatures w14:val="none"/>
        </w:rPr>
        <w:t>20</w:t>
      </w:r>
      <w:r w:rsidR="00CB4BCC" w:rsidRPr="00322C70">
        <w:rPr>
          <w:rFonts w:ascii="Book Antiqua" w:eastAsia="Times New Roman" w:hAnsi="Book Antiqua" w:cs="Times New Roman"/>
          <w:kern w:val="0"/>
          <w:szCs w:val="20"/>
          <w:lang w:val="es-ES"/>
          <w14:ligatures w14:val="none"/>
        </w:rPr>
        <w:t xml:space="preserve"> </w:t>
      </w:r>
      <w:r w:rsidRPr="00322C70">
        <w:rPr>
          <w:rFonts w:ascii="Book Antiqua" w:eastAsia="Times New Roman" w:hAnsi="Book Antiqua" w:cs="Times New Roman"/>
          <w:kern w:val="0"/>
          <w:szCs w:val="20"/>
          <w:vertAlign w:val="superscript"/>
          <w:lang w:val="es-ES"/>
          <w14:ligatures w14:val="none"/>
        </w:rPr>
        <w:t>m</w:t>
      </w:r>
      <w:r w:rsidR="00CB4BCC" w:rsidRPr="00322C70">
        <w:rPr>
          <w:rFonts w:ascii="Book Antiqua" w:eastAsia="Times New Roman" w:hAnsi="Book Antiqua" w:cs="Times New Roman"/>
          <w:kern w:val="0"/>
          <w:szCs w:val="20"/>
          <w:vertAlign w:val="superscript"/>
          <w:lang w:val="es-ES"/>
          <w14:ligatures w14:val="none"/>
        </w:rPr>
        <w:t>a.</w:t>
      </w:r>
      <w:r w:rsidR="00CB4BCC" w:rsidRPr="00322C70">
        <w:rPr>
          <w:rFonts w:ascii="Book Antiqua" w:eastAsia="Times New Roman" w:hAnsi="Book Antiqua" w:cs="Times New Roman"/>
          <w:kern w:val="0"/>
          <w:szCs w:val="20"/>
          <w:lang w:val="es-ES"/>
          <w14:ligatures w14:val="none"/>
        </w:rPr>
        <w:tab/>
        <w:t>Asamblea</w:t>
      </w:r>
      <w:r w:rsidR="00CB4BCC" w:rsidRPr="00322C70">
        <w:rPr>
          <w:rFonts w:ascii="Book Antiqua" w:eastAsia="Times New Roman" w:hAnsi="Book Antiqua" w:cs="Times New Roman"/>
          <w:kern w:val="0"/>
          <w:szCs w:val="20"/>
          <w:lang w:val="es-ES"/>
          <w14:ligatures w14:val="none"/>
        </w:rPr>
        <w:tab/>
      </w:r>
      <w:r w:rsidRPr="00322C70">
        <w:rPr>
          <w:rFonts w:ascii="Book Antiqua" w:eastAsia="Times New Roman" w:hAnsi="Book Antiqua" w:cs="Times New Roman"/>
          <w:kern w:val="0"/>
          <w:szCs w:val="20"/>
          <w:lang w:val="es-ES"/>
          <w14:ligatures w14:val="none"/>
        </w:rPr>
        <w:t>1</w:t>
      </w:r>
      <w:r w:rsidRPr="00322C70">
        <w:rPr>
          <w:rFonts w:ascii="Book Antiqua" w:eastAsia="Times New Roman" w:hAnsi="Book Antiqua" w:cs="Times New Roman"/>
          <w:kern w:val="0"/>
          <w:szCs w:val="20"/>
          <w:vertAlign w:val="superscript"/>
          <w:lang w:val="es-ES"/>
          <w14:ligatures w14:val="none"/>
        </w:rPr>
        <w:t>r</w:t>
      </w:r>
      <w:r w:rsidR="00CB4BCC" w:rsidRPr="00322C70">
        <w:rPr>
          <w:rFonts w:ascii="Book Antiqua" w:eastAsia="Times New Roman" w:hAnsi="Book Antiqua" w:cs="Times New Roman"/>
          <w:kern w:val="0"/>
          <w:szCs w:val="20"/>
          <w:vertAlign w:val="superscript"/>
          <w:lang w:val="es-ES"/>
          <w14:ligatures w14:val="none"/>
        </w:rPr>
        <w:t>a.</w:t>
      </w:r>
      <w:r w:rsidR="00CB4BCC" w:rsidRPr="00322C70">
        <w:rPr>
          <w:rFonts w:ascii="Book Antiqua" w:eastAsia="Times New Roman" w:hAnsi="Book Antiqua" w:cs="Times New Roman"/>
          <w:kern w:val="0"/>
          <w:szCs w:val="20"/>
          <w:lang w:val="es-ES"/>
          <w14:ligatures w14:val="none"/>
        </w:rPr>
        <w:tab/>
        <w:t>Sesión</w:t>
      </w:r>
    </w:p>
    <w:p w14:paraId="064F0E65" w14:textId="77777777" w:rsidR="00CB4BCC" w:rsidRPr="00322C70"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lang w:val="es-ES"/>
          <w14:ligatures w14:val="none"/>
        </w:rPr>
      </w:pPr>
      <w:r w:rsidRPr="00322C70">
        <w:rPr>
          <w:rFonts w:ascii="Book Antiqua" w:eastAsia="Times New Roman" w:hAnsi="Book Antiqua" w:cs="Times New Roman"/>
          <w:kern w:val="0"/>
          <w:szCs w:val="20"/>
          <w:lang w:val="es-ES"/>
          <w14:ligatures w14:val="none"/>
        </w:rPr>
        <w:tab/>
        <w:t>Legislativa</w:t>
      </w:r>
      <w:r w:rsidRPr="00322C70">
        <w:rPr>
          <w:rFonts w:ascii="Book Antiqua" w:eastAsia="Times New Roman" w:hAnsi="Book Antiqua" w:cs="Times New Roman"/>
          <w:kern w:val="0"/>
          <w:szCs w:val="20"/>
          <w:lang w:val="es-ES"/>
          <w14:ligatures w14:val="none"/>
        </w:rPr>
        <w:tab/>
      </w:r>
      <w:r w:rsidRPr="00322C70">
        <w:rPr>
          <w:rFonts w:ascii="Book Antiqua" w:eastAsia="Times New Roman" w:hAnsi="Book Antiqua" w:cs="Times New Roman"/>
          <w:kern w:val="0"/>
          <w:szCs w:val="20"/>
          <w:lang w:val="es-ES"/>
          <w14:ligatures w14:val="none"/>
        </w:rPr>
        <w:tab/>
        <w:t>Ordinaria</w:t>
      </w:r>
    </w:p>
    <w:p w14:paraId="21E7FCE1" w14:textId="77777777" w:rsidR="00CB4BCC" w:rsidRPr="00322C70" w:rsidRDefault="00CB4BCC" w:rsidP="00CB4BCC">
      <w:pPr>
        <w:spacing w:after="0" w:line="240" w:lineRule="auto"/>
        <w:rPr>
          <w:rFonts w:ascii="Book Antiqua" w:eastAsia="Times New Roman" w:hAnsi="Book Antiqua" w:cs="Times New Roman"/>
          <w:kern w:val="0"/>
          <w:szCs w:val="20"/>
          <w:lang w:val="es-ES"/>
          <w14:ligatures w14:val="none"/>
        </w:rPr>
      </w:pPr>
    </w:p>
    <w:p w14:paraId="2CE4B615" w14:textId="77777777" w:rsidR="00101518" w:rsidRPr="00322C70" w:rsidRDefault="00101518" w:rsidP="00CB4BCC">
      <w:pPr>
        <w:spacing w:after="0" w:line="240" w:lineRule="auto"/>
        <w:rPr>
          <w:rFonts w:ascii="Book Antiqua" w:eastAsia="Times New Roman" w:hAnsi="Book Antiqua" w:cs="Times New Roman"/>
          <w:kern w:val="0"/>
          <w:szCs w:val="20"/>
          <w:lang w:val="es-ES"/>
          <w14:ligatures w14:val="none"/>
        </w:rPr>
      </w:pPr>
    </w:p>
    <w:p w14:paraId="5BDD0274" w14:textId="3D671E92" w:rsidR="00CB4BCC" w:rsidRPr="004A5C02" w:rsidRDefault="00101518" w:rsidP="00CB4BCC">
      <w:pPr>
        <w:spacing w:after="0" w:line="240" w:lineRule="auto"/>
        <w:jc w:val="center"/>
        <w:rPr>
          <w:rFonts w:ascii="Book Antiqua" w:eastAsia="Times New Roman" w:hAnsi="Book Antiqua" w:cs="Times New Roman"/>
          <w:b/>
          <w:spacing w:val="12"/>
          <w:kern w:val="0"/>
          <w:sz w:val="36"/>
          <w:szCs w:val="20"/>
          <w:lang w:val="es-ES"/>
          <w14:ligatures w14:val="none"/>
        </w:rPr>
      </w:pPr>
      <w:r w:rsidRPr="004A5C02">
        <w:rPr>
          <w:rFonts w:ascii="Book Antiqua" w:eastAsia="Times New Roman" w:hAnsi="Book Antiqua" w:cs="Times New Roman"/>
          <w:b/>
          <w:spacing w:val="12"/>
          <w:kern w:val="0"/>
          <w:sz w:val="36"/>
          <w:szCs w:val="20"/>
          <w:lang w:val="es-ES"/>
          <w14:ligatures w14:val="none"/>
        </w:rPr>
        <w:t>CÁMARA DE REPRESENTANTES</w:t>
      </w:r>
    </w:p>
    <w:p w14:paraId="48B3F741" w14:textId="77777777" w:rsidR="00CB4BCC" w:rsidRPr="00322C70" w:rsidRDefault="00CB4BCC" w:rsidP="00CB4BCC">
      <w:pPr>
        <w:spacing w:after="0" w:line="240" w:lineRule="auto"/>
        <w:jc w:val="center"/>
        <w:rPr>
          <w:rFonts w:ascii="Book Antiqua" w:eastAsia="Times New Roman" w:hAnsi="Book Antiqua" w:cs="Times New Roman"/>
          <w:b/>
          <w:kern w:val="0"/>
          <w:lang w:val="es-ES"/>
          <w14:ligatures w14:val="none"/>
        </w:rPr>
      </w:pPr>
    </w:p>
    <w:p w14:paraId="3B214DA8" w14:textId="75CA0880" w:rsidR="00CB4BCC" w:rsidRPr="00322C70" w:rsidRDefault="00CB4BCC" w:rsidP="00CB4BCC">
      <w:pPr>
        <w:spacing w:after="0" w:line="240" w:lineRule="auto"/>
        <w:jc w:val="center"/>
        <w:rPr>
          <w:rFonts w:ascii="Book Antiqua" w:eastAsia="Times New Roman" w:hAnsi="Book Antiqua" w:cs="Times New Roman"/>
          <w:b/>
          <w:kern w:val="0"/>
          <w:sz w:val="52"/>
          <w:szCs w:val="20"/>
          <w:lang w:val="es-ES"/>
          <w14:ligatures w14:val="none"/>
        </w:rPr>
      </w:pPr>
      <w:r w:rsidRPr="00322C70">
        <w:rPr>
          <w:rFonts w:ascii="Book Antiqua" w:eastAsia="Times New Roman" w:hAnsi="Book Antiqua" w:cs="Times New Roman"/>
          <w:b/>
          <w:kern w:val="0"/>
          <w:sz w:val="52"/>
          <w:szCs w:val="20"/>
          <w:lang w:val="es-ES"/>
          <w14:ligatures w14:val="none"/>
        </w:rPr>
        <w:t>P. de</w:t>
      </w:r>
      <w:r w:rsidR="00101518" w:rsidRPr="00322C70">
        <w:rPr>
          <w:rFonts w:ascii="Book Antiqua" w:eastAsia="Times New Roman" w:hAnsi="Book Antiqua" w:cs="Times New Roman"/>
          <w:b/>
          <w:kern w:val="0"/>
          <w:sz w:val="52"/>
          <w:szCs w:val="20"/>
          <w:lang w:val="es-ES"/>
          <w14:ligatures w14:val="none"/>
        </w:rPr>
        <w:t xml:space="preserve"> </w:t>
      </w:r>
      <w:r w:rsidR="00993EAF" w:rsidRPr="00322C70">
        <w:rPr>
          <w:rFonts w:ascii="Book Antiqua" w:eastAsia="Times New Roman" w:hAnsi="Book Antiqua" w:cs="Times New Roman"/>
          <w:b/>
          <w:kern w:val="0"/>
          <w:sz w:val="52"/>
          <w:szCs w:val="20"/>
          <w:lang w:val="es-ES"/>
          <w14:ligatures w14:val="none"/>
        </w:rPr>
        <w:t>l</w:t>
      </w:r>
      <w:r w:rsidR="00101518" w:rsidRPr="00322C70">
        <w:rPr>
          <w:rFonts w:ascii="Book Antiqua" w:eastAsia="Times New Roman" w:hAnsi="Book Antiqua" w:cs="Times New Roman"/>
          <w:b/>
          <w:kern w:val="0"/>
          <w:sz w:val="52"/>
          <w:szCs w:val="20"/>
          <w:lang w:val="es-ES"/>
          <w14:ligatures w14:val="none"/>
        </w:rPr>
        <w:t>a</w:t>
      </w:r>
      <w:r w:rsidR="00993EAF" w:rsidRPr="00322C70">
        <w:rPr>
          <w:rFonts w:ascii="Book Antiqua" w:eastAsia="Times New Roman" w:hAnsi="Book Antiqua" w:cs="Times New Roman"/>
          <w:b/>
          <w:kern w:val="0"/>
          <w:sz w:val="52"/>
          <w:szCs w:val="20"/>
          <w:lang w:val="es-ES"/>
          <w14:ligatures w14:val="none"/>
        </w:rPr>
        <w:t xml:space="preserve"> </w:t>
      </w:r>
      <w:r w:rsidR="00101518" w:rsidRPr="00322C70">
        <w:rPr>
          <w:rFonts w:ascii="Book Antiqua" w:eastAsia="Times New Roman" w:hAnsi="Book Antiqua" w:cs="Times New Roman"/>
          <w:b/>
          <w:kern w:val="0"/>
          <w:sz w:val="52"/>
          <w:szCs w:val="20"/>
          <w:lang w:val="es-ES"/>
          <w14:ligatures w14:val="none"/>
        </w:rPr>
        <w:t>C</w:t>
      </w:r>
      <w:r w:rsidR="00993EAF" w:rsidRPr="00322C70">
        <w:rPr>
          <w:rFonts w:ascii="Book Antiqua" w:eastAsia="Times New Roman" w:hAnsi="Book Antiqua" w:cs="Times New Roman"/>
          <w:b/>
          <w:kern w:val="0"/>
          <w:sz w:val="52"/>
          <w:szCs w:val="20"/>
          <w:lang w:val="es-ES"/>
          <w14:ligatures w14:val="none"/>
        </w:rPr>
        <w:t xml:space="preserve">. </w:t>
      </w:r>
      <w:r w:rsidR="007C0447">
        <w:rPr>
          <w:rFonts w:ascii="Book Antiqua" w:eastAsia="Times New Roman" w:hAnsi="Book Antiqua" w:cs="Times New Roman"/>
          <w:b/>
          <w:kern w:val="0"/>
          <w:sz w:val="52"/>
          <w:szCs w:val="20"/>
          <w:lang w:val="es-ES"/>
          <w14:ligatures w14:val="none"/>
        </w:rPr>
        <w:t>321</w:t>
      </w:r>
    </w:p>
    <w:p w14:paraId="5C12BC4A" w14:textId="77777777" w:rsidR="009B217F" w:rsidRDefault="009B217F" w:rsidP="00CB4BCC">
      <w:pPr>
        <w:spacing w:after="0" w:line="240" w:lineRule="auto"/>
        <w:jc w:val="center"/>
        <w:rPr>
          <w:rFonts w:ascii="Book Antiqua" w:eastAsia="Calibri" w:hAnsi="Book Antiqua" w:cs="Times New Roman"/>
          <w:b/>
          <w:bCs/>
          <w:kern w:val="0"/>
          <w:sz w:val="28"/>
          <w:szCs w:val="28"/>
          <w:lang w:val="es-ES"/>
          <w14:ligatures w14:val="none"/>
        </w:rPr>
      </w:pPr>
    </w:p>
    <w:p w14:paraId="07AD0618" w14:textId="59C4558C" w:rsidR="00CB4BCC" w:rsidRPr="004A5C02" w:rsidRDefault="009B217F" w:rsidP="00CB4BCC">
      <w:pPr>
        <w:spacing w:after="0" w:line="240" w:lineRule="auto"/>
        <w:jc w:val="center"/>
        <w:rPr>
          <w:rFonts w:ascii="Book Antiqua" w:eastAsia="Calibri" w:hAnsi="Book Antiqua" w:cs="Times New Roman"/>
          <w:b/>
          <w:bCs/>
          <w:spacing w:val="12"/>
          <w:kern w:val="0"/>
          <w:sz w:val="28"/>
          <w:szCs w:val="28"/>
          <w:lang w:val="es-ES"/>
          <w14:ligatures w14:val="none"/>
        </w:rPr>
      </w:pPr>
      <w:r w:rsidRPr="004A5C02">
        <w:rPr>
          <w:rFonts w:ascii="Book Antiqua" w:eastAsia="Calibri" w:hAnsi="Book Antiqua" w:cs="Times New Roman"/>
          <w:b/>
          <w:bCs/>
          <w:spacing w:val="12"/>
          <w:kern w:val="0"/>
          <w:sz w:val="28"/>
          <w:szCs w:val="28"/>
          <w:lang w:val="es-ES"/>
          <w14:ligatures w14:val="none"/>
        </w:rPr>
        <w:t>INFORME</w:t>
      </w:r>
    </w:p>
    <w:p w14:paraId="13CF74F4" w14:textId="77777777" w:rsidR="00CB4BCC" w:rsidRPr="00322C70" w:rsidRDefault="00CB4BCC" w:rsidP="00CB4BCC">
      <w:pPr>
        <w:spacing w:after="0" w:line="240" w:lineRule="auto"/>
        <w:jc w:val="center"/>
        <w:rPr>
          <w:rFonts w:ascii="Book Antiqua" w:eastAsia="Calibri" w:hAnsi="Book Antiqua" w:cs="Times New Roman"/>
          <w:b/>
          <w:bCs/>
          <w:kern w:val="0"/>
          <w:sz w:val="28"/>
          <w:szCs w:val="28"/>
          <w:lang w:val="es-ES"/>
          <w14:ligatures w14:val="none"/>
        </w:rPr>
      </w:pPr>
    </w:p>
    <w:p w14:paraId="18C66AE4" w14:textId="055293AE" w:rsidR="00CB4BCC" w:rsidRPr="00322C70" w:rsidRDefault="00A4724D" w:rsidP="003C2B1D">
      <w:pPr>
        <w:spacing w:after="0" w:line="240" w:lineRule="auto"/>
        <w:jc w:val="center"/>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23</w:t>
      </w:r>
      <w:r w:rsidR="00101518" w:rsidRPr="00322C70">
        <w:rPr>
          <w:rFonts w:ascii="Book Antiqua" w:eastAsia="Calibri" w:hAnsi="Book Antiqua" w:cs="Times New Roman"/>
          <w:kern w:val="0"/>
          <w:lang w:val="es-ES"/>
          <w14:ligatures w14:val="none"/>
        </w:rPr>
        <w:t xml:space="preserve"> de</w:t>
      </w:r>
      <w:r w:rsidR="006B55C5" w:rsidRPr="00322C70">
        <w:rPr>
          <w:rFonts w:ascii="Book Antiqua" w:eastAsia="Calibri" w:hAnsi="Book Antiqua" w:cs="Times New Roman"/>
          <w:kern w:val="0"/>
          <w:lang w:val="es-ES"/>
          <w14:ligatures w14:val="none"/>
        </w:rPr>
        <w:t xml:space="preserve"> </w:t>
      </w:r>
      <w:r w:rsidR="00101518" w:rsidRPr="00322C70">
        <w:rPr>
          <w:rFonts w:ascii="Book Antiqua" w:eastAsia="Calibri" w:hAnsi="Book Antiqua" w:cs="Times New Roman"/>
          <w:kern w:val="0"/>
          <w:lang w:val="es-ES"/>
          <w14:ligatures w14:val="none"/>
        </w:rPr>
        <w:t>abril</w:t>
      </w:r>
      <w:r w:rsidR="00CB4BCC" w:rsidRPr="00322C70">
        <w:rPr>
          <w:rFonts w:ascii="Book Antiqua" w:eastAsia="Calibri" w:hAnsi="Book Antiqua" w:cs="Times New Roman"/>
          <w:kern w:val="0"/>
          <w:lang w:val="es-ES"/>
          <w14:ligatures w14:val="none"/>
        </w:rPr>
        <w:t xml:space="preserve"> de 202</w:t>
      </w:r>
      <w:r w:rsidR="00101518" w:rsidRPr="00322C70">
        <w:rPr>
          <w:rFonts w:ascii="Book Antiqua" w:eastAsia="Calibri" w:hAnsi="Book Antiqua" w:cs="Times New Roman"/>
          <w:kern w:val="0"/>
          <w:lang w:val="es-ES"/>
          <w14:ligatures w14:val="none"/>
        </w:rPr>
        <w:t>5</w:t>
      </w:r>
    </w:p>
    <w:p w14:paraId="042A8F4B" w14:textId="77777777" w:rsidR="00101518" w:rsidRPr="00322C70" w:rsidRDefault="00101518" w:rsidP="00CB4BCC">
      <w:pPr>
        <w:spacing w:after="0" w:line="360" w:lineRule="auto"/>
        <w:jc w:val="center"/>
        <w:rPr>
          <w:rFonts w:ascii="Book Antiqua" w:eastAsia="Calibri" w:hAnsi="Book Antiqua" w:cs="Times New Roman"/>
          <w:b/>
          <w:bCs/>
          <w:kern w:val="0"/>
          <w:sz w:val="28"/>
          <w:szCs w:val="28"/>
          <w:lang w:val="es-ES"/>
          <w14:ligatures w14:val="none"/>
        </w:rPr>
      </w:pPr>
    </w:p>
    <w:p w14:paraId="624ADA67" w14:textId="6CA982BF" w:rsidR="000743E5" w:rsidRPr="004A5C02" w:rsidRDefault="00CB4BCC" w:rsidP="00CB4BCC">
      <w:pPr>
        <w:spacing w:after="0" w:line="360" w:lineRule="auto"/>
        <w:jc w:val="both"/>
        <w:rPr>
          <w:rFonts w:ascii="Book Antiqua" w:eastAsia="Calibri" w:hAnsi="Book Antiqua" w:cs="Times New Roman"/>
          <w:b/>
          <w:bCs/>
          <w:spacing w:val="12"/>
          <w:kern w:val="0"/>
          <w:lang w:val="es-ES"/>
          <w14:ligatures w14:val="none"/>
        </w:rPr>
      </w:pPr>
      <w:r w:rsidRPr="004A5C02">
        <w:rPr>
          <w:rFonts w:ascii="Book Antiqua" w:eastAsia="Calibri" w:hAnsi="Book Antiqua" w:cs="Times New Roman"/>
          <w:b/>
          <w:bCs/>
          <w:spacing w:val="12"/>
          <w:kern w:val="0"/>
          <w:lang w:val="es-ES"/>
          <w14:ligatures w14:val="none"/>
        </w:rPr>
        <w:t>A</w:t>
      </w:r>
      <w:r w:rsidR="00101518" w:rsidRPr="004A5C02">
        <w:rPr>
          <w:rFonts w:ascii="Book Antiqua" w:eastAsia="Calibri" w:hAnsi="Book Antiqua" w:cs="Times New Roman"/>
          <w:b/>
          <w:bCs/>
          <w:spacing w:val="12"/>
          <w:kern w:val="0"/>
          <w:lang w:val="es-ES"/>
          <w14:ligatures w14:val="none"/>
        </w:rPr>
        <w:t xml:space="preserve"> </w:t>
      </w:r>
      <w:r w:rsidRPr="004A5C02">
        <w:rPr>
          <w:rFonts w:ascii="Book Antiqua" w:eastAsia="Calibri" w:hAnsi="Book Antiqua" w:cs="Times New Roman"/>
          <w:b/>
          <w:bCs/>
          <w:spacing w:val="12"/>
          <w:kern w:val="0"/>
          <w:lang w:val="es-ES"/>
          <w14:ligatures w14:val="none"/>
        </w:rPr>
        <w:t>L</w:t>
      </w:r>
      <w:r w:rsidR="00101518" w:rsidRPr="004A5C02">
        <w:rPr>
          <w:rFonts w:ascii="Book Antiqua" w:eastAsia="Calibri" w:hAnsi="Book Antiqua" w:cs="Times New Roman"/>
          <w:b/>
          <w:bCs/>
          <w:spacing w:val="12"/>
          <w:kern w:val="0"/>
          <w:lang w:val="es-ES"/>
          <w14:ligatures w14:val="none"/>
        </w:rPr>
        <w:t xml:space="preserve">A CÁMARA DE REPRESENTANTES </w:t>
      </w:r>
      <w:r w:rsidRPr="004A5C02">
        <w:rPr>
          <w:rFonts w:ascii="Book Antiqua" w:eastAsia="Calibri" w:hAnsi="Book Antiqua" w:cs="Times New Roman"/>
          <w:b/>
          <w:bCs/>
          <w:spacing w:val="12"/>
          <w:kern w:val="0"/>
          <w:lang w:val="es-ES"/>
          <w14:ligatures w14:val="none"/>
        </w:rPr>
        <w:t>DE PUERTO RICO:</w:t>
      </w:r>
    </w:p>
    <w:p w14:paraId="063281EC" w14:textId="021B6583" w:rsidR="00CB4BCC" w:rsidRDefault="006C3629" w:rsidP="004A5C02">
      <w:pPr>
        <w:spacing w:after="0" w:line="298" w:lineRule="auto"/>
        <w:ind w:firstLine="706"/>
        <w:jc w:val="both"/>
        <w:rPr>
          <w:rFonts w:ascii="Book Antiqua" w:eastAsia="Calibri" w:hAnsi="Book Antiqua" w:cs="Times New Roman"/>
          <w:kern w:val="0"/>
          <w:lang w:val="es-ES"/>
          <w14:ligatures w14:val="none"/>
        </w:rPr>
      </w:pPr>
      <w:r>
        <w:rPr>
          <w:rFonts w:ascii="Book Antiqua" w:eastAsia="Calibri" w:hAnsi="Book Antiqua" w:cs="Times New Roman"/>
          <w:kern w:val="0"/>
          <w:lang w:val="es-ES"/>
          <w14:ligatures w14:val="none"/>
        </w:rPr>
        <w:t>P</w:t>
      </w:r>
      <w:r w:rsidR="00CB4BCC" w:rsidRPr="00322C70">
        <w:rPr>
          <w:rFonts w:ascii="Book Antiqua" w:eastAsia="Calibri" w:hAnsi="Book Antiqua" w:cs="Times New Roman"/>
          <w:kern w:val="0"/>
          <w:lang w:val="es-ES"/>
          <w14:ligatures w14:val="none"/>
        </w:rPr>
        <w:t>revi</w:t>
      </w:r>
      <w:r w:rsidR="00B41268" w:rsidRPr="00322C70">
        <w:rPr>
          <w:rFonts w:ascii="Book Antiqua" w:eastAsia="Calibri" w:hAnsi="Book Antiqua" w:cs="Times New Roman"/>
          <w:kern w:val="0"/>
          <w:lang w:val="es-ES"/>
          <w14:ligatures w14:val="none"/>
        </w:rPr>
        <w:t>a</w:t>
      </w:r>
      <w:r w:rsidR="00CB4BCC" w:rsidRPr="00322C70">
        <w:rPr>
          <w:rFonts w:ascii="Book Antiqua" w:eastAsia="Calibri" w:hAnsi="Book Antiqua" w:cs="Times New Roman"/>
          <w:kern w:val="0"/>
          <w:lang w:val="es-ES"/>
          <w14:ligatures w14:val="none"/>
        </w:rPr>
        <w:t xml:space="preserve"> consideración y evaluación</w:t>
      </w:r>
      <w:r w:rsidR="00CC270A" w:rsidRPr="00322C70">
        <w:rPr>
          <w:rFonts w:ascii="Book Antiqua" w:eastAsia="Calibri" w:hAnsi="Book Antiqua" w:cs="Times New Roman"/>
          <w:kern w:val="0"/>
          <w:lang w:val="es-ES"/>
          <w14:ligatures w14:val="none"/>
        </w:rPr>
        <w:t xml:space="preserve"> del Proyecto de la Cámara </w:t>
      </w:r>
      <w:r w:rsidR="007C0447">
        <w:rPr>
          <w:rFonts w:ascii="Book Antiqua" w:eastAsia="Calibri" w:hAnsi="Book Antiqua" w:cs="Times New Roman"/>
          <w:kern w:val="0"/>
          <w:lang w:val="es-ES"/>
          <w14:ligatures w14:val="none"/>
        </w:rPr>
        <w:t>321</w:t>
      </w:r>
      <w:r w:rsidR="00CB4BCC" w:rsidRPr="00322C70">
        <w:rPr>
          <w:rFonts w:ascii="Book Antiqua" w:eastAsia="Calibri" w:hAnsi="Book Antiqua" w:cs="Times New Roman"/>
          <w:kern w:val="0"/>
          <w:lang w:val="es-ES"/>
          <w14:ligatures w14:val="none"/>
        </w:rPr>
        <w:t xml:space="preserve">, </w:t>
      </w:r>
      <w:r>
        <w:rPr>
          <w:rFonts w:ascii="Book Antiqua" w:eastAsia="Calibri" w:hAnsi="Book Antiqua" w:cs="Times New Roman"/>
          <w:kern w:val="0"/>
          <w:lang w:val="es-ES"/>
          <w14:ligatures w14:val="none"/>
        </w:rPr>
        <w:t>l</w:t>
      </w:r>
      <w:r w:rsidRPr="00322C70">
        <w:rPr>
          <w:rFonts w:ascii="Book Antiqua" w:eastAsia="Calibri" w:hAnsi="Book Antiqua" w:cs="Times New Roman"/>
          <w:kern w:val="0"/>
          <w:lang w:val="es-ES"/>
          <w14:ligatures w14:val="none"/>
        </w:rPr>
        <w:t xml:space="preserve">a Comisión de lo Jurídico de la Cámara de Representantes de Puerto Rico </w:t>
      </w:r>
      <w:r w:rsidR="00CB4BCC" w:rsidRPr="00322C70">
        <w:rPr>
          <w:rFonts w:ascii="Book Antiqua" w:eastAsia="Calibri" w:hAnsi="Book Antiqua" w:cs="Times New Roman"/>
          <w:kern w:val="0"/>
          <w:lang w:val="es-ES"/>
          <w14:ligatures w14:val="none"/>
        </w:rPr>
        <w:t xml:space="preserve">recomienda </w:t>
      </w:r>
      <w:r w:rsidR="00CC270A" w:rsidRPr="00322C70">
        <w:rPr>
          <w:rFonts w:ascii="Book Antiqua" w:eastAsia="Calibri" w:hAnsi="Book Antiqua" w:cs="Times New Roman"/>
          <w:kern w:val="0"/>
          <w:lang w:val="es-ES"/>
          <w14:ligatures w14:val="none"/>
        </w:rPr>
        <w:t>su</w:t>
      </w:r>
      <w:r w:rsidR="00CB4BCC" w:rsidRPr="00322C70">
        <w:rPr>
          <w:rFonts w:ascii="Book Antiqua" w:eastAsia="Calibri" w:hAnsi="Book Antiqua" w:cs="Times New Roman"/>
          <w:kern w:val="0"/>
          <w:lang w:val="es-ES"/>
          <w14:ligatures w14:val="none"/>
        </w:rPr>
        <w:t xml:space="preserve"> aprobación</w:t>
      </w:r>
      <w:r w:rsidR="00CB4BCC" w:rsidRPr="00322C70">
        <w:rPr>
          <w:rFonts w:ascii="Book Antiqua" w:eastAsia="Calibri" w:hAnsi="Book Antiqua" w:cs="Times New Roman"/>
          <w:b/>
          <w:bCs/>
          <w:i/>
          <w:iCs/>
          <w:kern w:val="0"/>
          <w:lang w:val="es-ES"/>
          <w14:ligatures w14:val="none"/>
        </w:rPr>
        <w:t xml:space="preserve"> </w:t>
      </w:r>
      <w:r w:rsidR="000177B6" w:rsidRPr="00322C70">
        <w:rPr>
          <w:rFonts w:ascii="Book Antiqua" w:eastAsia="Calibri" w:hAnsi="Book Antiqua" w:cs="Times New Roman"/>
          <w:kern w:val="0"/>
          <w:lang w:val="es-ES"/>
          <w14:ligatures w14:val="none"/>
        </w:rPr>
        <w:t>con las enmiendas incluidas en el entirillado electrónico que acompaña</w:t>
      </w:r>
      <w:r w:rsidR="00B41268" w:rsidRPr="00322C70">
        <w:rPr>
          <w:rFonts w:ascii="Book Antiqua" w:eastAsia="Calibri" w:hAnsi="Book Antiqua" w:cs="Times New Roman"/>
          <w:kern w:val="0"/>
          <w:lang w:val="es-ES"/>
          <w14:ligatures w14:val="none"/>
        </w:rPr>
        <w:t xml:space="preserve"> a este informe y que se hace formar parte </w:t>
      </w:r>
      <w:r w:rsidR="00B95B73" w:rsidRPr="00322C70">
        <w:rPr>
          <w:rFonts w:ascii="Book Antiqua" w:eastAsia="Calibri" w:hAnsi="Book Antiqua" w:cs="Times New Roman"/>
          <w:kern w:val="0"/>
          <w:lang w:val="es-ES"/>
          <w14:ligatures w14:val="none"/>
        </w:rPr>
        <w:t>de este</w:t>
      </w:r>
      <w:r w:rsidR="000177B6" w:rsidRPr="00322C70">
        <w:rPr>
          <w:rFonts w:ascii="Book Antiqua" w:eastAsia="Calibri" w:hAnsi="Book Antiqua" w:cs="Times New Roman"/>
          <w:kern w:val="0"/>
          <w:lang w:val="es-ES"/>
          <w14:ligatures w14:val="none"/>
        </w:rPr>
        <w:t>.</w:t>
      </w:r>
    </w:p>
    <w:p w14:paraId="68CA0140" w14:textId="77777777" w:rsidR="00E242D8" w:rsidRPr="00322C70" w:rsidRDefault="00E242D8" w:rsidP="004A5C02">
      <w:pPr>
        <w:spacing w:after="0" w:line="298" w:lineRule="auto"/>
        <w:ind w:firstLine="706"/>
        <w:jc w:val="both"/>
        <w:rPr>
          <w:rFonts w:ascii="Book Antiqua" w:eastAsia="Calibri" w:hAnsi="Book Antiqua" w:cs="Times New Roman"/>
          <w:kern w:val="0"/>
          <w:lang w:val="es-ES"/>
          <w14:ligatures w14:val="none"/>
        </w:rPr>
      </w:pPr>
    </w:p>
    <w:p w14:paraId="083C6F99" w14:textId="688F937E" w:rsidR="00D93876" w:rsidRPr="004A5C02" w:rsidRDefault="00CB4BCC" w:rsidP="001A261F">
      <w:pPr>
        <w:spacing w:after="0" w:line="360" w:lineRule="auto"/>
        <w:jc w:val="center"/>
        <w:rPr>
          <w:rFonts w:ascii="Book Antiqua" w:eastAsia="Calibri" w:hAnsi="Book Antiqua" w:cs="Times New Roman"/>
          <w:b/>
          <w:bCs/>
          <w:spacing w:val="12"/>
          <w:kern w:val="0"/>
          <w:lang w:val="es-ES"/>
          <w14:ligatures w14:val="none"/>
        </w:rPr>
      </w:pPr>
      <w:r w:rsidRPr="004A5C02">
        <w:rPr>
          <w:rFonts w:ascii="Book Antiqua" w:eastAsia="Calibri" w:hAnsi="Book Antiqua" w:cs="Times New Roman"/>
          <w:b/>
          <w:bCs/>
          <w:spacing w:val="12"/>
          <w:kern w:val="0"/>
          <w:lang w:val="es-ES"/>
          <w14:ligatures w14:val="none"/>
        </w:rPr>
        <w:t>ALCANCE DE LA MEDIDA</w:t>
      </w:r>
    </w:p>
    <w:p w14:paraId="363E029D" w14:textId="72D317C1" w:rsidR="000C18F3" w:rsidRDefault="00D93876" w:rsidP="006C3629">
      <w:pPr>
        <w:spacing w:after="0" w:line="298" w:lineRule="auto"/>
        <w:ind w:firstLine="706"/>
        <w:jc w:val="both"/>
        <w:rPr>
          <w:rFonts w:ascii="Book Antiqua" w:hAnsi="Book Antiqua"/>
          <w:shd w:val="clear" w:color="auto" w:fill="FFFFFF"/>
        </w:rPr>
      </w:pPr>
      <w:r w:rsidRPr="00322C70">
        <w:rPr>
          <w:rFonts w:ascii="Book Antiqua" w:eastAsia="Times New Roman" w:hAnsi="Book Antiqua" w:cs="Arial"/>
          <w:kern w:val="0"/>
          <w:lang w:val="es-ES"/>
          <w14:ligatures w14:val="none"/>
        </w:rPr>
        <w:t xml:space="preserve">El P. de la C. </w:t>
      </w:r>
      <w:r w:rsidR="007C0447">
        <w:rPr>
          <w:rFonts w:ascii="Book Antiqua" w:eastAsia="Times New Roman" w:hAnsi="Book Antiqua" w:cs="Arial"/>
          <w:kern w:val="0"/>
          <w:lang w:val="es-ES"/>
          <w14:ligatures w14:val="none"/>
        </w:rPr>
        <w:t>321</w:t>
      </w:r>
      <w:r w:rsidRPr="00322C70">
        <w:rPr>
          <w:rFonts w:ascii="Book Antiqua" w:eastAsia="Times New Roman" w:hAnsi="Book Antiqua" w:cs="Arial"/>
          <w:kern w:val="0"/>
          <w:lang w:val="es-ES"/>
          <w14:ligatures w14:val="none"/>
        </w:rPr>
        <w:t xml:space="preserve">, </w:t>
      </w:r>
      <w:r w:rsidRPr="00982CB0">
        <w:rPr>
          <w:rFonts w:ascii="Book Antiqua" w:eastAsia="Times New Roman" w:hAnsi="Book Antiqua" w:cs="Arial"/>
          <w:kern w:val="0"/>
          <w:lang w:val="es-ES"/>
          <w14:ligatures w14:val="none"/>
        </w:rPr>
        <w:t xml:space="preserve">propone enmendar </w:t>
      </w:r>
      <w:r w:rsidRPr="00982CB0">
        <w:rPr>
          <w:rFonts w:ascii="Book Antiqua" w:hAnsi="Book Antiqua"/>
          <w:color w:val="000000"/>
          <w:lang w:val="es-ES"/>
        </w:rPr>
        <w:t xml:space="preserve">la </w:t>
      </w:r>
      <w:r w:rsidR="007C0447" w:rsidRPr="00982CB0">
        <w:rPr>
          <w:rFonts w:ascii="Book Antiqua" w:hAnsi="Book Antiqua"/>
          <w:lang w:val="es-ES"/>
        </w:rPr>
        <w:t>Ley de Sentencia Suspendida y Libertad a Prueba</w:t>
      </w:r>
      <w:r w:rsidRPr="00982CB0">
        <w:rPr>
          <w:rFonts w:ascii="Book Antiqua" w:hAnsi="Book Antiqua"/>
          <w:color w:val="000000"/>
          <w:lang w:val="es-ES"/>
        </w:rPr>
        <w:t>, con el propósito de</w:t>
      </w:r>
      <w:r w:rsidR="007C0447" w:rsidRPr="00982CB0">
        <w:rPr>
          <w:rFonts w:ascii="Book Antiqua" w:hAnsi="Book Antiqua"/>
          <w:lang w:val="es-ES"/>
        </w:rPr>
        <w:t xml:space="preserve"> imponer sentencia de reclusión en todo caso de delito grave </w:t>
      </w:r>
      <w:r w:rsidR="003A543A">
        <w:rPr>
          <w:rFonts w:ascii="Book Antiqua" w:hAnsi="Book Antiqua"/>
          <w:lang w:val="es-ES"/>
        </w:rPr>
        <w:t>o</w:t>
      </w:r>
      <w:r w:rsidR="007C0447" w:rsidRPr="00982CB0">
        <w:rPr>
          <w:rFonts w:ascii="Book Antiqua" w:hAnsi="Book Antiqua"/>
          <w:lang w:val="es-ES"/>
        </w:rPr>
        <w:t xml:space="preserve"> menos grave que surja de los mismos hechos o de la misma transacción en la que una persona sea convicta de c</w:t>
      </w:r>
      <w:r w:rsidR="007C0447" w:rsidRPr="00982CB0">
        <w:rPr>
          <w:rFonts w:ascii="Book Antiqua" w:hAnsi="Book Antiqua"/>
          <w:color w:val="000000"/>
          <w:lang w:val="es-ES"/>
        </w:rPr>
        <w:t>onducir un vehículo, vehículo de motor o vehículo todo terreno</w:t>
      </w:r>
      <w:r w:rsidR="003A543A">
        <w:rPr>
          <w:rFonts w:ascii="Book Antiqua" w:hAnsi="Book Antiqua"/>
          <w:color w:val="000000"/>
          <w:lang w:val="es-ES"/>
        </w:rPr>
        <w:t>,</w:t>
      </w:r>
      <w:r w:rsidR="007C0447" w:rsidRPr="00982CB0">
        <w:rPr>
          <w:rFonts w:ascii="Book Antiqua" w:hAnsi="Book Antiqua"/>
          <w:color w:val="000000"/>
          <w:lang w:val="es-ES"/>
        </w:rPr>
        <w:t xml:space="preserve"> bajo los efectos de bebidas embriagantes, drogas o sustancias controladas.</w:t>
      </w:r>
      <w:r w:rsidR="000C18F3">
        <w:rPr>
          <w:rFonts w:ascii="Book Antiqua" w:hAnsi="Book Antiqua"/>
          <w:color w:val="000000"/>
          <w:lang w:val="es-ES"/>
        </w:rPr>
        <w:t xml:space="preserve">  Ello, con el fin urgente de “</w:t>
      </w:r>
      <w:r w:rsidR="000C18F3" w:rsidRPr="00206AF8">
        <w:rPr>
          <w:rFonts w:ascii="Book Antiqua" w:hAnsi="Book Antiqua"/>
          <w:shd w:val="clear" w:color="auto" w:fill="FFFFFF"/>
        </w:rPr>
        <w:t>fortalecer las leyes y medidas de prevención contra la conducción en estado de embriaguez, un problema que continúa cobrando vidas inocentes en nuestras carreteras y deja un profundo impacto en la sociedad puertorriqueña y asegurar que tragedias como esta no se repitan</w:t>
      </w:r>
      <w:r w:rsidR="000C18F3">
        <w:rPr>
          <w:rFonts w:ascii="Book Antiqua" w:hAnsi="Book Antiqua"/>
          <w:shd w:val="clear" w:color="auto" w:fill="FFFFFF"/>
        </w:rPr>
        <w:t>”.</w:t>
      </w:r>
      <w:r w:rsidR="000C18F3">
        <w:rPr>
          <w:rStyle w:val="FootnoteReference"/>
          <w:rFonts w:ascii="Book Antiqua" w:hAnsi="Book Antiqua"/>
          <w:shd w:val="clear" w:color="auto" w:fill="FFFFFF"/>
        </w:rPr>
        <w:footnoteReference w:id="1"/>
      </w:r>
    </w:p>
    <w:p w14:paraId="26D450E9" w14:textId="77777777" w:rsidR="00E242D8" w:rsidRDefault="00E242D8" w:rsidP="006C3629">
      <w:pPr>
        <w:spacing w:after="0" w:line="298" w:lineRule="auto"/>
        <w:ind w:firstLine="706"/>
        <w:jc w:val="both"/>
        <w:rPr>
          <w:rFonts w:ascii="Book Antiqua" w:hAnsi="Book Antiqua"/>
          <w:color w:val="000000"/>
          <w:lang w:val="es-ES"/>
        </w:rPr>
      </w:pPr>
    </w:p>
    <w:p w14:paraId="6D1919F2" w14:textId="77777777" w:rsidR="00EA2870" w:rsidRPr="00322C70" w:rsidRDefault="00EA2870" w:rsidP="00EA2870">
      <w:pPr>
        <w:spacing w:after="0" w:line="360" w:lineRule="auto"/>
        <w:jc w:val="center"/>
        <w:rPr>
          <w:rFonts w:ascii="Book Antiqua" w:eastAsia="Times New Roman" w:hAnsi="Book Antiqua" w:cs="Times New Roman"/>
          <w:b/>
          <w:bCs/>
          <w:kern w:val="0"/>
          <w:lang w:val="es-ES"/>
          <w14:ligatures w14:val="none"/>
        </w:rPr>
      </w:pPr>
    </w:p>
    <w:p w14:paraId="3B23F142" w14:textId="05C5E3C6" w:rsidR="00EA2870" w:rsidRPr="006C3629" w:rsidRDefault="003067F4" w:rsidP="001A1EDF">
      <w:pPr>
        <w:spacing w:after="0" w:line="240" w:lineRule="auto"/>
        <w:jc w:val="center"/>
        <w:rPr>
          <w:rFonts w:ascii="Book Antiqua" w:eastAsia="Times New Roman" w:hAnsi="Book Antiqua" w:cs="Times New Roman"/>
          <w:b/>
          <w:bCs/>
          <w:spacing w:val="12"/>
          <w:kern w:val="0"/>
          <w:lang w:val="es-ES"/>
          <w14:ligatures w14:val="none"/>
        </w:rPr>
      </w:pPr>
      <w:r w:rsidRPr="006C3629">
        <w:rPr>
          <w:rFonts w:ascii="Book Antiqua" w:eastAsia="Times New Roman" w:hAnsi="Book Antiqua" w:cs="Times New Roman"/>
          <w:b/>
          <w:bCs/>
          <w:spacing w:val="12"/>
          <w:kern w:val="0"/>
          <w:lang w:val="es-ES"/>
          <w14:ligatures w14:val="none"/>
        </w:rPr>
        <w:lastRenderedPageBreak/>
        <w:t>TRASFONDO</w:t>
      </w:r>
    </w:p>
    <w:p w14:paraId="423CFF2C" w14:textId="77777777" w:rsidR="001A1EDF" w:rsidRDefault="001A1EDF" w:rsidP="001A1EDF">
      <w:pPr>
        <w:pStyle w:val="NormalWeb"/>
        <w:spacing w:before="0" w:beforeAutospacing="0" w:after="0" w:afterAutospacing="0"/>
        <w:ind w:left="720" w:right="720" w:firstLine="720"/>
        <w:jc w:val="both"/>
        <w:rPr>
          <w:rFonts w:ascii="Book Antiqua" w:hAnsi="Book Antiqua"/>
        </w:rPr>
      </w:pPr>
    </w:p>
    <w:p w14:paraId="06B87CF1" w14:textId="54A3C942" w:rsidR="009266CF" w:rsidRDefault="001A1EDF" w:rsidP="001A1EDF">
      <w:pPr>
        <w:pStyle w:val="NormalWeb"/>
        <w:spacing w:before="0" w:beforeAutospacing="0" w:after="0" w:afterAutospacing="0"/>
        <w:ind w:left="720" w:right="720" w:firstLine="720"/>
        <w:jc w:val="both"/>
        <w:rPr>
          <w:rFonts w:ascii="Book Antiqua" w:hAnsi="Book Antiqua"/>
        </w:rPr>
      </w:pPr>
      <w:r>
        <w:rPr>
          <w:rFonts w:ascii="Book Antiqua" w:hAnsi="Book Antiqua"/>
        </w:rPr>
        <w:t>S</w:t>
      </w:r>
      <w:r w:rsidRPr="001A1EDF">
        <w:rPr>
          <w:rFonts w:ascii="Book Antiqua" w:hAnsi="Book Antiqua"/>
        </w:rPr>
        <w:t xml:space="preserve">egún la </w:t>
      </w:r>
      <w:r w:rsidRPr="005B1E02">
        <w:rPr>
          <w:rFonts w:ascii="Book Antiqua" w:hAnsi="Book Antiqua"/>
          <w:i/>
          <w:iCs/>
        </w:rPr>
        <w:t>National Highway Traffic Safety Administration</w:t>
      </w:r>
      <w:r w:rsidRPr="001A1EDF">
        <w:rPr>
          <w:rFonts w:ascii="Book Antiqua" w:hAnsi="Book Antiqua"/>
        </w:rPr>
        <w:t xml:space="preserve"> (NHTSA) en la sección de reportes y análisis de fatalidades (FARS, por sus siglas en inglés), en Puerto Rico para el año 2011, hubo 116 fatalidades relacionadas al alcohol, lo cual representa un aumento de un cincuenta y tres por ciento (53%) relacionados al año 2020. Nótese que el ochenta y nueve por ciento (89%) de estas fatalidades tuvo un índice de alcohol de .08% o mas. Por su parte, la información que se tiene sobre el año 2022 establece que hubo setenta y cinco (75) fatalidades las cuales estaban relacionadas a las bebidas embriagantes, de las cuales el noventa y un por ciento (91%) de estas obtuvieron un índice de alcohol correspondiente a .08% o más. Según datos provistos por el módulo estadístico de la Unidad de Procesamiento de Conductores Ebrios del Departamento de Justicia, para el año 2023, se consultaron 4,594 querellas de embriaguez, mientras que para el año 2024 la consulta de querellas corresponde a 3,645.</w:t>
      </w:r>
      <w:r w:rsidR="005B1E02">
        <w:rPr>
          <w:rStyle w:val="FootnoteReference"/>
          <w:rFonts w:ascii="Book Antiqua" w:hAnsi="Book Antiqua"/>
        </w:rPr>
        <w:footnoteReference w:id="2"/>
      </w:r>
      <w:r w:rsidRPr="001A1EDF">
        <w:rPr>
          <w:rFonts w:ascii="Book Antiqua" w:hAnsi="Book Antiqua"/>
        </w:rPr>
        <w:t xml:space="preserve"> </w:t>
      </w:r>
    </w:p>
    <w:p w14:paraId="1E469E8B" w14:textId="77777777" w:rsidR="001A1EDF" w:rsidRPr="001A1EDF" w:rsidRDefault="001A1EDF" w:rsidP="001A1EDF">
      <w:pPr>
        <w:pStyle w:val="NormalWeb"/>
        <w:spacing w:before="0" w:beforeAutospacing="0" w:after="0" w:afterAutospacing="0"/>
        <w:ind w:left="720" w:right="720" w:firstLine="720"/>
        <w:jc w:val="both"/>
        <w:rPr>
          <w:rFonts w:ascii="Book Antiqua" w:hAnsi="Book Antiqua"/>
        </w:rPr>
      </w:pPr>
    </w:p>
    <w:p w14:paraId="2264CF9D" w14:textId="1FE74C08" w:rsidR="004E1D46" w:rsidRDefault="00FF303C" w:rsidP="00E242D8">
      <w:pPr>
        <w:spacing w:after="240" w:line="298" w:lineRule="auto"/>
        <w:ind w:firstLine="706"/>
        <w:jc w:val="both"/>
        <w:rPr>
          <w:rFonts w:ascii="Book Antiqua" w:hAnsi="Book Antiqua"/>
          <w:color w:val="333333"/>
          <w:shd w:val="clear" w:color="auto" w:fill="FFFFFF"/>
        </w:rPr>
      </w:pPr>
      <w:r>
        <w:rPr>
          <w:rFonts w:ascii="Book Antiqua" w:eastAsia="Times New Roman" w:hAnsi="Book Antiqua" w:cs="Times New Roman"/>
          <w:kern w:val="0"/>
          <w:lang w:val="es-ES"/>
          <w14:ligatures w14:val="none"/>
        </w:rPr>
        <w:t xml:space="preserve">A tenor con lo expresado en la Exposición de Motivos de la medida de autos, esta se presenta </w:t>
      </w:r>
      <w:r w:rsidRPr="00206AF8">
        <w:rPr>
          <w:rFonts w:ascii="Book Antiqua" w:hAnsi="Book Antiqua"/>
          <w:shd w:val="clear" w:color="auto" w:fill="FFFFFF"/>
        </w:rPr>
        <w:t>en defensa de personas</w:t>
      </w:r>
      <w:r>
        <w:rPr>
          <w:rFonts w:ascii="Book Antiqua" w:hAnsi="Book Antiqua"/>
          <w:shd w:val="clear" w:color="auto" w:fill="FFFFFF"/>
        </w:rPr>
        <w:t xml:space="preserve"> que perdieron la vida al haber sido impactadas por vehículos conducidos por personas</w:t>
      </w:r>
      <w:r w:rsidRPr="00206AF8">
        <w:rPr>
          <w:rFonts w:ascii="Book Antiqua" w:hAnsi="Book Antiqua"/>
          <w:shd w:val="clear" w:color="auto" w:fill="FFFFFF"/>
        </w:rPr>
        <w:t xml:space="preserve"> </w:t>
      </w:r>
      <w:r w:rsidRPr="00982CB0">
        <w:rPr>
          <w:rFonts w:ascii="Book Antiqua" w:hAnsi="Book Antiqua"/>
          <w:color w:val="000000"/>
          <w:lang w:val="es-ES"/>
        </w:rPr>
        <w:t>bajo los efectos de bebidas embriagantes, drogas o sustancias controladas</w:t>
      </w:r>
      <w:r>
        <w:rPr>
          <w:rFonts w:ascii="Book Antiqua" w:hAnsi="Book Antiqua"/>
          <w:color w:val="000000"/>
          <w:lang w:val="es-ES"/>
        </w:rPr>
        <w:t>, que no recibieron pen</w:t>
      </w:r>
      <w:r w:rsidRPr="004E1D46">
        <w:rPr>
          <w:rFonts w:ascii="Book Antiqua" w:hAnsi="Book Antiqua"/>
          <w:color w:val="000000"/>
          <w:lang w:val="es-ES"/>
        </w:rPr>
        <w:t xml:space="preserve">a de reclusión tras haber sido juzgados y declarados culpables. </w:t>
      </w:r>
      <w:r w:rsidR="000F7BDE">
        <w:rPr>
          <w:rFonts w:ascii="Book Antiqua" w:hAnsi="Book Antiqua"/>
          <w:color w:val="000000"/>
          <w:lang w:val="es-ES"/>
        </w:rPr>
        <w:t>S</w:t>
      </w:r>
      <w:r w:rsidRPr="004E1D46">
        <w:rPr>
          <w:rFonts w:ascii="Book Antiqua" w:hAnsi="Book Antiqua"/>
          <w:color w:val="000000"/>
          <w:lang w:val="es-ES"/>
        </w:rPr>
        <w:t xml:space="preserve">e mencionan en la exposición </w:t>
      </w:r>
      <w:r w:rsidRPr="004E1D46">
        <w:rPr>
          <w:rFonts w:ascii="Book Antiqua" w:hAnsi="Book Antiqua"/>
          <w:shd w:val="clear" w:color="auto" w:fill="FFFFFF"/>
        </w:rPr>
        <w:t>los casos de Justin Rafael Santos</w:t>
      </w:r>
      <w:r w:rsidR="004E1D46" w:rsidRPr="004E1D46">
        <w:rPr>
          <w:rFonts w:ascii="Book Antiqua" w:hAnsi="Book Antiqua"/>
          <w:shd w:val="clear" w:color="auto" w:fill="FFFFFF"/>
        </w:rPr>
        <w:t xml:space="preserve"> (21 años)</w:t>
      </w:r>
      <w:r w:rsidRPr="004E1D46">
        <w:rPr>
          <w:rFonts w:ascii="Book Antiqua" w:hAnsi="Book Antiqua"/>
          <w:shd w:val="clear" w:color="auto" w:fill="FFFFFF"/>
        </w:rPr>
        <w:t xml:space="preserve"> y las hermanas Esther Raquel</w:t>
      </w:r>
      <w:r w:rsidR="004E1D46" w:rsidRPr="004E1D46">
        <w:rPr>
          <w:rFonts w:ascii="Book Antiqua" w:hAnsi="Book Antiqua"/>
          <w:shd w:val="clear" w:color="auto" w:fill="FFFFFF"/>
        </w:rPr>
        <w:t xml:space="preserve"> (23 años, madre de una niña de tres años y con seis meses de embarazo)</w:t>
      </w:r>
      <w:r w:rsidRPr="004E1D46">
        <w:rPr>
          <w:rFonts w:ascii="Book Antiqua" w:hAnsi="Book Antiqua"/>
          <w:shd w:val="clear" w:color="auto" w:fill="FFFFFF"/>
        </w:rPr>
        <w:t xml:space="preserve"> y Eunice Raquel García Vázquez</w:t>
      </w:r>
      <w:r w:rsidR="004E1D46" w:rsidRPr="004E1D46">
        <w:rPr>
          <w:rFonts w:ascii="Book Antiqua" w:hAnsi="Book Antiqua"/>
          <w:shd w:val="clear" w:color="auto" w:fill="FFFFFF"/>
        </w:rPr>
        <w:t xml:space="preserve"> (19 años)</w:t>
      </w:r>
      <w:r w:rsidRPr="004E1D46">
        <w:rPr>
          <w:rFonts w:ascii="Book Antiqua" w:hAnsi="Book Antiqua"/>
          <w:shd w:val="clear" w:color="auto" w:fill="FFFFFF"/>
        </w:rPr>
        <w:t xml:space="preserve">, tres </w:t>
      </w:r>
      <w:r w:rsidR="004E1D46" w:rsidRPr="004E1D46">
        <w:rPr>
          <w:rFonts w:ascii="Book Antiqua" w:hAnsi="Book Antiqua"/>
          <w:shd w:val="clear" w:color="auto" w:fill="FFFFFF"/>
        </w:rPr>
        <w:t xml:space="preserve">jóvenes </w:t>
      </w:r>
      <w:r w:rsidRPr="004E1D46">
        <w:rPr>
          <w:rFonts w:ascii="Book Antiqua" w:hAnsi="Book Antiqua"/>
          <w:shd w:val="clear" w:color="auto" w:fill="FFFFFF"/>
        </w:rPr>
        <w:t xml:space="preserve">víctimas mortales </w:t>
      </w:r>
      <w:r w:rsidR="004E1D46" w:rsidRPr="004E1D46">
        <w:rPr>
          <w:rFonts w:ascii="Book Antiqua" w:hAnsi="Book Antiqua"/>
          <w:shd w:val="clear" w:color="auto" w:fill="FFFFFF"/>
        </w:rPr>
        <w:t xml:space="preserve">de dos conductores bajo los efectos del alcohol.  En el caso de Justin, la culpable </w:t>
      </w:r>
      <w:r w:rsidR="004E1D46" w:rsidRPr="004E1D46">
        <w:rPr>
          <w:rFonts w:ascii="Book Antiqua" w:hAnsi="Book Antiqua"/>
          <w:color w:val="222222"/>
          <w:shd w:val="clear" w:color="auto" w:fill="FFFFFF"/>
        </w:rPr>
        <w:t xml:space="preserve">fue sentenciada a 15 años de restricción domiciliaria; en el caso de las hermanas Esther y Eunice, </w:t>
      </w:r>
      <w:r w:rsidR="004E1D46" w:rsidRPr="004E1D46">
        <w:rPr>
          <w:rFonts w:ascii="Book Antiqua" w:hAnsi="Book Antiqua"/>
          <w:color w:val="333333"/>
          <w:shd w:val="clear" w:color="auto" w:fill="FFFFFF"/>
        </w:rPr>
        <w:t xml:space="preserve">el alegado responsable </w:t>
      </w:r>
      <w:r w:rsidR="000F7BDE" w:rsidRPr="004E1D46">
        <w:rPr>
          <w:rFonts w:ascii="Book Antiqua" w:hAnsi="Book Antiqua"/>
          <w:color w:val="333333"/>
          <w:shd w:val="clear" w:color="auto" w:fill="FFFFFF"/>
        </w:rPr>
        <w:t>aún</w:t>
      </w:r>
      <w:r w:rsidR="004E1D46" w:rsidRPr="004E1D46">
        <w:rPr>
          <w:rFonts w:ascii="Book Antiqua" w:hAnsi="Book Antiqua"/>
          <w:color w:val="333333"/>
          <w:shd w:val="clear" w:color="auto" w:fill="FFFFFF"/>
        </w:rPr>
        <w:t xml:space="preserve"> </w:t>
      </w:r>
      <w:r w:rsidR="000F7BDE">
        <w:rPr>
          <w:rFonts w:ascii="Book Antiqua" w:hAnsi="Book Antiqua"/>
          <w:color w:val="333333"/>
          <w:shd w:val="clear" w:color="auto" w:fill="FFFFFF"/>
        </w:rPr>
        <w:t>espera por</w:t>
      </w:r>
      <w:r w:rsidR="004E1D46" w:rsidRPr="004E1D46">
        <w:rPr>
          <w:rFonts w:ascii="Book Antiqua" w:hAnsi="Book Antiqua"/>
          <w:color w:val="333333"/>
          <w:shd w:val="clear" w:color="auto" w:fill="FFFFFF"/>
        </w:rPr>
        <w:t xml:space="preserve"> su día en corte.</w:t>
      </w:r>
    </w:p>
    <w:p w14:paraId="3D84FF0B" w14:textId="1C781946" w:rsidR="00432086" w:rsidRPr="00E06368" w:rsidRDefault="00432086" w:rsidP="00E06368">
      <w:pPr>
        <w:spacing w:after="0" w:line="240" w:lineRule="auto"/>
        <w:ind w:left="720" w:right="720" w:firstLine="696"/>
        <w:jc w:val="both"/>
        <w:rPr>
          <w:rFonts w:ascii="Book Antiqua" w:hAnsi="Book Antiqua"/>
          <w:shd w:val="clear" w:color="auto" w:fill="FFFFFF"/>
        </w:rPr>
      </w:pPr>
      <w:r w:rsidRPr="00206AF8">
        <w:rPr>
          <w:rFonts w:ascii="Book Antiqua" w:hAnsi="Book Antiqua"/>
          <w:shd w:val="clear" w:color="auto" w:fill="FFFFFF"/>
        </w:rPr>
        <w:t>Un conductor ebrio sabe o debe saber que el consumo de alcohol afecta su capacidad para manejar y que conducir en la vía pública en ese estado incrementa drásticamente el riesgo de accidentes y la posibilidad de causar la muerte de otras personas. A pesar de este conocimiento, elige conducir, demostrando una total indiferencia ante el peligro que representa. Además, tanto la decisión de ingerir alcohol como la de ponerse al volante son actos conscientes y voluntarios</w:t>
      </w:r>
      <w:r>
        <w:rPr>
          <w:rFonts w:ascii="Book Antiqua" w:hAnsi="Book Antiqua"/>
          <w:shd w:val="clear" w:color="auto" w:fill="FFFFFF"/>
        </w:rPr>
        <w:t>…</w:t>
      </w:r>
      <w:r w:rsidR="00E06368">
        <w:rPr>
          <w:rFonts w:ascii="Book Antiqua" w:hAnsi="Book Antiqua"/>
          <w:shd w:val="clear" w:color="auto" w:fill="FFFFFF"/>
        </w:rPr>
        <w:t xml:space="preserve">  </w:t>
      </w:r>
      <w:r w:rsidRPr="00206AF8">
        <w:rPr>
          <w:rFonts w:ascii="Book Antiqua" w:hAnsi="Book Antiqua"/>
          <w:shd w:val="clear" w:color="auto" w:fill="FFFFFF"/>
        </w:rPr>
        <w:t xml:space="preserve">Por lo tanto, la conducción en estado de embriaguez no solo implica una plena conciencia del riesgo, sino también una indiferencia absoluta ante la seguridad propia y la de los demás. A través de esta legislación, buscamos justicia, concienciación y un </w:t>
      </w:r>
      <w:r w:rsidRPr="00206AF8">
        <w:rPr>
          <w:rFonts w:ascii="Book Antiqua" w:hAnsi="Book Antiqua"/>
          <w:shd w:val="clear" w:color="auto" w:fill="FFFFFF"/>
        </w:rPr>
        <w:lastRenderedPageBreak/>
        <w:t>compromiso renovado con la seguridad vial en Puerto Rico. Dada su gravedad, esta conducta debe ser sancionada con el mayor rigor penal para proteger la vida y la integridad física de la ciudadanía.</w:t>
      </w:r>
      <w:r>
        <w:rPr>
          <w:rStyle w:val="FootnoteReference"/>
          <w:rFonts w:ascii="Book Antiqua" w:hAnsi="Book Antiqua"/>
          <w:shd w:val="clear" w:color="auto" w:fill="FFFFFF"/>
        </w:rPr>
        <w:footnoteReference w:id="3"/>
      </w:r>
    </w:p>
    <w:p w14:paraId="7E91970B" w14:textId="77777777" w:rsidR="00432086" w:rsidRDefault="00432086" w:rsidP="00E06368">
      <w:pPr>
        <w:spacing w:after="0" w:line="360" w:lineRule="auto"/>
        <w:jc w:val="both"/>
        <w:rPr>
          <w:rFonts w:ascii="Book Antiqua" w:eastAsia="Times New Roman" w:hAnsi="Book Antiqua" w:cs="Times New Roman"/>
          <w:kern w:val="0"/>
          <w:lang w:val="es-ES"/>
          <w14:ligatures w14:val="none"/>
        </w:rPr>
      </w:pPr>
    </w:p>
    <w:p w14:paraId="186B06D2" w14:textId="66B044D3" w:rsidR="00B166D9" w:rsidRPr="00D26763" w:rsidRDefault="00E06368" w:rsidP="000F7BDE">
      <w:pPr>
        <w:spacing w:after="0" w:line="298" w:lineRule="auto"/>
        <w:ind w:firstLine="706"/>
        <w:jc w:val="both"/>
        <w:rPr>
          <w:rFonts w:ascii="Book Antiqua" w:hAnsi="Book Antiqua"/>
        </w:rPr>
      </w:pPr>
      <w:r>
        <w:rPr>
          <w:rFonts w:ascii="Book Antiqua" w:eastAsia="Times New Roman" w:hAnsi="Book Antiqua" w:cs="Times New Roman"/>
          <w:kern w:val="0"/>
          <w:lang w:val="es-ES"/>
          <w14:ligatures w14:val="none"/>
        </w:rPr>
        <w:t xml:space="preserve">A base de lo expuesto, y con esa finalidad presente, el P. de la C. 321, que de ser aprobado por la Asamblea Legislativa y firmado por la Gobernadora, se convertiría en la </w:t>
      </w:r>
      <w:r w:rsidRPr="00206AF8">
        <w:rPr>
          <w:rFonts w:ascii="Book Antiqua" w:hAnsi="Book Antiqua"/>
          <w:lang w:val="es-ES_tradnl"/>
        </w:rPr>
        <w:t>“Ley Justin Rafael Santos y hermanas Esther Raquel y Eunice Raquel García Vázquez para la Justicia y Protección en la Carretera”</w:t>
      </w:r>
      <w:r w:rsidR="000D7951">
        <w:rPr>
          <w:rFonts w:ascii="Book Antiqua" w:hAnsi="Book Antiqua"/>
          <w:lang w:val="es-ES_tradnl"/>
        </w:rPr>
        <w:t xml:space="preserve">, enmendaría la </w:t>
      </w:r>
      <w:r w:rsidR="000D7951" w:rsidRPr="00206AF8">
        <w:rPr>
          <w:rFonts w:ascii="Book Antiqua" w:hAnsi="Book Antiqua"/>
          <w:lang w:val="es-ES_tradnl"/>
        </w:rPr>
        <w:t>Ley Núm. 259 de 3 de abril de 1946, según enmendada,</w:t>
      </w:r>
      <w:r w:rsidR="000D7951">
        <w:rPr>
          <w:rFonts w:ascii="Book Antiqua" w:hAnsi="Book Antiqua"/>
          <w:lang w:val="es-ES_tradnl"/>
        </w:rPr>
        <w:t xml:space="preserve"> conocida como “</w:t>
      </w:r>
      <w:r w:rsidR="000D7951" w:rsidRPr="004F064C">
        <w:rPr>
          <w:rFonts w:ascii="Book Antiqua" w:hAnsi="Book Antiqua"/>
        </w:rPr>
        <w:t>Ley de Sentencia Suspendida y Libertad a Prueba</w:t>
      </w:r>
      <w:r w:rsidR="000D7951">
        <w:rPr>
          <w:rFonts w:ascii="Book Antiqua" w:hAnsi="Book Antiqua"/>
        </w:rPr>
        <w:t xml:space="preserve">”. </w:t>
      </w:r>
      <w:r w:rsidR="000F7BDE">
        <w:rPr>
          <w:rFonts w:ascii="Book Antiqua" w:hAnsi="Book Antiqua"/>
        </w:rPr>
        <w:t>L</w:t>
      </w:r>
      <w:r w:rsidR="00B166D9">
        <w:rPr>
          <w:rFonts w:ascii="Book Antiqua" w:hAnsi="Book Antiqua"/>
        </w:rPr>
        <w:t xml:space="preserve">a enmienda propuesta consiste de disponer que </w:t>
      </w:r>
      <w:r w:rsidR="00D26763">
        <w:rPr>
          <w:rFonts w:ascii="Book Antiqua" w:hAnsi="Book Antiqua"/>
        </w:rPr>
        <w:t>e</w:t>
      </w:r>
      <w:r w:rsidR="00B166D9" w:rsidRPr="00206AF8">
        <w:rPr>
          <w:rFonts w:ascii="Book Antiqua" w:hAnsi="Book Antiqua"/>
          <w:lang w:val="es-ES_tradnl"/>
        </w:rPr>
        <w:t>l Tribunal de Primera Instancia podrá suspender</w:t>
      </w:r>
      <w:r w:rsidR="00B166D9">
        <w:rPr>
          <w:rFonts w:ascii="Book Antiqua" w:hAnsi="Book Antiqua"/>
          <w:lang w:val="es-ES_tradnl"/>
        </w:rPr>
        <w:t>le a una persona</w:t>
      </w:r>
      <w:r w:rsidR="00B166D9" w:rsidRPr="00206AF8">
        <w:rPr>
          <w:rFonts w:ascii="Book Antiqua" w:hAnsi="Book Antiqua"/>
          <w:lang w:val="es-ES_tradnl"/>
        </w:rPr>
        <w:t xml:space="preserve"> los efectos de la sentencia de reclusión en todo caso de delito grave y todo caso de delito menos grave que surja de los mismos hechos o de la misma transacción, que no fuere</w:t>
      </w:r>
      <w:r w:rsidR="00B166D9">
        <w:rPr>
          <w:rFonts w:ascii="Book Antiqua" w:hAnsi="Book Antiqua"/>
          <w:lang w:val="es-ES_tradnl"/>
        </w:rPr>
        <w:t xml:space="preserve"> </w:t>
      </w:r>
      <w:r w:rsidR="00B166D9" w:rsidRPr="00B166D9">
        <w:rPr>
          <w:rFonts w:ascii="Book Antiqua" w:hAnsi="Book Antiqua"/>
          <w:lang w:val="es-ES_tradnl"/>
        </w:rPr>
        <w:t>convicta como</w:t>
      </w:r>
      <w:r w:rsidR="00B166D9" w:rsidRPr="00206AF8">
        <w:rPr>
          <w:rFonts w:ascii="Book Antiqua" w:hAnsi="Book Antiqua"/>
          <w:i/>
          <w:iCs/>
          <w:lang w:val="es-ES_tradnl"/>
        </w:rPr>
        <w:t xml:space="preserve"> </w:t>
      </w:r>
      <w:r w:rsidR="00B166D9" w:rsidRPr="00B166D9">
        <w:rPr>
          <w:rFonts w:ascii="Book Antiqua" w:hAnsi="Book Antiqua"/>
          <w:lang w:val="es-ES_tradnl"/>
        </w:rPr>
        <w:t xml:space="preserve">consecuencia de </w:t>
      </w:r>
      <w:r w:rsidR="00B166D9" w:rsidRPr="00982CB0">
        <w:rPr>
          <w:rFonts w:ascii="Book Antiqua" w:hAnsi="Book Antiqua"/>
          <w:lang w:val="es-ES"/>
        </w:rPr>
        <w:t>c</w:t>
      </w:r>
      <w:r w:rsidR="00B166D9" w:rsidRPr="00982CB0">
        <w:rPr>
          <w:rFonts w:ascii="Book Antiqua" w:hAnsi="Book Antiqua"/>
          <w:color w:val="000000"/>
          <w:lang w:val="es-ES"/>
        </w:rPr>
        <w:t>onducir un vehículo, vehículo de motor o vehículo todo terreno</w:t>
      </w:r>
      <w:r w:rsidR="00B166D9">
        <w:rPr>
          <w:rFonts w:ascii="Book Antiqua" w:hAnsi="Book Antiqua"/>
          <w:color w:val="000000"/>
          <w:lang w:val="es-ES"/>
        </w:rPr>
        <w:t>,</w:t>
      </w:r>
      <w:r w:rsidR="00B166D9" w:rsidRPr="00982CB0">
        <w:rPr>
          <w:rFonts w:ascii="Book Antiqua" w:hAnsi="Book Antiqua"/>
          <w:color w:val="000000"/>
          <w:lang w:val="es-ES"/>
        </w:rPr>
        <w:t xml:space="preserve"> bajo los efectos de bebidas embriagantes, drogas o sustancias controladas</w:t>
      </w:r>
      <w:r w:rsidR="00B166D9" w:rsidRPr="00B166D9">
        <w:rPr>
          <w:rFonts w:ascii="Book Antiqua" w:hAnsi="Book Antiqua"/>
          <w:lang w:val="es-ES_tradnl"/>
        </w:rPr>
        <w:t xml:space="preserve">, y que cause grave daño corporal o la muerte a otro ser humano, sujeta a las </w:t>
      </w:r>
      <w:r w:rsidR="00B166D9">
        <w:rPr>
          <w:rFonts w:ascii="Book Antiqua" w:hAnsi="Book Antiqua"/>
          <w:lang w:val="es-ES_tradnl"/>
        </w:rPr>
        <w:t>penalidades</w:t>
      </w:r>
      <w:r w:rsidR="00B166D9" w:rsidRPr="00B166D9">
        <w:rPr>
          <w:rFonts w:ascii="Book Antiqua" w:hAnsi="Book Antiqua"/>
          <w:lang w:val="es-ES_tradnl"/>
        </w:rPr>
        <w:t xml:space="preserve"> establecidas en el Artículo 7.06 de dicha ley.</w:t>
      </w:r>
      <w:r w:rsidR="00B166D9">
        <w:rPr>
          <w:rStyle w:val="FootnoteReference"/>
          <w:rFonts w:ascii="Book Antiqua" w:hAnsi="Book Antiqua"/>
          <w:lang w:val="es-ES_tradnl"/>
        </w:rPr>
        <w:footnoteReference w:id="4"/>
      </w:r>
    </w:p>
    <w:p w14:paraId="623B8284" w14:textId="0919AAB9" w:rsidR="002541BE" w:rsidRDefault="002541BE" w:rsidP="000F7BDE">
      <w:pPr>
        <w:spacing w:after="0" w:line="298" w:lineRule="auto"/>
        <w:ind w:firstLine="706"/>
        <w:jc w:val="both"/>
        <w:rPr>
          <w:rFonts w:ascii="Book Antiqua" w:hAnsi="Book Antiqua"/>
          <w:shd w:val="clear" w:color="auto" w:fill="FFFFFF"/>
        </w:rPr>
      </w:pPr>
      <w:r>
        <w:rPr>
          <w:rFonts w:ascii="Book Antiqua" w:hAnsi="Book Antiqua"/>
          <w:lang w:val="es-ES_tradnl"/>
        </w:rPr>
        <w:t xml:space="preserve">Además, la medida </w:t>
      </w:r>
      <w:r w:rsidRPr="00206AF8">
        <w:rPr>
          <w:rFonts w:ascii="Book Antiqua" w:hAnsi="Book Antiqua"/>
          <w:lang w:val="es-ES_tradnl"/>
        </w:rPr>
        <w:t xml:space="preserve">añade un nuevo Artículo 5 </w:t>
      </w:r>
      <w:r>
        <w:rPr>
          <w:rFonts w:ascii="Book Antiqua" w:hAnsi="Book Antiqua"/>
          <w:lang w:val="es-ES_tradnl"/>
        </w:rPr>
        <w:t xml:space="preserve">a la Ley citada, con el propósito de </w:t>
      </w:r>
      <w:r w:rsidR="005B1D73">
        <w:rPr>
          <w:rFonts w:ascii="Book Antiqua" w:hAnsi="Book Antiqua"/>
          <w:lang w:val="es-ES_tradnl"/>
        </w:rPr>
        <w:t>puntualizar</w:t>
      </w:r>
      <w:r>
        <w:rPr>
          <w:rFonts w:ascii="Book Antiqua" w:hAnsi="Book Antiqua"/>
          <w:lang w:val="es-ES_tradnl"/>
        </w:rPr>
        <w:t xml:space="preserve"> que </w:t>
      </w:r>
      <w:r w:rsidRPr="002541BE">
        <w:rPr>
          <w:rFonts w:ascii="Book Antiqua" w:hAnsi="Book Antiqua"/>
          <w:lang w:val="es-ES_tradnl"/>
        </w:rPr>
        <w:t xml:space="preserve">“la pena de reclusión consiste en la privación de libertad en una institución penal durante el tiempo que se establece en la sentencia. </w:t>
      </w:r>
      <w:r w:rsidR="005B1D73">
        <w:rPr>
          <w:rFonts w:ascii="Book Antiqua" w:hAnsi="Book Antiqua"/>
          <w:lang w:val="es-ES_tradnl"/>
        </w:rPr>
        <w:t xml:space="preserve"> </w:t>
      </w:r>
      <w:r w:rsidRPr="002541BE">
        <w:rPr>
          <w:rFonts w:ascii="Book Antiqua" w:hAnsi="Book Antiqua"/>
          <w:lang w:val="es-ES_tradnl"/>
        </w:rPr>
        <w:t>La reclusión deberá proveer al confinado la oportunidad de ser rehabilitado moral y socialmente mientras cumpla su sentencia; y debe ser lo menos restrictiva de libertad posible para lograr los propósitos consignados en esta Ley.  Las sentencias de reclusión impuestas a menores de veintiún (21) años deben cumplirse en instituciones habilitadas para este grupo de sentenciados”.</w:t>
      </w:r>
      <w:r w:rsidR="005B1D73">
        <w:rPr>
          <w:rFonts w:ascii="Book Antiqua" w:hAnsi="Book Antiqua"/>
          <w:lang w:val="es-ES_tradnl"/>
        </w:rPr>
        <w:t xml:space="preserve"> Est</w:t>
      </w:r>
      <w:r w:rsidR="00711B31">
        <w:rPr>
          <w:rFonts w:ascii="Book Antiqua" w:hAnsi="Book Antiqua"/>
          <w:lang w:val="es-ES_tradnl"/>
        </w:rPr>
        <w:t xml:space="preserve">e párrafo proviene del Artículo </w:t>
      </w:r>
      <w:r w:rsidR="00711B31" w:rsidRPr="00206AF8">
        <w:rPr>
          <w:rFonts w:ascii="Book Antiqua" w:hAnsi="Book Antiqua"/>
          <w:shd w:val="clear" w:color="auto" w:fill="FFFFFF"/>
        </w:rPr>
        <w:t>49 del Código Penal de Puerto Rico</w:t>
      </w:r>
      <w:r w:rsidR="00711B31" w:rsidRPr="00711B31">
        <w:rPr>
          <w:rFonts w:ascii="Book Antiqua" w:hAnsi="Book Antiqua"/>
          <w:shd w:val="clear" w:color="auto" w:fill="FFFFFF"/>
        </w:rPr>
        <w:t>, Ley 146-2012, según enmendada.</w:t>
      </w:r>
    </w:p>
    <w:p w14:paraId="15C16C24" w14:textId="77777777" w:rsidR="000F7BDE" w:rsidRDefault="000F7BDE" w:rsidP="000F7BDE">
      <w:pPr>
        <w:spacing w:after="0" w:line="298" w:lineRule="auto"/>
        <w:ind w:firstLine="706"/>
        <w:jc w:val="both"/>
        <w:rPr>
          <w:rFonts w:ascii="Book Antiqua" w:hAnsi="Book Antiqua"/>
          <w:shd w:val="clear" w:color="auto" w:fill="FFFFFF"/>
        </w:rPr>
      </w:pPr>
    </w:p>
    <w:p w14:paraId="19AD116B" w14:textId="77777777" w:rsidR="000F7BDE" w:rsidRDefault="000F7BDE" w:rsidP="000F7BDE">
      <w:pPr>
        <w:spacing w:after="0" w:line="298" w:lineRule="auto"/>
        <w:ind w:firstLine="706"/>
        <w:jc w:val="both"/>
        <w:rPr>
          <w:rFonts w:ascii="Book Antiqua" w:hAnsi="Book Antiqua"/>
          <w:shd w:val="clear" w:color="auto" w:fill="FFFFFF"/>
        </w:rPr>
      </w:pPr>
    </w:p>
    <w:p w14:paraId="592C071C" w14:textId="77777777" w:rsidR="000F7BDE" w:rsidRPr="002541BE" w:rsidRDefault="000F7BDE" w:rsidP="000F7BDE">
      <w:pPr>
        <w:spacing w:after="0" w:line="298" w:lineRule="auto"/>
        <w:ind w:firstLine="706"/>
        <w:jc w:val="both"/>
        <w:rPr>
          <w:rFonts w:ascii="Book Antiqua" w:hAnsi="Book Antiqua"/>
          <w:lang w:val="es-ES_tradnl"/>
        </w:rPr>
      </w:pPr>
    </w:p>
    <w:p w14:paraId="028DDBCC" w14:textId="77777777" w:rsidR="00A94F88" w:rsidRPr="00322C70" w:rsidRDefault="00A94F88" w:rsidP="008703A0">
      <w:pPr>
        <w:spacing w:after="0" w:line="360" w:lineRule="auto"/>
        <w:jc w:val="center"/>
        <w:rPr>
          <w:rFonts w:ascii="Book Antiqua" w:eastAsia="Times New Roman" w:hAnsi="Book Antiqua" w:cs="Times New Roman"/>
          <w:kern w:val="0"/>
          <w:lang w:val="es-ES"/>
          <w14:ligatures w14:val="none"/>
        </w:rPr>
      </w:pPr>
    </w:p>
    <w:p w14:paraId="015F67E8" w14:textId="6D7026D0" w:rsidR="00F94272" w:rsidRPr="000F7BDE" w:rsidRDefault="00CB4BCC" w:rsidP="008703A0">
      <w:pPr>
        <w:spacing w:after="0" w:line="360" w:lineRule="auto"/>
        <w:jc w:val="center"/>
        <w:rPr>
          <w:rFonts w:ascii="Book Antiqua" w:eastAsia="Calibri" w:hAnsi="Book Antiqua" w:cs="Times New Roman"/>
          <w:b/>
          <w:bCs/>
          <w:spacing w:val="12"/>
          <w:kern w:val="0"/>
          <w:lang w:val="es-ES"/>
          <w14:ligatures w14:val="none"/>
        </w:rPr>
      </w:pPr>
      <w:r w:rsidRPr="000F7BDE">
        <w:rPr>
          <w:rFonts w:ascii="Book Antiqua" w:eastAsia="Calibri" w:hAnsi="Book Antiqua" w:cs="Times New Roman"/>
          <w:b/>
          <w:bCs/>
          <w:spacing w:val="12"/>
          <w:kern w:val="0"/>
          <w:lang w:val="es-ES"/>
          <w14:ligatures w14:val="none"/>
        </w:rPr>
        <w:lastRenderedPageBreak/>
        <w:t>ANÁLISIS DE LA MEDIDA</w:t>
      </w:r>
    </w:p>
    <w:p w14:paraId="40B7BC20" w14:textId="3FD8EC7F" w:rsidR="003F6B6E" w:rsidRPr="00F35191" w:rsidRDefault="00CB4BCC" w:rsidP="000F7BDE">
      <w:pPr>
        <w:spacing w:after="0" w:line="298" w:lineRule="auto"/>
        <w:ind w:firstLine="706"/>
        <w:jc w:val="both"/>
        <w:rPr>
          <w:rFonts w:ascii="Book Antiqua" w:hAnsi="Book Antiqua"/>
        </w:rPr>
      </w:pPr>
      <w:r w:rsidRPr="00322C70">
        <w:rPr>
          <w:rFonts w:ascii="Book Antiqua" w:eastAsia="Calibri" w:hAnsi="Book Antiqua" w:cs="Times New Roman"/>
          <w:bCs/>
          <w:kern w:val="0"/>
          <w:lang w:val="es-ES"/>
          <w14:ligatures w14:val="none"/>
        </w:rPr>
        <w:t xml:space="preserve">Como parte de la evaluación </w:t>
      </w:r>
      <w:r w:rsidR="00A94F88" w:rsidRPr="00322C70">
        <w:rPr>
          <w:rFonts w:ascii="Book Antiqua" w:eastAsia="Calibri" w:hAnsi="Book Antiqua" w:cs="Times New Roman"/>
          <w:bCs/>
          <w:kern w:val="0"/>
          <w:lang w:val="es-ES"/>
          <w14:ligatures w14:val="none"/>
        </w:rPr>
        <w:t xml:space="preserve">del P. de la C. </w:t>
      </w:r>
      <w:r w:rsidR="007C0447">
        <w:rPr>
          <w:rFonts w:ascii="Book Antiqua" w:eastAsia="Calibri" w:hAnsi="Book Antiqua" w:cs="Times New Roman"/>
          <w:bCs/>
          <w:kern w:val="0"/>
          <w:lang w:val="es-ES"/>
          <w14:ligatures w14:val="none"/>
        </w:rPr>
        <w:t>321</w:t>
      </w:r>
      <w:r w:rsidRPr="00322C70">
        <w:rPr>
          <w:rFonts w:ascii="Book Antiqua" w:eastAsia="Calibri" w:hAnsi="Book Antiqua" w:cs="Times New Roman"/>
          <w:bCs/>
          <w:kern w:val="0"/>
          <w:lang w:val="es-ES"/>
          <w14:ligatures w14:val="none"/>
        </w:rPr>
        <w:t xml:space="preserve">, </w:t>
      </w:r>
      <w:r w:rsidR="00A94F88" w:rsidRPr="00322C70">
        <w:rPr>
          <w:rFonts w:ascii="Book Antiqua" w:eastAsia="Calibri" w:hAnsi="Book Antiqua" w:cs="Times New Roman"/>
          <w:bCs/>
          <w:kern w:val="0"/>
          <w:lang w:val="es-ES"/>
          <w14:ligatures w14:val="none"/>
        </w:rPr>
        <w:t>l</w:t>
      </w:r>
      <w:r w:rsidRPr="00322C70">
        <w:rPr>
          <w:rFonts w:ascii="Book Antiqua" w:eastAsia="Calibri" w:hAnsi="Book Antiqua" w:cs="Times New Roman"/>
          <w:bCs/>
          <w:kern w:val="0"/>
          <w:lang w:val="es-ES"/>
          <w14:ligatures w14:val="none"/>
        </w:rPr>
        <w:t xml:space="preserve">a Comisión de </w:t>
      </w:r>
      <w:r w:rsidR="00A94F88" w:rsidRPr="00322C70">
        <w:rPr>
          <w:rFonts w:ascii="Book Antiqua" w:eastAsia="Calibri" w:hAnsi="Book Antiqua" w:cs="Times New Roman"/>
          <w:bCs/>
          <w:kern w:val="0"/>
          <w:lang w:val="es-ES"/>
          <w14:ligatures w14:val="none"/>
        </w:rPr>
        <w:t xml:space="preserve">lo Jurídico </w:t>
      </w:r>
      <w:r w:rsidRPr="00322C70">
        <w:rPr>
          <w:rFonts w:ascii="Book Antiqua" w:eastAsia="Calibri" w:hAnsi="Book Antiqua" w:cs="Times New Roman"/>
          <w:bCs/>
          <w:kern w:val="0"/>
          <w:lang w:val="es-ES"/>
          <w14:ligatures w14:val="none"/>
        </w:rPr>
        <w:t>solicitó</w:t>
      </w:r>
      <w:r w:rsidR="00FE2E3C" w:rsidRPr="00322C70">
        <w:rPr>
          <w:rFonts w:ascii="Book Antiqua" w:eastAsia="Calibri" w:hAnsi="Book Antiqua" w:cs="Times New Roman"/>
          <w:bCs/>
          <w:kern w:val="0"/>
          <w:lang w:val="es-ES"/>
          <w14:ligatures w14:val="none"/>
        </w:rPr>
        <w:t xml:space="preserve"> comentarios</w:t>
      </w:r>
      <w:r w:rsidRPr="00322C70">
        <w:rPr>
          <w:rFonts w:ascii="Book Antiqua" w:eastAsia="Calibri" w:hAnsi="Book Antiqua" w:cs="Times New Roman"/>
          <w:bCs/>
          <w:kern w:val="0"/>
          <w:lang w:val="es-ES"/>
          <w14:ligatures w14:val="none"/>
        </w:rPr>
        <w:t xml:space="preserve"> </w:t>
      </w:r>
      <w:r w:rsidR="00A94F88" w:rsidRPr="00322C70">
        <w:rPr>
          <w:rFonts w:ascii="Book Antiqua" w:eastAsia="Calibri" w:hAnsi="Book Antiqua" w:cs="Times New Roman"/>
          <w:bCs/>
          <w:kern w:val="0"/>
          <w:lang w:val="es-ES"/>
          <w14:ligatures w14:val="none"/>
        </w:rPr>
        <w:t xml:space="preserve">a </w:t>
      </w:r>
      <w:r w:rsidR="00FE2E3C" w:rsidRPr="00322C70">
        <w:rPr>
          <w:rFonts w:ascii="Book Antiqua" w:eastAsia="Calibri" w:hAnsi="Book Antiqua" w:cs="Times New Roman"/>
          <w:bCs/>
          <w:kern w:val="0"/>
          <w:lang w:val="es-ES"/>
          <w14:ligatures w14:val="none"/>
        </w:rPr>
        <w:t>agencias del Ejecutivo con el conocimiento especializado en la materia de autos. De éstas, presentaron memoriales e</w:t>
      </w:r>
      <w:r w:rsidR="00211176" w:rsidRPr="00322C70">
        <w:rPr>
          <w:rFonts w:ascii="Book Antiqua" w:eastAsia="Calibri" w:hAnsi="Book Antiqua" w:cs="Times New Roman"/>
          <w:bCs/>
          <w:kern w:val="0"/>
          <w:lang w:val="es-ES"/>
          <w14:ligatures w14:val="none"/>
        </w:rPr>
        <w:t xml:space="preserve">l Departamento de </w:t>
      </w:r>
      <w:r w:rsidR="008169F6">
        <w:rPr>
          <w:rFonts w:ascii="Book Antiqua" w:eastAsia="Calibri" w:hAnsi="Book Antiqua" w:cs="Times New Roman"/>
          <w:bCs/>
          <w:kern w:val="0"/>
          <w:lang w:val="es-ES"/>
          <w14:ligatures w14:val="none"/>
        </w:rPr>
        <w:t>Justicia</w:t>
      </w:r>
      <w:r w:rsidR="00A94F88" w:rsidRPr="00322C70">
        <w:rPr>
          <w:rFonts w:ascii="Book Antiqua" w:eastAsia="Calibri" w:hAnsi="Book Antiqua" w:cs="Times New Roman"/>
          <w:bCs/>
          <w:kern w:val="0"/>
          <w:lang w:val="es-ES"/>
          <w14:ligatures w14:val="none"/>
        </w:rPr>
        <w:t xml:space="preserve">, el Departamento </w:t>
      </w:r>
      <w:r w:rsidR="00A94F88" w:rsidRPr="003F6B6E">
        <w:rPr>
          <w:rFonts w:ascii="Book Antiqua" w:eastAsia="Calibri" w:hAnsi="Book Antiqua" w:cs="Times New Roman"/>
          <w:bCs/>
          <w:kern w:val="0"/>
          <w:lang w:val="es-ES"/>
          <w14:ligatures w14:val="none"/>
        </w:rPr>
        <w:t>de S</w:t>
      </w:r>
      <w:r w:rsidR="008169F6" w:rsidRPr="003F6B6E">
        <w:rPr>
          <w:rFonts w:ascii="Book Antiqua" w:eastAsia="Calibri" w:hAnsi="Book Antiqua" w:cs="Times New Roman"/>
          <w:bCs/>
          <w:kern w:val="0"/>
          <w:lang w:val="es-ES"/>
          <w14:ligatures w14:val="none"/>
        </w:rPr>
        <w:t>eguridad Pública</w:t>
      </w:r>
      <w:r w:rsidR="00A94F88" w:rsidRPr="003F6B6E">
        <w:rPr>
          <w:rFonts w:ascii="Book Antiqua" w:eastAsia="Calibri" w:hAnsi="Book Antiqua" w:cs="Times New Roman"/>
          <w:bCs/>
          <w:kern w:val="0"/>
          <w:lang w:val="es-ES"/>
          <w14:ligatures w14:val="none"/>
        </w:rPr>
        <w:t xml:space="preserve"> y</w:t>
      </w:r>
      <w:r w:rsidR="00FE2E3C" w:rsidRPr="003F6B6E">
        <w:rPr>
          <w:rFonts w:ascii="Book Antiqua" w:eastAsia="Calibri" w:hAnsi="Book Antiqua" w:cs="Times New Roman"/>
          <w:bCs/>
          <w:kern w:val="0"/>
          <w:lang w:val="es-ES"/>
          <w14:ligatures w14:val="none"/>
        </w:rPr>
        <w:t xml:space="preserve"> </w:t>
      </w:r>
      <w:r w:rsidR="00A94F88" w:rsidRPr="003F6B6E">
        <w:rPr>
          <w:rFonts w:ascii="Book Antiqua" w:eastAsia="Calibri" w:hAnsi="Book Antiqua" w:cs="Times New Roman"/>
          <w:bCs/>
          <w:kern w:val="0"/>
          <w:lang w:val="es-ES"/>
          <w14:ligatures w14:val="none"/>
        </w:rPr>
        <w:t xml:space="preserve">la </w:t>
      </w:r>
      <w:r w:rsidR="008169F6" w:rsidRPr="003F6B6E">
        <w:rPr>
          <w:rFonts w:ascii="Book Antiqua" w:hAnsi="Book Antiqua"/>
          <w:color w:val="000000"/>
          <w:lang w:val="es-ES"/>
        </w:rPr>
        <w:t>Comisión para la Seguridad en el Tránsito</w:t>
      </w:r>
      <w:r w:rsidR="00A94F88" w:rsidRPr="003F6B6E">
        <w:rPr>
          <w:rFonts w:ascii="Book Antiqua" w:hAnsi="Book Antiqua"/>
          <w:color w:val="000000"/>
          <w:lang w:val="es-ES"/>
        </w:rPr>
        <w:t>.</w:t>
      </w:r>
      <w:r w:rsidR="008703A0" w:rsidRPr="003F6B6E">
        <w:rPr>
          <w:rFonts w:ascii="Book Antiqua" w:hAnsi="Book Antiqua"/>
          <w:color w:val="000000"/>
          <w:lang w:val="es-ES"/>
        </w:rPr>
        <w:t xml:space="preserve">  </w:t>
      </w:r>
      <w:r w:rsidR="003F6B6E" w:rsidRPr="003F6B6E">
        <w:rPr>
          <w:rFonts w:ascii="Book Antiqua" w:hAnsi="Book Antiqua"/>
          <w:color w:val="000000"/>
          <w:lang w:val="es-ES"/>
        </w:rPr>
        <w:t xml:space="preserve">También obtuvimos comentarios y testimonios </w:t>
      </w:r>
      <w:r w:rsidR="003F6B6E" w:rsidRPr="00444A9E">
        <w:rPr>
          <w:rFonts w:ascii="Book Antiqua" w:hAnsi="Book Antiqua"/>
          <w:color w:val="000000"/>
          <w:lang w:val="es-ES"/>
        </w:rPr>
        <w:t xml:space="preserve">de </w:t>
      </w:r>
      <w:r w:rsidR="003F6B6E" w:rsidRPr="00444A9E">
        <w:rPr>
          <w:rFonts w:ascii="Book Antiqua" w:hAnsi="Book Antiqua"/>
        </w:rPr>
        <w:t xml:space="preserve">la Dra. Carmen Enilda Sosa Lliteras, </w:t>
      </w:r>
      <w:r w:rsidR="00444A9E" w:rsidRPr="00444A9E">
        <w:rPr>
          <w:rFonts w:ascii="Book Antiqua" w:hAnsi="Book Antiqua"/>
        </w:rPr>
        <w:t xml:space="preserve">así como del señor Josean García, </w:t>
      </w:r>
      <w:r w:rsidR="00444A9E">
        <w:rPr>
          <w:rFonts w:ascii="Book Antiqua" w:hAnsi="Book Antiqua"/>
        </w:rPr>
        <w:t xml:space="preserve">ambos </w:t>
      </w:r>
      <w:r w:rsidR="00444A9E" w:rsidRPr="00444A9E">
        <w:rPr>
          <w:rFonts w:ascii="Book Antiqua" w:hAnsi="Book Antiqua"/>
        </w:rPr>
        <w:t>padre</w:t>
      </w:r>
      <w:r w:rsidR="00444A9E">
        <w:rPr>
          <w:rFonts w:ascii="Book Antiqua" w:hAnsi="Book Antiqua"/>
        </w:rPr>
        <w:t>s</w:t>
      </w:r>
      <w:r w:rsidR="00444A9E" w:rsidRPr="00444A9E">
        <w:rPr>
          <w:rFonts w:ascii="Book Antiqua" w:hAnsi="Book Antiqua"/>
        </w:rPr>
        <w:t xml:space="preserve"> de víctimas fatales</w:t>
      </w:r>
      <w:r w:rsidR="00444A9E">
        <w:rPr>
          <w:rFonts w:ascii="Book Antiqua" w:hAnsi="Book Antiqua"/>
        </w:rPr>
        <w:t xml:space="preserve"> en distintos casos</w:t>
      </w:r>
      <w:r w:rsidR="00671E3F">
        <w:rPr>
          <w:rFonts w:ascii="Book Antiqua" w:hAnsi="Book Antiqua"/>
        </w:rPr>
        <w:t xml:space="preserve">. </w:t>
      </w:r>
      <w:r w:rsidR="00671E3F" w:rsidRPr="00E54EEA">
        <w:rPr>
          <w:rFonts w:ascii="Book Antiqua" w:hAnsi="Book Antiqua"/>
        </w:rPr>
        <w:t xml:space="preserve">Excepto por el Departamento de Justicia, el cual está impedido </w:t>
      </w:r>
      <w:r w:rsidR="00E54EEA" w:rsidRPr="00E54EEA">
        <w:rPr>
          <w:rFonts w:ascii="Book Antiqua" w:hAnsi="Book Antiqua"/>
        </w:rPr>
        <w:t>de comentar sobre los méritos de</w:t>
      </w:r>
      <w:r w:rsidR="00671E3F" w:rsidRPr="00E54EEA">
        <w:rPr>
          <w:rFonts w:ascii="Book Antiqua" w:hAnsi="Book Antiqua"/>
        </w:rPr>
        <w:t xml:space="preserve"> la medida </w:t>
      </w:r>
      <w:r w:rsidR="00E54EEA" w:rsidRPr="00E54EEA">
        <w:rPr>
          <w:rFonts w:ascii="Book Antiqua" w:hAnsi="Book Antiqua"/>
        </w:rPr>
        <w:t xml:space="preserve">por </w:t>
      </w:r>
      <w:r w:rsidR="00671E3F" w:rsidRPr="00E54EEA">
        <w:rPr>
          <w:rFonts w:ascii="Book Antiqua" w:hAnsi="Book Antiqua"/>
        </w:rPr>
        <w:t>trata</w:t>
      </w:r>
      <w:r w:rsidR="00E54EEA" w:rsidRPr="00E54EEA">
        <w:rPr>
          <w:rFonts w:ascii="Book Antiqua" w:hAnsi="Book Antiqua"/>
        </w:rPr>
        <w:t>rse de</w:t>
      </w:r>
      <w:r w:rsidR="00671E3F" w:rsidRPr="00E54EEA">
        <w:rPr>
          <w:rFonts w:ascii="Book Antiqua" w:hAnsi="Book Antiqua"/>
        </w:rPr>
        <w:t xml:space="preserve"> asuntos que se encuentran ante la consideración de los tribunales,</w:t>
      </w:r>
      <w:r w:rsidR="00E54EEA">
        <w:rPr>
          <w:rStyle w:val="FootnoteReference"/>
          <w:rFonts w:ascii="Book Antiqua" w:hAnsi="Book Antiqua"/>
        </w:rPr>
        <w:footnoteReference w:id="5"/>
      </w:r>
      <w:r w:rsidR="00671E3F" w:rsidRPr="00E54EEA">
        <w:rPr>
          <w:rFonts w:ascii="Book Antiqua" w:hAnsi="Book Antiqua"/>
        </w:rPr>
        <w:t xml:space="preserve"> </w:t>
      </w:r>
      <w:r w:rsidR="00AF7B69">
        <w:rPr>
          <w:rFonts w:ascii="Book Antiqua" w:hAnsi="Book Antiqua"/>
        </w:rPr>
        <w:t xml:space="preserve">los </w:t>
      </w:r>
      <w:r w:rsidR="00AF7B69" w:rsidRPr="00F35191">
        <w:rPr>
          <w:rFonts w:ascii="Book Antiqua" w:hAnsi="Book Antiqua"/>
        </w:rPr>
        <w:t>demás deponentes endosaron la aprobación de la medida.</w:t>
      </w:r>
    </w:p>
    <w:p w14:paraId="743E26B7" w14:textId="5038F164" w:rsidR="00F35191" w:rsidRDefault="0024129A" w:rsidP="000F7BDE">
      <w:pPr>
        <w:spacing w:after="0" w:line="298" w:lineRule="auto"/>
        <w:ind w:firstLine="706"/>
        <w:jc w:val="both"/>
        <w:rPr>
          <w:rFonts w:ascii="Book Antiqua" w:hAnsi="Book Antiqua"/>
        </w:rPr>
      </w:pPr>
      <w:r>
        <w:rPr>
          <w:rFonts w:ascii="Book Antiqua" w:hAnsi="Book Antiqua"/>
        </w:rPr>
        <w:t>C</w:t>
      </w:r>
      <w:r w:rsidR="00F35191" w:rsidRPr="00F35191">
        <w:rPr>
          <w:rFonts w:ascii="Book Antiqua" w:hAnsi="Book Antiqua"/>
        </w:rPr>
        <w:t xml:space="preserve">omo bien señala el Departamento de Justicia, </w:t>
      </w:r>
      <w:r w:rsidR="005F06F3" w:rsidRPr="00F35191">
        <w:rPr>
          <w:rFonts w:ascii="Book Antiqua" w:hAnsi="Book Antiqua"/>
        </w:rPr>
        <w:t>el Artículo 7.01 de la Ley 22</w:t>
      </w:r>
      <w:r w:rsidR="00F35191" w:rsidRPr="00F35191">
        <w:rPr>
          <w:rFonts w:ascii="Book Antiqua" w:hAnsi="Book Antiqua"/>
        </w:rPr>
        <w:t>, Ley de Vehículos y Tránsito, antes citada,</w:t>
      </w:r>
      <w:r w:rsidR="005F06F3" w:rsidRPr="00F35191">
        <w:rPr>
          <w:rFonts w:ascii="Book Antiqua" w:hAnsi="Book Antiqua"/>
        </w:rPr>
        <w:t xml:space="preserve"> dispone</w:t>
      </w:r>
      <w:r w:rsidR="00F35191">
        <w:rPr>
          <w:rFonts w:ascii="Book Antiqua" w:hAnsi="Book Antiqua"/>
        </w:rPr>
        <w:t>,</w:t>
      </w:r>
      <w:r w:rsidR="005F06F3" w:rsidRPr="00F35191">
        <w:rPr>
          <w:rFonts w:ascii="Book Antiqua" w:hAnsi="Book Antiqua"/>
        </w:rPr>
        <w:t xml:space="preserve"> </w:t>
      </w:r>
      <w:r w:rsidR="005F06F3" w:rsidRPr="00F35191">
        <w:rPr>
          <w:rFonts w:ascii="Book Antiqua" w:hAnsi="Book Antiqua"/>
          <w:b/>
          <w:bCs/>
        </w:rPr>
        <w:t>como norma general</w:t>
      </w:r>
      <w:r w:rsidR="005F06F3" w:rsidRPr="00F35191">
        <w:rPr>
          <w:rFonts w:ascii="Book Antiqua" w:hAnsi="Book Antiqua"/>
        </w:rPr>
        <w:t>, que constitu</w:t>
      </w:r>
      <w:r w:rsidR="00F35191" w:rsidRPr="00F35191">
        <w:rPr>
          <w:rFonts w:ascii="Book Antiqua" w:hAnsi="Book Antiqua"/>
        </w:rPr>
        <w:t>ye</w:t>
      </w:r>
      <w:r w:rsidR="005F06F3" w:rsidRPr="00F35191">
        <w:rPr>
          <w:rFonts w:ascii="Book Antiqua" w:hAnsi="Book Antiqua"/>
        </w:rPr>
        <w:t xml:space="preserve"> delito conducir un vehículo de motor bajo los efectos de bebidas embriagantes</w:t>
      </w:r>
      <w:r w:rsidR="00F35191" w:rsidRPr="00F35191">
        <w:rPr>
          <w:rFonts w:ascii="Book Antiqua" w:hAnsi="Book Antiqua"/>
        </w:rPr>
        <w:t xml:space="preserve"> (definidas en el Artículo 7.02)</w:t>
      </w:r>
      <w:r w:rsidR="005F06F3" w:rsidRPr="00F35191">
        <w:rPr>
          <w:rFonts w:ascii="Book Antiqua" w:hAnsi="Book Antiqua"/>
        </w:rPr>
        <w:t>, drogas o sustancias controladas</w:t>
      </w:r>
      <w:r w:rsidR="00F35191" w:rsidRPr="00F35191">
        <w:rPr>
          <w:rFonts w:ascii="Book Antiqua" w:hAnsi="Book Antiqua"/>
        </w:rPr>
        <w:t xml:space="preserve"> (definidas en el Artículo 7.03)</w:t>
      </w:r>
      <w:r w:rsidR="005F06F3" w:rsidRPr="00F35191">
        <w:rPr>
          <w:rFonts w:ascii="Book Antiqua" w:hAnsi="Book Antiqua"/>
        </w:rPr>
        <w:t>.</w:t>
      </w:r>
      <w:r w:rsidR="00F35191" w:rsidRPr="00F35191">
        <w:rPr>
          <w:rFonts w:ascii="Book Antiqua" w:hAnsi="Book Antiqua"/>
        </w:rPr>
        <w:t xml:space="preserve">  En el Artículo 7.06, por su parte, se dispone que a consecuencia de la violación de cualquiera de esos tres Artículos (7.01, 7.02 y 7.03), se </w:t>
      </w:r>
      <w:r w:rsidR="005F06F3" w:rsidRPr="00F35191">
        <w:rPr>
          <w:rFonts w:ascii="Book Antiqua" w:hAnsi="Book Antiqua"/>
        </w:rPr>
        <w:t>le ocasionare la muerte a otra persona, se le impondrá una pena de reclusión por un término fijo de quince (15) años</w:t>
      </w:r>
      <w:r w:rsidR="00F35191" w:rsidRPr="00F35191">
        <w:rPr>
          <w:rFonts w:ascii="Book Antiqua" w:hAnsi="Book Antiqua"/>
        </w:rPr>
        <w:t xml:space="preserve">. Si se causare </w:t>
      </w:r>
      <w:r w:rsidR="005F06F3" w:rsidRPr="00F35191">
        <w:rPr>
          <w:rFonts w:ascii="Book Antiqua" w:hAnsi="Book Antiqua"/>
        </w:rPr>
        <w:t>grave daño corporal, la pena de reclusión será por un término fijo de quince (5) años.</w:t>
      </w:r>
      <w:r w:rsidR="00F35191">
        <w:rPr>
          <w:rFonts w:ascii="Book Antiqua" w:hAnsi="Book Antiqua"/>
        </w:rPr>
        <w:t xml:space="preserve">  En estos casos</w:t>
      </w:r>
      <w:r w:rsidR="00151EAB">
        <w:rPr>
          <w:rFonts w:ascii="Book Antiqua" w:hAnsi="Book Antiqua"/>
        </w:rPr>
        <w:t xml:space="preserve"> </w:t>
      </w:r>
      <w:r w:rsidR="00F35191">
        <w:rPr>
          <w:rFonts w:ascii="Book Antiqua" w:hAnsi="Book Antiqua"/>
        </w:rPr>
        <w:t xml:space="preserve">de convicciones o reincidencias bajo el Artículo 7.06, </w:t>
      </w:r>
      <w:r w:rsidR="00F35191" w:rsidRPr="00151EAB">
        <w:rPr>
          <w:rFonts w:ascii="Book Antiqua" w:hAnsi="Book Antiqua"/>
          <w:b/>
          <w:bCs/>
        </w:rPr>
        <w:t>no habrá el beneficio de sentencia suspendida</w:t>
      </w:r>
      <w:r w:rsidR="00151EAB" w:rsidRPr="00151EAB">
        <w:rPr>
          <w:rFonts w:ascii="Book Antiqua" w:hAnsi="Book Antiqua"/>
          <w:b/>
          <w:bCs/>
        </w:rPr>
        <w:t xml:space="preserve"> y</w:t>
      </w:r>
      <w:r w:rsidR="00F35191" w:rsidRPr="00151EAB">
        <w:rPr>
          <w:rFonts w:ascii="Book Antiqua" w:hAnsi="Book Antiqua"/>
          <w:b/>
          <w:bCs/>
        </w:rPr>
        <w:t xml:space="preserve"> </w:t>
      </w:r>
      <w:r w:rsidR="00151EAB" w:rsidRPr="00151EAB">
        <w:rPr>
          <w:rFonts w:ascii="Book Antiqua" w:hAnsi="Book Antiqua"/>
          <w:b/>
          <w:bCs/>
        </w:rPr>
        <w:t>el tribunal no podrá suspender los efectos de la sentencia de reclusión</w:t>
      </w:r>
      <w:r w:rsidR="00151EAB">
        <w:rPr>
          <w:rFonts w:ascii="Book Antiqua" w:hAnsi="Book Antiqua"/>
        </w:rPr>
        <w:t xml:space="preserve"> (Artículo 7.08).</w:t>
      </w:r>
    </w:p>
    <w:p w14:paraId="24CDFAA7" w14:textId="768934F1" w:rsidR="00151EAB" w:rsidRDefault="00151EAB" w:rsidP="000F7BDE">
      <w:pPr>
        <w:spacing w:after="0" w:line="298" w:lineRule="auto"/>
        <w:ind w:firstLine="706"/>
        <w:jc w:val="both"/>
        <w:rPr>
          <w:rFonts w:ascii="Book Antiqua" w:hAnsi="Book Antiqua"/>
          <w:lang w:val="es-ES_tradnl"/>
        </w:rPr>
      </w:pPr>
      <w:r>
        <w:rPr>
          <w:rFonts w:ascii="Book Antiqua" w:hAnsi="Book Antiqua"/>
        </w:rPr>
        <w:t xml:space="preserve">A base de lo expuesto, es evidente que lo propuesto en la medida de autos es replicar esas disposiciones de la Ley 22, </w:t>
      </w:r>
      <w:r w:rsidRPr="00151EAB">
        <w:rPr>
          <w:rFonts w:ascii="Book Antiqua" w:hAnsi="Book Antiqua"/>
          <w:i/>
          <w:iCs/>
        </w:rPr>
        <w:t>supra</w:t>
      </w:r>
      <w:r>
        <w:rPr>
          <w:rFonts w:ascii="Book Antiqua" w:hAnsi="Book Antiqua"/>
        </w:rPr>
        <w:t xml:space="preserve">, en la </w:t>
      </w:r>
      <w:r w:rsidRPr="004F064C">
        <w:rPr>
          <w:rFonts w:ascii="Book Antiqua" w:hAnsi="Book Antiqua"/>
        </w:rPr>
        <w:t>Ley de Sentencia Suspendida y Libertad a Prueba</w:t>
      </w:r>
      <w:r>
        <w:rPr>
          <w:rFonts w:ascii="Book Antiqua" w:hAnsi="Book Antiqua"/>
          <w:lang w:val="es-ES_tradnl"/>
        </w:rPr>
        <w:t>, antes citada</w:t>
      </w:r>
      <w:r w:rsidR="00D3587B">
        <w:rPr>
          <w:rFonts w:ascii="Book Antiqua" w:hAnsi="Book Antiqua"/>
          <w:lang w:val="es-ES_tradnl"/>
        </w:rPr>
        <w:t xml:space="preserve">, y con ello, enviar un mensaje contundente de que, en estos casos, no </w:t>
      </w:r>
      <w:r w:rsidR="00D3587B" w:rsidRPr="00D3587B">
        <w:rPr>
          <w:rFonts w:ascii="Book Antiqua" w:hAnsi="Book Antiqua"/>
        </w:rPr>
        <w:t>habrá el beneficio de sentencia suspendida y el tribunal no podrá suspender los efectos de la sentencia de reclusión</w:t>
      </w:r>
      <w:r w:rsidR="00D3587B">
        <w:rPr>
          <w:rFonts w:ascii="Book Antiqua" w:hAnsi="Book Antiqua"/>
          <w:lang w:val="es-ES_tradnl"/>
        </w:rPr>
        <w:t xml:space="preserve">. </w:t>
      </w:r>
    </w:p>
    <w:p w14:paraId="6DBE2176" w14:textId="77777777" w:rsidR="007535C4" w:rsidRDefault="007535C4" w:rsidP="000F7BDE">
      <w:pPr>
        <w:spacing w:after="0" w:line="298" w:lineRule="auto"/>
        <w:ind w:firstLine="706"/>
        <w:jc w:val="both"/>
        <w:rPr>
          <w:rFonts w:ascii="Book Antiqua" w:hAnsi="Book Antiqua"/>
          <w:lang w:val="es-ES_tradnl"/>
        </w:rPr>
      </w:pPr>
    </w:p>
    <w:p w14:paraId="272AEA73" w14:textId="77777777" w:rsidR="007535C4" w:rsidRDefault="007535C4" w:rsidP="000F7BDE">
      <w:pPr>
        <w:spacing w:after="0" w:line="298" w:lineRule="auto"/>
        <w:ind w:firstLine="706"/>
        <w:jc w:val="both"/>
        <w:rPr>
          <w:rFonts w:ascii="Book Antiqua" w:hAnsi="Book Antiqua"/>
          <w:lang w:val="es-ES_tradnl"/>
        </w:rPr>
      </w:pPr>
    </w:p>
    <w:p w14:paraId="6CFAEFBD" w14:textId="77777777" w:rsidR="007535C4" w:rsidRDefault="007535C4" w:rsidP="000F7BDE">
      <w:pPr>
        <w:spacing w:after="0" w:line="298" w:lineRule="auto"/>
        <w:ind w:firstLine="706"/>
        <w:jc w:val="both"/>
        <w:rPr>
          <w:rFonts w:ascii="Book Antiqua" w:hAnsi="Book Antiqua"/>
          <w:lang w:val="es-ES_tradnl"/>
        </w:rPr>
      </w:pPr>
    </w:p>
    <w:p w14:paraId="3D5A1DB0" w14:textId="77777777" w:rsidR="007535C4" w:rsidRDefault="007535C4" w:rsidP="000F7BDE">
      <w:pPr>
        <w:spacing w:after="0" w:line="298" w:lineRule="auto"/>
        <w:ind w:firstLine="706"/>
        <w:jc w:val="both"/>
        <w:rPr>
          <w:rFonts w:ascii="Book Antiqua" w:hAnsi="Book Antiqua"/>
        </w:rPr>
      </w:pPr>
    </w:p>
    <w:p w14:paraId="1EF348EC" w14:textId="77777777" w:rsidR="000B4646" w:rsidRPr="000B4646" w:rsidRDefault="000B4646" w:rsidP="000B4646">
      <w:pPr>
        <w:pStyle w:val="NormalWeb"/>
        <w:spacing w:before="0" w:beforeAutospacing="0" w:after="0" w:afterAutospacing="0" w:line="360" w:lineRule="auto"/>
        <w:jc w:val="both"/>
        <w:rPr>
          <w:rFonts w:ascii="Book Antiqua" w:hAnsi="Book Antiqua"/>
          <w:lang w:val="es-ES"/>
        </w:rPr>
      </w:pPr>
    </w:p>
    <w:p w14:paraId="6AEFF224" w14:textId="4A64A7CD" w:rsidR="00BC44F1" w:rsidRPr="006032A1" w:rsidRDefault="00CB4BCC" w:rsidP="000B4646">
      <w:pPr>
        <w:spacing w:after="0" w:line="360" w:lineRule="auto"/>
        <w:jc w:val="center"/>
        <w:rPr>
          <w:rFonts w:ascii="Book Antiqua" w:eastAsia="Book Antiqua" w:hAnsi="Book Antiqua" w:cs="Book Antiqua"/>
          <w:b/>
          <w:spacing w:val="12"/>
          <w:kern w:val="0"/>
          <w:lang w:val="es-ES"/>
          <w14:ligatures w14:val="none"/>
        </w:rPr>
      </w:pPr>
      <w:r w:rsidRPr="006032A1">
        <w:rPr>
          <w:rFonts w:ascii="Book Antiqua" w:eastAsia="Book Antiqua" w:hAnsi="Book Antiqua" w:cs="Book Antiqua"/>
          <w:b/>
          <w:spacing w:val="12"/>
          <w:kern w:val="0"/>
          <w:lang w:val="es-ES"/>
          <w14:ligatures w14:val="none"/>
        </w:rPr>
        <w:lastRenderedPageBreak/>
        <w:t>CONCLUSIÓN</w:t>
      </w:r>
    </w:p>
    <w:p w14:paraId="21488ADE" w14:textId="3C7E8B0B" w:rsidR="000743E5" w:rsidRPr="00D43BF8" w:rsidRDefault="000743E5" w:rsidP="00BA0FB9">
      <w:pPr>
        <w:pStyle w:val="NormalWeb"/>
        <w:spacing w:before="0" w:beforeAutospacing="0" w:after="0" w:afterAutospacing="0" w:line="360" w:lineRule="auto"/>
        <w:ind w:firstLine="708"/>
        <w:jc w:val="both"/>
        <w:rPr>
          <w:rFonts w:ascii="Book Antiqua" w:hAnsi="Book Antiqua"/>
        </w:rPr>
      </w:pPr>
      <w:r w:rsidRPr="00D43BF8">
        <w:rPr>
          <w:rFonts w:ascii="Book Antiqua" w:hAnsi="Book Antiqua"/>
        </w:rPr>
        <w:t xml:space="preserve">Por los fundamentos expuestos, la </w:t>
      </w:r>
      <w:r w:rsidRPr="00474CA0">
        <w:rPr>
          <w:rFonts w:ascii="Book Antiqua" w:hAnsi="Book Antiqua"/>
          <w:lang w:val="es-ES"/>
        </w:rPr>
        <w:t>Comisión de</w:t>
      </w:r>
      <w:r w:rsidRPr="00474CA0">
        <w:rPr>
          <w:rFonts w:ascii="Book Antiqua" w:hAnsi="Book Antiqua"/>
        </w:rPr>
        <w:t xml:space="preserve"> </w:t>
      </w:r>
      <w:r>
        <w:rPr>
          <w:rFonts w:ascii="Book Antiqua" w:hAnsi="Book Antiqua"/>
        </w:rPr>
        <w:t>lo Jurídico recomienda</w:t>
      </w:r>
      <w:r w:rsidRPr="00D43BF8">
        <w:rPr>
          <w:rFonts w:ascii="Book Antiqua" w:hAnsi="Book Antiqua"/>
        </w:rPr>
        <w:t xml:space="preserve"> la aprobación</w:t>
      </w:r>
      <w:r>
        <w:rPr>
          <w:rFonts w:ascii="Book Antiqua" w:hAnsi="Book Antiqua"/>
        </w:rPr>
        <w:t xml:space="preserve"> del P. de la C. </w:t>
      </w:r>
      <w:r w:rsidR="007C0447">
        <w:rPr>
          <w:rFonts w:ascii="Book Antiqua" w:hAnsi="Book Antiqua"/>
        </w:rPr>
        <w:t>321</w:t>
      </w:r>
      <w:r>
        <w:rPr>
          <w:rFonts w:ascii="Book Antiqua" w:hAnsi="Book Antiqua"/>
        </w:rPr>
        <w:t xml:space="preserve">, con las enmiendas </w:t>
      </w:r>
      <w:r w:rsidRPr="00322C70">
        <w:rPr>
          <w:rFonts w:ascii="Book Antiqua" w:eastAsia="Calibri" w:hAnsi="Book Antiqua"/>
          <w:lang w:val="es-ES"/>
        </w:rPr>
        <w:t xml:space="preserve">incluidas en el entirillado electrónico que acompaña a este informe y que se hace formar parte del </w:t>
      </w:r>
      <w:r w:rsidR="00B95B73">
        <w:rPr>
          <w:rFonts w:ascii="Book Antiqua" w:eastAsia="Calibri" w:hAnsi="Book Antiqua"/>
          <w:lang w:val="es-ES"/>
        </w:rPr>
        <w:t>mismo</w:t>
      </w:r>
      <w:r>
        <w:rPr>
          <w:rFonts w:ascii="Book Antiqua" w:eastAsia="Calibri" w:hAnsi="Book Antiqua"/>
          <w:lang w:val="es-ES"/>
        </w:rPr>
        <w:t>.</w:t>
      </w:r>
    </w:p>
    <w:p w14:paraId="65B94A4B" w14:textId="77777777" w:rsidR="00BA0FB9" w:rsidRDefault="00BA0FB9" w:rsidP="000B4646">
      <w:pPr>
        <w:spacing w:after="0" w:line="360" w:lineRule="auto"/>
        <w:jc w:val="both"/>
        <w:rPr>
          <w:rFonts w:ascii="Book Antiqua" w:eastAsia="Book Antiqua" w:hAnsi="Book Antiqua" w:cs="Book Antiqua"/>
          <w:kern w:val="0"/>
          <w:lang w:val="es-ES"/>
          <w14:ligatures w14:val="none"/>
        </w:rPr>
      </w:pPr>
    </w:p>
    <w:p w14:paraId="5144D337" w14:textId="15F7FD33" w:rsidR="00CB4BCC" w:rsidRPr="00322C70" w:rsidRDefault="00CB4BCC" w:rsidP="000B4646">
      <w:pPr>
        <w:spacing w:after="0" w:line="360" w:lineRule="auto"/>
        <w:jc w:val="both"/>
        <w:rPr>
          <w:rFonts w:ascii="Book Antiqua" w:eastAsia="Book Antiqua" w:hAnsi="Book Antiqua" w:cs="Book Antiqua"/>
          <w:kern w:val="0"/>
          <w:lang w:val="es-ES"/>
          <w14:ligatures w14:val="none"/>
        </w:rPr>
      </w:pPr>
      <w:r w:rsidRPr="00322C70">
        <w:rPr>
          <w:rFonts w:ascii="Book Antiqua" w:eastAsia="Book Antiqua" w:hAnsi="Book Antiqua" w:cs="Book Antiqua"/>
          <w:kern w:val="0"/>
          <w:lang w:val="es-ES"/>
          <w14:ligatures w14:val="none"/>
        </w:rPr>
        <w:t>Respetuosamente sometido,</w:t>
      </w:r>
    </w:p>
    <w:p w14:paraId="5867B946" w14:textId="77777777" w:rsidR="00CB4BCC" w:rsidRPr="00322C70" w:rsidRDefault="00CB4BCC" w:rsidP="00CB4BCC">
      <w:pPr>
        <w:spacing w:after="0" w:line="360" w:lineRule="auto"/>
        <w:jc w:val="both"/>
        <w:rPr>
          <w:rFonts w:ascii="Book Antiqua" w:eastAsia="Book Antiqua" w:hAnsi="Book Antiqua" w:cs="Book Antiqua"/>
          <w:b/>
          <w:bCs/>
          <w:i/>
          <w:iCs/>
          <w:kern w:val="0"/>
          <w:lang w:val="es-ES"/>
          <w14:ligatures w14:val="none"/>
        </w:rPr>
      </w:pPr>
    </w:p>
    <w:p w14:paraId="725277FD" w14:textId="77777777" w:rsidR="00F46CE1" w:rsidRPr="00322C70" w:rsidRDefault="00F46CE1" w:rsidP="00CB4BCC">
      <w:pPr>
        <w:spacing w:after="0" w:line="360" w:lineRule="auto"/>
        <w:jc w:val="both"/>
        <w:rPr>
          <w:rFonts w:ascii="Book Antiqua" w:eastAsia="Book Antiqua" w:hAnsi="Book Antiqua" w:cs="Book Antiqua"/>
          <w:b/>
          <w:bCs/>
          <w:i/>
          <w:iCs/>
          <w:kern w:val="0"/>
          <w:lang w:val="es-ES"/>
          <w14:ligatures w14:val="none"/>
        </w:rPr>
      </w:pPr>
    </w:p>
    <w:p w14:paraId="1E3B9989" w14:textId="4D34957A" w:rsidR="00CB4BCC" w:rsidRPr="00322C70" w:rsidRDefault="00320217" w:rsidP="00CB4BCC">
      <w:pPr>
        <w:spacing w:after="0" w:line="240" w:lineRule="auto"/>
        <w:jc w:val="both"/>
        <w:rPr>
          <w:rFonts w:ascii="Book Antiqua" w:eastAsia="Book Antiqua" w:hAnsi="Book Antiqua" w:cs="Book Antiqua"/>
          <w:smallCaps/>
          <w:kern w:val="0"/>
          <w:lang w:val="es-ES"/>
          <w14:ligatures w14:val="none"/>
        </w:rPr>
      </w:pPr>
      <w:r w:rsidRPr="00322C70">
        <w:rPr>
          <w:rFonts w:ascii="Book Antiqua" w:eastAsia="Book Antiqua" w:hAnsi="Book Antiqua" w:cs="Book Antiqua"/>
          <w:smallCaps/>
          <w:kern w:val="0"/>
          <w:lang w:val="es-ES"/>
          <w14:ligatures w14:val="none"/>
        </w:rPr>
        <w:t>José J. Pérez Cordero</w:t>
      </w:r>
    </w:p>
    <w:p w14:paraId="6F7DCDD8" w14:textId="77777777" w:rsidR="00CB4BCC" w:rsidRPr="00322C70" w:rsidRDefault="00CB4BCC" w:rsidP="00CB4BCC">
      <w:pPr>
        <w:spacing w:after="0" w:line="240" w:lineRule="auto"/>
        <w:jc w:val="both"/>
        <w:rPr>
          <w:rFonts w:ascii="Book Antiqua" w:eastAsia="Book Antiqua" w:hAnsi="Book Antiqua" w:cs="Book Antiqua"/>
          <w:kern w:val="0"/>
          <w:lang w:val="es-ES"/>
          <w14:ligatures w14:val="none"/>
        </w:rPr>
      </w:pPr>
      <w:r w:rsidRPr="00322C70">
        <w:rPr>
          <w:rFonts w:ascii="Book Antiqua" w:eastAsia="Book Antiqua" w:hAnsi="Book Antiqua" w:cs="Book Antiqua"/>
          <w:kern w:val="0"/>
          <w:lang w:val="es-ES"/>
          <w14:ligatures w14:val="none"/>
        </w:rPr>
        <w:t>Presidente</w:t>
      </w:r>
    </w:p>
    <w:p w14:paraId="138F54FE" w14:textId="724F354D" w:rsidR="00CB4BCC" w:rsidRPr="00322C70" w:rsidRDefault="00320217" w:rsidP="00CB4BCC">
      <w:pPr>
        <w:spacing w:after="0" w:line="240" w:lineRule="auto"/>
        <w:rPr>
          <w:rFonts w:ascii="Book Antiqua" w:eastAsia="Times New Roman" w:hAnsi="Book Antiqua" w:cs="Times New Roman"/>
          <w:kern w:val="0"/>
          <w:szCs w:val="20"/>
          <w:lang w:val="es-ES"/>
          <w14:ligatures w14:val="none"/>
        </w:rPr>
      </w:pPr>
      <w:r w:rsidRPr="00322C70">
        <w:rPr>
          <w:rFonts w:ascii="Book Antiqua" w:eastAsia="Book Antiqua" w:hAnsi="Book Antiqua" w:cs="Book Antiqua"/>
          <w:kern w:val="0"/>
          <w:lang w:val="es-ES"/>
          <w14:ligatures w14:val="none"/>
        </w:rPr>
        <w:t>Comisión de lo Jurídico</w:t>
      </w:r>
    </w:p>
    <w:p w14:paraId="7CBC3E14" w14:textId="77777777" w:rsidR="00CB4BCC" w:rsidRPr="00322C70" w:rsidRDefault="00CB4BCC" w:rsidP="00CB4BCC">
      <w:pPr>
        <w:rPr>
          <w:rFonts w:ascii="Book Antiqua" w:hAnsi="Book Antiqua"/>
          <w:lang w:val="es-ES"/>
        </w:rPr>
      </w:pPr>
    </w:p>
    <w:p w14:paraId="36546E0C" w14:textId="77777777" w:rsidR="00AD63FF" w:rsidRPr="00322C70" w:rsidRDefault="00AD63FF">
      <w:pPr>
        <w:rPr>
          <w:rFonts w:ascii="Book Antiqua" w:hAnsi="Book Antiqua"/>
          <w:lang w:val="es-ES"/>
        </w:rPr>
      </w:pPr>
    </w:p>
    <w:sectPr w:rsidR="00AD63FF" w:rsidRPr="00322C70" w:rsidSect="00CB4BCC">
      <w:headerReference w:type="even" r:id="rId12"/>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3E193" w14:textId="77777777" w:rsidR="0083507A" w:rsidRDefault="0083507A">
      <w:pPr>
        <w:spacing w:after="0" w:line="240" w:lineRule="auto"/>
      </w:pPr>
      <w:r>
        <w:separator/>
      </w:r>
    </w:p>
  </w:endnote>
  <w:endnote w:type="continuationSeparator" w:id="0">
    <w:p w14:paraId="0699AEBE" w14:textId="77777777" w:rsidR="0083507A" w:rsidRDefault="00835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08ED5" w14:textId="77777777" w:rsidR="0083507A" w:rsidRDefault="0083507A">
      <w:pPr>
        <w:spacing w:after="0" w:line="240" w:lineRule="auto"/>
      </w:pPr>
      <w:r>
        <w:separator/>
      </w:r>
    </w:p>
  </w:footnote>
  <w:footnote w:type="continuationSeparator" w:id="0">
    <w:p w14:paraId="2E901965" w14:textId="77777777" w:rsidR="0083507A" w:rsidRDefault="0083507A">
      <w:pPr>
        <w:spacing w:after="0" w:line="240" w:lineRule="auto"/>
      </w:pPr>
      <w:r>
        <w:continuationSeparator/>
      </w:r>
    </w:p>
  </w:footnote>
  <w:footnote w:id="1">
    <w:p w14:paraId="2743491E" w14:textId="2C7F82E1" w:rsidR="000C18F3" w:rsidRPr="005B1E02" w:rsidRDefault="000C18F3" w:rsidP="005B1E02">
      <w:pPr>
        <w:pStyle w:val="FootnoteText"/>
        <w:jc w:val="both"/>
        <w:rPr>
          <w:rFonts w:ascii="Book Antiqua" w:hAnsi="Book Antiqua"/>
          <w:lang w:val="es-ES"/>
        </w:rPr>
      </w:pPr>
      <w:r w:rsidRPr="005B1E02">
        <w:rPr>
          <w:rStyle w:val="FootnoteReference"/>
          <w:rFonts w:ascii="Book Antiqua" w:hAnsi="Book Antiqua"/>
          <w:lang w:val="es-ES"/>
        </w:rPr>
        <w:footnoteRef/>
      </w:r>
      <w:r w:rsidRPr="005B1E02">
        <w:rPr>
          <w:rFonts w:ascii="Book Antiqua" w:hAnsi="Book Antiqua"/>
          <w:lang w:val="es-ES"/>
        </w:rPr>
        <w:t xml:space="preserve"> Exposición de Motivos, P. de la C. 321.</w:t>
      </w:r>
    </w:p>
  </w:footnote>
  <w:footnote w:id="2">
    <w:p w14:paraId="2A6CCE48" w14:textId="4E9A085B" w:rsidR="005B1E02" w:rsidRPr="005B1E02" w:rsidRDefault="005B1E02" w:rsidP="005B1E02">
      <w:pPr>
        <w:pStyle w:val="FootnoteText"/>
        <w:jc w:val="both"/>
        <w:rPr>
          <w:rFonts w:ascii="Book Antiqua" w:hAnsi="Book Antiqua"/>
          <w:lang w:val="es-ES"/>
        </w:rPr>
      </w:pPr>
      <w:r w:rsidRPr="005B1E02">
        <w:rPr>
          <w:rStyle w:val="FootnoteReference"/>
          <w:rFonts w:ascii="Book Antiqua" w:hAnsi="Book Antiqua"/>
          <w:lang w:val="es-ES"/>
        </w:rPr>
        <w:footnoteRef/>
      </w:r>
      <w:r w:rsidRPr="005B1E02">
        <w:rPr>
          <w:rFonts w:ascii="Book Antiqua" w:hAnsi="Book Antiqua"/>
          <w:lang w:val="es-ES"/>
        </w:rPr>
        <w:t xml:space="preserve"> Comentarios del Departamento de Justicia, Proyecto de la Cámara 321</w:t>
      </w:r>
      <w:r w:rsidR="00C537C7">
        <w:rPr>
          <w:rFonts w:ascii="Book Antiqua" w:hAnsi="Book Antiqua"/>
          <w:lang w:val="es-ES"/>
        </w:rPr>
        <w:t>, 14 de marzo de 2025, Pág. 5</w:t>
      </w:r>
      <w:r w:rsidRPr="005B1E02">
        <w:rPr>
          <w:rFonts w:ascii="Book Antiqua" w:hAnsi="Book Antiqua"/>
          <w:lang w:val="es-ES"/>
        </w:rPr>
        <w:t>.</w:t>
      </w:r>
    </w:p>
  </w:footnote>
  <w:footnote w:id="3">
    <w:p w14:paraId="3DC7B95D" w14:textId="64EA8ED4" w:rsidR="00432086" w:rsidRPr="005B1E02" w:rsidRDefault="00432086" w:rsidP="005B1E02">
      <w:pPr>
        <w:pStyle w:val="FootnoteText"/>
        <w:jc w:val="both"/>
        <w:rPr>
          <w:rFonts w:ascii="Book Antiqua" w:hAnsi="Book Antiqua"/>
          <w:lang w:val="es-ES"/>
        </w:rPr>
      </w:pPr>
      <w:r w:rsidRPr="005B1E02">
        <w:rPr>
          <w:rStyle w:val="FootnoteReference"/>
          <w:rFonts w:ascii="Book Antiqua" w:hAnsi="Book Antiqua"/>
          <w:lang w:val="es-ES"/>
        </w:rPr>
        <w:footnoteRef/>
      </w:r>
      <w:r w:rsidRPr="005B1E02">
        <w:rPr>
          <w:rFonts w:ascii="Book Antiqua" w:hAnsi="Book Antiqua"/>
          <w:lang w:val="es-ES"/>
        </w:rPr>
        <w:t xml:space="preserve"> </w:t>
      </w:r>
      <w:r w:rsidRPr="000F7BDE">
        <w:rPr>
          <w:rFonts w:ascii="Book Antiqua" w:hAnsi="Book Antiqua"/>
          <w:i/>
          <w:iCs/>
          <w:lang w:val="es-ES"/>
        </w:rPr>
        <w:t>Id.</w:t>
      </w:r>
    </w:p>
  </w:footnote>
  <w:footnote w:id="4">
    <w:p w14:paraId="648B1CED" w14:textId="4DA627BD" w:rsidR="00B166D9" w:rsidRPr="005B1E02" w:rsidRDefault="00B166D9" w:rsidP="005B1E02">
      <w:pPr>
        <w:pStyle w:val="FootnoteText"/>
        <w:jc w:val="both"/>
        <w:rPr>
          <w:rFonts w:ascii="Book Antiqua" w:hAnsi="Book Antiqua"/>
          <w:lang w:val="es-ES"/>
        </w:rPr>
      </w:pPr>
      <w:r w:rsidRPr="005B1E02">
        <w:rPr>
          <w:rStyle w:val="FootnoteReference"/>
          <w:rFonts w:ascii="Book Antiqua" w:hAnsi="Book Antiqua"/>
          <w:lang w:val="es-ES"/>
        </w:rPr>
        <w:footnoteRef/>
      </w:r>
      <w:r w:rsidRPr="005B1E02">
        <w:rPr>
          <w:rFonts w:ascii="Book Antiqua" w:hAnsi="Book Antiqua"/>
          <w:lang w:val="es-ES"/>
        </w:rPr>
        <w:t xml:space="preserve"> Cinco años de reclusión, pena de multa no menor de $1,000.00 ni mayor de $5,000.00 y pena de restitución, cuando causó grave daño corporal o pena de reclusión por un término fijo de 15 años</w:t>
      </w:r>
      <w:r w:rsidR="00137636" w:rsidRPr="005B1E02">
        <w:rPr>
          <w:rFonts w:ascii="Book Antiqua" w:hAnsi="Book Antiqua"/>
          <w:lang w:val="es-ES"/>
        </w:rPr>
        <w:t xml:space="preserve"> cuando ocasionó la muerte.</w:t>
      </w:r>
    </w:p>
  </w:footnote>
  <w:footnote w:id="5">
    <w:p w14:paraId="04F5B852" w14:textId="1659EEC4" w:rsidR="00E54EEA" w:rsidRPr="005B1E02" w:rsidRDefault="00E54EEA" w:rsidP="005B1E02">
      <w:pPr>
        <w:pStyle w:val="FootnoteText"/>
        <w:jc w:val="both"/>
        <w:rPr>
          <w:rFonts w:ascii="Book Antiqua" w:hAnsi="Book Antiqua"/>
          <w:lang w:val="es-ES"/>
        </w:rPr>
      </w:pPr>
      <w:r w:rsidRPr="005B1E02">
        <w:rPr>
          <w:rStyle w:val="FootnoteReference"/>
          <w:rFonts w:ascii="Book Antiqua" w:hAnsi="Book Antiqua"/>
          <w:lang w:val="es-ES"/>
        </w:rPr>
        <w:footnoteRef/>
      </w:r>
      <w:r w:rsidRPr="005B1E02">
        <w:rPr>
          <w:rFonts w:ascii="Book Antiqua" w:hAnsi="Book Antiqua"/>
          <w:lang w:val="es-ES"/>
        </w:rPr>
        <w:t xml:space="preserve"> Ante el Tribunal de Apelaciones se encuentra una Petición de </w:t>
      </w:r>
      <w:r w:rsidRPr="005B1E02">
        <w:rPr>
          <w:rFonts w:ascii="Book Antiqua" w:hAnsi="Book Antiqua"/>
          <w:i/>
          <w:iCs/>
          <w:lang w:val="es-ES"/>
        </w:rPr>
        <w:t xml:space="preserve">Certiorari </w:t>
      </w:r>
      <w:r w:rsidRPr="005B1E02">
        <w:rPr>
          <w:rFonts w:ascii="Book Antiqua" w:hAnsi="Book Antiqua"/>
          <w:lang w:val="es-ES"/>
        </w:rPr>
        <w:t xml:space="preserve">del caso </w:t>
      </w:r>
      <w:r w:rsidRPr="006032A1">
        <w:rPr>
          <w:rFonts w:ascii="Book Antiqua" w:hAnsi="Book Antiqua"/>
          <w:i/>
          <w:iCs/>
          <w:lang w:val="es-ES"/>
        </w:rPr>
        <w:t>Pueblo v. Nevárez Torres</w:t>
      </w:r>
      <w:r w:rsidRPr="005B1E02">
        <w:rPr>
          <w:rFonts w:ascii="Book Antiqua" w:hAnsi="Book Antiqua"/>
          <w:lang w:val="es-ES"/>
        </w:rPr>
        <w:t>, KLCE202500179.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0074E442" w:rsidR="00BA0FB9" w:rsidRPr="00BA0FB9" w:rsidRDefault="00BA0FB9" w:rsidP="00BA0FB9">
    <w:pPr>
      <w:pStyle w:val="Header"/>
      <w:ind w:right="360"/>
      <w:rPr>
        <w:rFonts w:ascii="Book Antiqua" w:hAnsi="Book Antiqua"/>
        <w:sz w:val="20"/>
      </w:rPr>
    </w:pPr>
    <w:r w:rsidRPr="00BA0FB9">
      <w:rPr>
        <w:rFonts w:ascii="Book Antiqua" w:hAnsi="Book Antiqua"/>
        <w:sz w:val="20"/>
      </w:rPr>
      <w:t>Informe P. de la C.</w:t>
    </w:r>
    <w:r>
      <w:rPr>
        <w:rFonts w:ascii="Book Antiqua" w:hAnsi="Book Antiqua"/>
        <w:sz w:val="20"/>
      </w:rPr>
      <w:t xml:space="preserve"> </w:t>
    </w:r>
    <w:r w:rsidR="007C0447">
      <w:rPr>
        <w:rFonts w:ascii="Book Antiqua" w:hAnsi="Book Antiqua"/>
        <w:sz w:val="20"/>
      </w:rPr>
      <w:t>321</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0"/>
  </w:num>
  <w:num w:numId="3" w16cid:durableId="574238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415C"/>
    <w:rsid w:val="000136F7"/>
    <w:rsid w:val="000140F6"/>
    <w:rsid w:val="000177B6"/>
    <w:rsid w:val="00017DE0"/>
    <w:rsid w:val="000277D6"/>
    <w:rsid w:val="00033266"/>
    <w:rsid w:val="000510A4"/>
    <w:rsid w:val="00053414"/>
    <w:rsid w:val="00057149"/>
    <w:rsid w:val="0005781F"/>
    <w:rsid w:val="00067A08"/>
    <w:rsid w:val="00070932"/>
    <w:rsid w:val="000743E5"/>
    <w:rsid w:val="00076BDB"/>
    <w:rsid w:val="00087EB1"/>
    <w:rsid w:val="00096272"/>
    <w:rsid w:val="000A5BDE"/>
    <w:rsid w:val="000B15BE"/>
    <w:rsid w:val="000B30BC"/>
    <w:rsid w:val="000B4646"/>
    <w:rsid w:val="000C18F3"/>
    <w:rsid w:val="000D434B"/>
    <w:rsid w:val="000D6426"/>
    <w:rsid w:val="000D7951"/>
    <w:rsid w:val="000E3E7B"/>
    <w:rsid w:val="000F0B24"/>
    <w:rsid w:val="000F3725"/>
    <w:rsid w:val="000F48F4"/>
    <w:rsid w:val="000F7BDE"/>
    <w:rsid w:val="00101518"/>
    <w:rsid w:val="00103370"/>
    <w:rsid w:val="00110219"/>
    <w:rsid w:val="001155A8"/>
    <w:rsid w:val="00127DAC"/>
    <w:rsid w:val="00131433"/>
    <w:rsid w:val="00134979"/>
    <w:rsid w:val="00137636"/>
    <w:rsid w:val="001407A8"/>
    <w:rsid w:val="0014669D"/>
    <w:rsid w:val="00151C0B"/>
    <w:rsid w:val="00151EAB"/>
    <w:rsid w:val="00155053"/>
    <w:rsid w:val="00162770"/>
    <w:rsid w:val="00163F28"/>
    <w:rsid w:val="00165172"/>
    <w:rsid w:val="00165BB2"/>
    <w:rsid w:val="00165F38"/>
    <w:rsid w:val="0016625F"/>
    <w:rsid w:val="00167D19"/>
    <w:rsid w:val="00186A03"/>
    <w:rsid w:val="00191A62"/>
    <w:rsid w:val="001A1EDF"/>
    <w:rsid w:val="001A261F"/>
    <w:rsid w:val="001B058C"/>
    <w:rsid w:val="001C6691"/>
    <w:rsid w:val="001E040E"/>
    <w:rsid w:val="001F2813"/>
    <w:rsid w:val="001F65F6"/>
    <w:rsid w:val="001F682B"/>
    <w:rsid w:val="00202382"/>
    <w:rsid w:val="00202B70"/>
    <w:rsid w:val="00203B38"/>
    <w:rsid w:val="002044FE"/>
    <w:rsid w:val="00204A9D"/>
    <w:rsid w:val="00211176"/>
    <w:rsid w:val="002136CB"/>
    <w:rsid w:val="00217313"/>
    <w:rsid w:val="00217E90"/>
    <w:rsid w:val="002221F0"/>
    <w:rsid w:val="002323A7"/>
    <w:rsid w:val="0024129A"/>
    <w:rsid w:val="00242BF0"/>
    <w:rsid w:val="00250F0F"/>
    <w:rsid w:val="00252E35"/>
    <w:rsid w:val="002541BE"/>
    <w:rsid w:val="00272B73"/>
    <w:rsid w:val="00275C5D"/>
    <w:rsid w:val="002A439F"/>
    <w:rsid w:val="002A5686"/>
    <w:rsid w:val="002B28D2"/>
    <w:rsid w:val="002B2A35"/>
    <w:rsid w:val="002B4C35"/>
    <w:rsid w:val="002C0D49"/>
    <w:rsid w:val="002D2E26"/>
    <w:rsid w:val="002E49F0"/>
    <w:rsid w:val="002F0998"/>
    <w:rsid w:val="002F18AB"/>
    <w:rsid w:val="002F4AC2"/>
    <w:rsid w:val="002F4E78"/>
    <w:rsid w:val="002F4F33"/>
    <w:rsid w:val="00300B4D"/>
    <w:rsid w:val="00303DE8"/>
    <w:rsid w:val="003067F4"/>
    <w:rsid w:val="00310674"/>
    <w:rsid w:val="00310C64"/>
    <w:rsid w:val="003140AD"/>
    <w:rsid w:val="0031417B"/>
    <w:rsid w:val="0031443B"/>
    <w:rsid w:val="00317204"/>
    <w:rsid w:val="00320217"/>
    <w:rsid w:val="003206D9"/>
    <w:rsid w:val="0032185C"/>
    <w:rsid w:val="00322C70"/>
    <w:rsid w:val="0032636C"/>
    <w:rsid w:val="00332DC5"/>
    <w:rsid w:val="00337C3E"/>
    <w:rsid w:val="00337DDD"/>
    <w:rsid w:val="00371D82"/>
    <w:rsid w:val="0038195D"/>
    <w:rsid w:val="00385EA0"/>
    <w:rsid w:val="00387AA8"/>
    <w:rsid w:val="003927E7"/>
    <w:rsid w:val="003A1A56"/>
    <w:rsid w:val="003A4D3E"/>
    <w:rsid w:val="003A543A"/>
    <w:rsid w:val="003A56B4"/>
    <w:rsid w:val="003B48B0"/>
    <w:rsid w:val="003C2B1D"/>
    <w:rsid w:val="003C30E4"/>
    <w:rsid w:val="003C3D24"/>
    <w:rsid w:val="003C61C9"/>
    <w:rsid w:val="003D0CCD"/>
    <w:rsid w:val="003D2144"/>
    <w:rsid w:val="003D4C49"/>
    <w:rsid w:val="003E2C27"/>
    <w:rsid w:val="003E31B6"/>
    <w:rsid w:val="003E5F73"/>
    <w:rsid w:val="003F6738"/>
    <w:rsid w:val="003F6B6E"/>
    <w:rsid w:val="0040058A"/>
    <w:rsid w:val="004011C3"/>
    <w:rsid w:val="00401E40"/>
    <w:rsid w:val="00410994"/>
    <w:rsid w:val="00414D73"/>
    <w:rsid w:val="00416B0C"/>
    <w:rsid w:val="0042272E"/>
    <w:rsid w:val="0042546D"/>
    <w:rsid w:val="00425F9C"/>
    <w:rsid w:val="00426675"/>
    <w:rsid w:val="0042743B"/>
    <w:rsid w:val="0042783C"/>
    <w:rsid w:val="00432086"/>
    <w:rsid w:val="00440ED7"/>
    <w:rsid w:val="00444A9E"/>
    <w:rsid w:val="00450143"/>
    <w:rsid w:val="0045102D"/>
    <w:rsid w:val="004524C9"/>
    <w:rsid w:val="00453CFE"/>
    <w:rsid w:val="00455EAC"/>
    <w:rsid w:val="00457F21"/>
    <w:rsid w:val="004642B0"/>
    <w:rsid w:val="00465F31"/>
    <w:rsid w:val="004678C2"/>
    <w:rsid w:val="00471331"/>
    <w:rsid w:val="00486A6E"/>
    <w:rsid w:val="0049095B"/>
    <w:rsid w:val="004918F4"/>
    <w:rsid w:val="004922A1"/>
    <w:rsid w:val="004A5C02"/>
    <w:rsid w:val="004B05BC"/>
    <w:rsid w:val="004C0DAB"/>
    <w:rsid w:val="004C3C30"/>
    <w:rsid w:val="004D03F0"/>
    <w:rsid w:val="004D19BF"/>
    <w:rsid w:val="004D2FC8"/>
    <w:rsid w:val="004E1D46"/>
    <w:rsid w:val="004F380E"/>
    <w:rsid w:val="005003E2"/>
    <w:rsid w:val="005044D6"/>
    <w:rsid w:val="00512BB2"/>
    <w:rsid w:val="00512D7C"/>
    <w:rsid w:val="00513338"/>
    <w:rsid w:val="005149DD"/>
    <w:rsid w:val="00517B4E"/>
    <w:rsid w:val="0052051E"/>
    <w:rsid w:val="00532969"/>
    <w:rsid w:val="00532FBC"/>
    <w:rsid w:val="005429CD"/>
    <w:rsid w:val="00544732"/>
    <w:rsid w:val="00544B79"/>
    <w:rsid w:val="005452A6"/>
    <w:rsid w:val="0054585D"/>
    <w:rsid w:val="0055257F"/>
    <w:rsid w:val="005534C8"/>
    <w:rsid w:val="0055498A"/>
    <w:rsid w:val="00566EB3"/>
    <w:rsid w:val="00570CCC"/>
    <w:rsid w:val="00571EBB"/>
    <w:rsid w:val="00574681"/>
    <w:rsid w:val="00590826"/>
    <w:rsid w:val="00595807"/>
    <w:rsid w:val="00595B66"/>
    <w:rsid w:val="005979DD"/>
    <w:rsid w:val="005A1F4B"/>
    <w:rsid w:val="005A32FE"/>
    <w:rsid w:val="005A7DF9"/>
    <w:rsid w:val="005B08F8"/>
    <w:rsid w:val="005B1D73"/>
    <w:rsid w:val="005B1E02"/>
    <w:rsid w:val="005B2906"/>
    <w:rsid w:val="005B2A11"/>
    <w:rsid w:val="005B2E79"/>
    <w:rsid w:val="005C4B93"/>
    <w:rsid w:val="005C5B93"/>
    <w:rsid w:val="005C6FEA"/>
    <w:rsid w:val="005D185C"/>
    <w:rsid w:val="005D2E19"/>
    <w:rsid w:val="005D415D"/>
    <w:rsid w:val="005E4419"/>
    <w:rsid w:val="005E49FD"/>
    <w:rsid w:val="005E6827"/>
    <w:rsid w:val="005F06F3"/>
    <w:rsid w:val="005F2D63"/>
    <w:rsid w:val="006032A1"/>
    <w:rsid w:val="00604F86"/>
    <w:rsid w:val="00610995"/>
    <w:rsid w:val="00616C07"/>
    <w:rsid w:val="006227E0"/>
    <w:rsid w:val="006238A3"/>
    <w:rsid w:val="00633DA8"/>
    <w:rsid w:val="00634555"/>
    <w:rsid w:val="00635FC4"/>
    <w:rsid w:val="0063667B"/>
    <w:rsid w:val="0064035D"/>
    <w:rsid w:val="006425CA"/>
    <w:rsid w:val="00642B14"/>
    <w:rsid w:val="0064366D"/>
    <w:rsid w:val="00644953"/>
    <w:rsid w:val="00645C61"/>
    <w:rsid w:val="00650E61"/>
    <w:rsid w:val="0065253D"/>
    <w:rsid w:val="00656F82"/>
    <w:rsid w:val="00661A92"/>
    <w:rsid w:val="00662077"/>
    <w:rsid w:val="00663C6C"/>
    <w:rsid w:val="00666BEA"/>
    <w:rsid w:val="0067020F"/>
    <w:rsid w:val="006702E7"/>
    <w:rsid w:val="00671E3F"/>
    <w:rsid w:val="006756B5"/>
    <w:rsid w:val="00681750"/>
    <w:rsid w:val="00683C80"/>
    <w:rsid w:val="00690458"/>
    <w:rsid w:val="00690505"/>
    <w:rsid w:val="00690C0B"/>
    <w:rsid w:val="006B55C5"/>
    <w:rsid w:val="006B7588"/>
    <w:rsid w:val="006C178D"/>
    <w:rsid w:val="006C26B3"/>
    <w:rsid w:val="006C3629"/>
    <w:rsid w:val="006C3AC9"/>
    <w:rsid w:val="006C6C95"/>
    <w:rsid w:val="006D5BFE"/>
    <w:rsid w:val="006E019A"/>
    <w:rsid w:val="006E3AFA"/>
    <w:rsid w:val="006E413B"/>
    <w:rsid w:val="006E441B"/>
    <w:rsid w:val="006E44D0"/>
    <w:rsid w:val="006E6FCA"/>
    <w:rsid w:val="006E7EED"/>
    <w:rsid w:val="00703AB8"/>
    <w:rsid w:val="00706C48"/>
    <w:rsid w:val="00710CB1"/>
    <w:rsid w:val="00711B31"/>
    <w:rsid w:val="0072272E"/>
    <w:rsid w:val="00724D9D"/>
    <w:rsid w:val="00727AFB"/>
    <w:rsid w:val="007323DD"/>
    <w:rsid w:val="007343F0"/>
    <w:rsid w:val="00734878"/>
    <w:rsid w:val="007353C9"/>
    <w:rsid w:val="00735498"/>
    <w:rsid w:val="00737B0E"/>
    <w:rsid w:val="007535C4"/>
    <w:rsid w:val="00754522"/>
    <w:rsid w:val="00761B64"/>
    <w:rsid w:val="0076367F"/>
    <w:rsid w:val="00764B9A"/>
    <w:rsid w:val="0077111F"/>
    <w:rsid w:val="00781046"/>
    <w:rsid w:val="0078410D"/>
    <w:rsid w:val="007926D0"/>
    <w:rsid w:val="00794D28"/>
    <w:rsid w:val="007A57DF"/>
    <w:rsid w:val="007A5E0C"/>
    <w:rsid w:val="007B40D9"/>
    <w:rsid w:val="007B43B9"/>
    <w:rsid w:val="007C0447"/>
    <w:rsid w:val="007C07C2"/>
    <w:rsid w:val="007C2647"/>
    <w:rsid w:val="007C2A8D"/>
    <w:rsid w:val="007C2F35"/>
    <w:rsid w:val="007C4D01"/>
    <w:rsid w:val="007C4E34"/>
    <w:rsid w:val="007D1087"/>
    <w:rsid w:val="007D1174"/>
    <w:rsid w:val="007D1DEA"/>
    <w:rsid w:val="007D6F71"/>
    <w:rsid w:val="007E1DCE"/>
    <w:rsid w:val="007E1FA6"/>
    <w:rsid w:val="007E324B"/>
    <w:rsid w:val="007E4D0B"/>
    <w:rsid w:val="007E520E"/>
    <w:rsid w:val="00803808"/>
    <w:rsid w:val="008048EC"/>
    <w:rsid w:val="008169F6"/>
    <w:rsid w:val="00817714"/>
    <w:rsid w:val="00821032"/>
    <w:rsid w:val="0083507A"/>
    <w:rsid w:val="00836B0A"/>
    <w:rsid w:val="00847C71"/>
    <w:rsid w:val="008511D3"/>
    <w:rsid w:val="00860A65"/>
    <w:rsid w:val="00862C0D"/>
    <w:rsid w:val="00866738"/>
    <w:rsid w:val="008703A0"/>
    <w:rsid w:val="0087092F"/>
    <w:rsid w:val="00875E12"/>
    <w:rsid w:val="00877607"/>
    <w:rsid w:val="00880772"/>
    <w:rsid w:val="00884F8A"/>
    <w:rsid w:val="00887AA1"/>
    <w:rsid w:val="00891F60"/>
    <w:rsid w:val="008A29AF"/>
    <w:rsid w:val="008A3931"/>
    <w:rsid w:val="008A70CD"/>
    <w:rsid w:val="008B0257"/>
    <w:rsid w:val="008B1DBA"/>
    <w:rsid w:val="008B5563"/>
    <w:rsid w:val="008C0062"/>
    <w:rsid w:val="008C4002"/>
    <w:rsid w:val="008E19A5"/>
    <w:rsid w:val="008E3355"/>
    <w:rsid w:val="008F12F9"/>
    <w:rsid w:val="008F2F73"/>
    <w:rsid w:val="008F509B"/>
    <w:rsid w:val="008F5B4F"/>
    <w:rsid w:val="00901D6D"/>
    <w:rsid w:val="00902B84"/>
    <w:rsid w:val="00907023"/>
    <w:rsid w:val="00907242"/>
    <w:rsid w:val="00915134"/>
    <w:rsid w:val="00917264"/>
    <w:rsid w:val="00921D43"/>
    <w:rsid w:val="00924D99"/>
    <w:rsid w:val="009266CF"/>
    <w:rsid w:val="00935627"/>
    <w:rsid w:val="0093575A"/>
    <w:rsid w:val="00952D5D"/>
    <w:rsid w:val="00953EB2"/>
    <w:rsid w:val="0095527E"/>
    <w:rsid w:val="009643AD"/>
    <w:rsid w:val="009725A9"/>
    <w:rsid w:val="00981DCF"/>
    <w:rsid w:val="00982CB0"/>
    <w:rsid w:val="0098467A"/>
    <w:rsid w:val="009847AF"/>
    <w:rsid w:val="009877D1"/>
    <w:rsid w:val="00991596"/>
    <w:rsid w:val="00993383"/>
    <w:rsid w:val="00993EAF"/>
    <w:rsid w:val="0099414C"/>
    <w:rsid w:val="00996ED7"/>
    <w:rsid w:val="00997187"/>
    <w:rsid w:val="00997EC4"/>
    <w:rsid w:val="009A04F8"/>
    <w:rsid w:val="009A34A6"/>
    <w:rsid w:val="009A40AE"/>
    <w:rsid w:val="009A704E"/>
    <w:rsid w:val="009B217F"/>
    <w:rsid w:val="009C2103"/>
    <w:rsid w:val="009C72E9"/>
    <w:rsid w:val="009E04CA"/>
    <w:rsid w:val="009E198A"/>
    <w:rsid w:val="009E6DB5"/>
    <w:rsid w:val="009F6B5A"/>
    <w:rsid w:val="009F7109"/>
    <w:rsid w:val="009F7A36"/>
    <w:rsid w:val="00A0085F"/>
    <w:rsid w:val="00A01F1A"/>
    <w:rsid w:val="00A0671A"/>
    <w:rsid w:val="00A10A5B"/>
    <w:rsid w:val="00A11846"/>
    <w:rsid w:val="00A2335A"/>
    <w:rsid w:val="00A27278"/>
    <w:rsid w:val="00A30B31"/>
    <w:rsid w:val="00A436EA"/>
    <w:rsid w:val="00A4506C"/>
    <w:rsid w:val="00A453D6"/>
    <w:rsid w:val="00A45DD0"/>
    <w:rsid w:val="00A4724D"/>
    <w:rsid w:val="00A50D44"/>
    <w:rsid w:val="00A619BC"/>
    <w:rsid w:val="00A63F11"/>
    <w:rsid w:val="00A80596"/>
    <w:rsid w:val="00A816AC"/>
    <w:rsid w:val="00A84B57"/>
    <w:rsid w:val="00A877FA"/>
    <w:rsid w:val="00A879E7"/>
    <w:rsid w:val="00A925FE"/>
    <w:rsid w:val="00A92C00"/>
    <w:rsid w:val="00A94F88"/>
    <w:rsid w:val="00AA1A70"/>
    <w:rsid w:val="00AA662B"/>
    <w:rsid w:val="00AC073E"/>
    <w:rsid w:val="00AD2C7C"/>
    <w:rsid w:val="00AD63FF"/>
    <w:rsid w:val="00AE0139"/>
    <w:rsid w:val="00AF7B69"/>
    <w:rsid w:val="00B01CED"/>
    <w:rsid w:val="00B03DC3"/>
    <w:rsid w:val="00B0458E"/>
    <w:rsid w:val="00B13836"/>
    <w:rsid w:val="00B1497F"/>
    <w:rsid w:val="00B166D9"/>
    <w:rsid w:val="00B20FD6"/>
    <w:rsid w:val="00B21720"/>
    <w:rsid w:val="00B22333"/>
    <w:rsid w:val="00B379A4"/>
    <w:rsid w:val="00B41268"/>
    <w:rsid w:val="00B421AC"/>
    <w:rsid w:val="00B4316B"/>
    <w:rsid w:val="00B457F6"/>
    <w:rsid w:val="00B461B7"/>
    <w:rsid w:val="00B47C44"/>
    <w:rsid w:val="00B512CC"/>
    <w:rsid w:val="00B5398B"/>
    <w:rsid w:val="00B56E27"/>
    <w:rsid w:val="00B6557B"/>
    <w:rsid w:val="00B70A60"/>
    <w:rsid w:val="00B7115C"/>
    <w:rsid w:val="00B72C62"/>
    <w:rsid w:val="00B752A0"/>
    <w:rsid w:val="00B763D3"/>
    <w:rsid w:val="00B77119"/>
    <w:rsid w:val="00B77CEE"/>
    <w:rsid w:val="00B77ED2"/>
    <w:rsid w:val="00B82581"/>
    <w:rsid w:val="00B86D18"/>
    <w:rsid w:val="00B95B73"/>
    <w:rsid w:val="00B970C8"/>
    <w:rsid w:val="00BA02DF"/>
    <w:rsid w:val="00BA06F2"/>
    <w:rsid w:val="00BA0FB9"/>
    <w:rsid w:val="00BA793A"/>
    <w:rsid w:val="00BC15B4"/>
    <w:rsid w:val="00BC44F1"/>
    <w:rsid w:val="00BC6187"/>
    <w:rsid w:val="00BC6D11"/>
    <w:rsid w:val="00BD2C11"/>
    <w:rsid w:val="00BD6DF0"/>
    <w:rsid w:val="00BE4E95"/>
    <w:rsid w:val="00BE6F4B"/>
    <w:rsid w:val="00BF4209"/>
    <w:rsid w:val="00BF7047"/>
    <w:rsid w:val="00C10604"/>
    <w:rsid w:val="00C12DD1"/>
    <w:rsid w:val="00C32493"/>
    <w:rsid w:val="00C3522B"/>
    <w:rsid w:val="00C4228B"/>
    <w:rsid w:val="00C43F3E"/>
    <w:rsid w:val="00C50727"/>
    <w:rsid w:val="00C531EE"/>
    <w:rsid w:val="00C537C7"/>
    <w:rsid w:val="00C5445D"/>
    <w:rsid w:val="00C60DB5"/>
    <w:rsid w:val="00C62701"/>
    <w:rsid w:val="00C6479D"/>
    <w:rsid w:val="00C662B4"/>
    <w:rsid w:val="00C665B7"/>
    <w:rsid w:val="00C66EA5"/>
    <w:rsid w:val="00C72216"/>
    <w:rsid w:val="00C7578D"/>
    <w:rsid w:val="00C843F8"/>
    <w:rsid w:val="00C851B0"/>
    <w:rsid w:val="00C9258E"/>
    <w:rsid w:val="00C925B9"/>
    <w:rsid w:val="00CA4A6F"/>
    <w:rsid w:val="00CA6F77"/>
    <w:rsid w:val="00CA7F00"/>
    <w:rsid w:val="00CB4BCC"/>
    <w:rsid w:val="00CB5162"/>
    <w:rsid w:val="00CB5CF2"/>
    <w:rsid w:val="00CC270A"/>
    <w:rsid w:val="00CC52C2"/>
    <w:rsid w:val="00CD1910"/>
    <w:rsid w:val="00CD4363"/>
    <w:rsid w:val="00CD5176"/>
    <w:rsid w:val="00CE3AB5"/>
    <w:rsid w:val="00CE5A0D"/>
    <w:rsid w:val="00CE72F1"/>
    <w:rsid w:val="00CF0B27"/>
    <w:rsid w:val="00CF3141"/>
    <w:rsid w:val="00CF6F95"/>
    <w:rsid w:val="00D0041B"/>
    <w:rsid w:val="00D01CCF"/>
    <w:rsid w:val="00D032B8"/>
    <w:rsid w:val="00D075A4"/>
    <w:rsid w:val="00D12599"/>
    <w:rsid w:val="00D14319"/>
    <w:rsid w:val="00D163E3"/>
    <w:rsid w:val="00D2019A"/>
    <w:rsid w:val="00D22AEA"/>
    <w:rsid w:val="00D25253"/>
    <w:rsid w:val="00D26763"/>
    <w:rsid w:val="00D27AA3"/>
    <w:rsid w:val="00D32AE6"/>
    <w:rsid w:val="00D3587B"/>
    <w:rsid w:val="00D362C9"/>
    <w:rsid w:val="00D4136E"/>
    <w:rsid w:val="00D44CC7"/>
    <w:rsid w:val="00D5588C"/>
    <w:rsid w:val="00D61097"/>
    <w:rsid w:val="00D761B6"/>
    <w:rsid w:val="00D82974"/>
    <w:rsid w:val="00D874CD"/>
    <w:rsid w:val="00D90CE6"/>
    <w:rsid w:val="00D91688"/>
    <w:rsid w:val="00D93876"/>
    <w:rsid w:val="00D94AF4"/>
    <w:rsid w:val="00D97A87"/>
    <w:rsid w:val="00DA2863"/>
    <w:rsid w:val="00DA2C43"/>
    <w:rsid w:val="00DA6C13"/>
    <w:rsid w:val="00DB2921"/>
    <w:rsid w:val="00DC0BD4"/>
    <w:rsid w:val="00DC0D78"/>
    <w:rsid w:val="00DC1C4E"/>
    <w:rsid w:val="00DC6B0B"/>
    <w:rsid w:val="00DD0FC6"/>
    <w:rsid w:val="00DD1E4B"/>
    <w:rsid w:val="00DD5E21"/>
    <w:rsid w:val="00DD78FE"/>
    <w:rsid w:val="00DE1A7D"/>
    <w:rsid w:val="00DE5009"/>
    <w:rsid w:val="00DF30B9"/>
    <w:rsid w:val="00E029D3"/>
    <w:rsid w:val="00E06368"/>
    <w:rsid w:val="00E068BB"/>
    <w:rsid w:val="00E17BB6"/>
    <w:rsid w:val="00E22A58"/>
    <w:rsid w:val="00E242D8"/>
    <w:rsid w:val="00E258F1"/>
    <w:rsid w:val="00E266C8"/>
    <w:rsid w:val="00E3066B"/>
    <w:rsid w:val="00E3093D"/>
    <w:rsid w:val="00E370D2"/>
    <w:rsid w:val="00E374DF"/>
    <w:rsid w:val="00E37F53"/>
    <w:rsid w:val="00E40788"/>
    <w:rsid w:val="00E40A24"/>
    <w:rsid w:val="00E54C56"/>
    <w:rsid w:val="00E54C5F"/>
    <w:rsid w:val="00E54EEA"/>
    <w:rsid w:val="00E61E41"/>
    <w:rsid w:val="00E634DC"/>
    <w:rsid w:val="00E6632B"/>
    <w:rsid w:val="00E677EF"/>
    <w:rsid w:val="00E67EED"/>
    <w:rsid w:val="00E72C81"/>
    <w:rsid w:val="00E739D1"/>
    <w:rsid w:val="00E7548B"/>
    <w:rsid w:val="00E80252"/>
    <w:rsid w:val="00E83E01"/>
    <w:rsid w:val="00E92CD9"/>
    <w:rsid w:val="00E9488F"/>
    <w:rsid w:val="00E96311"/>
    <w:rsid w:val="00E9671F"/>
    <w:rsid w:val="00EA0FC2"/>
    <w:rsid w:val="00EA2870"/>
    <w:rsid w:val="00EA521C"/>
    <w:rsid w:val="00EA5AE0"/>
    <w:rsid w:val="00EB4353"/>
    <w:rsid w:val="00EB5F3B"/>
    <w:rsid w:val="00EB69A8"/>
    <w:rsid w:val="00EC3B17"/>
    <w:rsid w:val="00EC4BBD"/>
    <w:rsid w:val="00EC5282"/>
    <w:rsid w:val="00ED4AE2"/>
    <w:rsid w:val="00ED4FD9"/>
    <w:rsid w:val="00ED6374"/>
    <w:rsid w:val="00EE0852"/>
    <w:rsid w:val="00EE179A"/>
    <w:rsid w:val="00EE2704"/>
    <w:rsid w:val="00EE40F2"/>
    <w:rsid w:val="00EE560D"/>
    <w:rsid w:val="00EF1784"/>
    <w:rsid w:val="00EF5599"/>
    <w:rsid w:val="00EF75BF"/>
    <w:rsid w:val="00F02B4A"/>
    <w:rsid w:val="00F03882"/>
    <w:rsid w:val="00F10FD2"/>
    <w:rsid w:val="00F12193"/>
    <w:rsid w:val="00F16319"/>
    <w:rsid w:val="00F16798"/>
    <w:rsid w:val="00F2281A"/>
    <w:rsid w:val="00F2640D"/>
    <w:rsid w:val="00F35191"/>
    <w:rsid w:val="00F46CE1"/>
    <w:rsid w:val="00F50CDC"/>
    <w:rsid w:val="00F61973"/>
    <w:rsid w:val="00F62406"/>
    <w:rsid w:val="00F64361"/>
    <w:rsid w:val="00F67A76"/>
    <w:rsid w:val="00F67BF9"/>
    <w:rsid w:val="00F73E6F"/>
    <w:rsid w:val="00F74C3D"/>
    <w:rsid w:val="00F75B7B"/>
    <w:rsid w:val="00F85421"/>
    <w:rsid w:val="00F85460"/>
    <w:rsid w:val="00F85AC7"/>
    <w:rsid w:val="00F86B2F"/>
    <w:rsid w:val="00F86E81"/>
    <w:rsid w:val="00F87F4D"/>
    <w:rsid w:val="00F91156"/>
    <w:rsid w:val="00F92D14"/>
    <w:rsid w:val="00F94272"/>
    <w:rsid w:val="00F97740"/>
    <w:rsid w:val="00FA6928"/>
    <w:rsid w:val="00FB21AE"/>
    <w:rsid w:val="00FB5E09"/>
    <w:rsid w:val="00FB6934"/>
    <w:rsid w:val="00FC2512"/>
    <w:rsid w:val="00FC321F"/>
    <w:rsid w:val="00FC7F10"/>
    <w:rsid w:val="00FD0271"/>
    <w:rsid w:val="00FD5230"/>
    <w:rsid w:val="00FD53B7"/>
    <w:rsid w:val="00FD57B8"/>
    <w:rsid w:val="00FD6918"/>
    <w:rsid w:val="00FE2235"/>
    <w:rsid w:val="00FE2E3C"/>
    <w:rsid w:val="00FE3BB3"/>
    <w:rsid w:val="00FE51C5"/>
    <w:rsid w:val="00FF05FA"/>
    <w:rsid w:val="00FF2005"/>
    <w:rsid w:val="00FF215A"/>
    <w:rsid w:val="00FF303C"/>
    <w:rsid w:val="00FF32BB"/>
    <w:rsid w:val="00FF3AB6"/>
    <w:rsid w:val="00FF41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4SQX5P7U7WPY-958212181-795518</_dlc_DocId>
    <_dlc_DocIdUrl xmlns="c890fddd-4e87-4e08-8b51-545f2a3f7b06">
      <Url>https://senpr.sharepoint.com/sites/obralegislativa/_layouts/15/DocIdRedir.aspx?ID=4SQX5P7U7WPY-958212181-795518</Url>
      <Description>4SQX5P7U7WPY-958212181-795518</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2.xml><?xml version="1.0" encoding="utf-8"?>
<ds:datastoreItem xmlns:ds="http://schemas.openxmlformats.org/officeDocument/2006/customXml" ds:itemID="{BAA462E0-D196-40F9-A068-57E4F8BD8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5.xml><?xml version="1.0" encoding="utf-8"?>
<ds:datastoreItem xmlns:ds="http://schemas.openxmlformats.org/officeDocument/2006/customXml" ds:itemID="{DBC677E0-AA33-4ABA-B0E9-085B0258F6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1221</Words>
  <Characters>6963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Victor E. Vélez Cucuta</cp:lastModifiedBy>
  <cp:revision>3</cp:revision>
  <cp:lastPrinted>2025-04-04T20:44:00Z</cp:lastPrinted>
  <dcterms:created xsi:type="dcterms:W3CDTF">2025-04-23T18:40:00Z</dcterms:created>
  <dcterms:modified xsi:type="dcterms:W3CDTF">2025-04-23T18:40:00Z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6ae9c013-38e4-4425-a8a2-5bdaee703ffb</vt:lpwstr>
  </property>
  <property fmtid="{D5CDD505-2E9C-101B-9397-08002B2CF9AE}" pid="4" name="MediaServiceImageTags">
    <vt:lpwstr/>
  </property>
</Properties>
</file>