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7975E" w14:textId="77777777" w:rsidR="00863F69" w:rsidRPr="00863F69" w:rsidRDefault="00863F69" w:rsidP="00863F69">
      <w:pPr>
        <w:jc w:val="center"/>
        <w:rPr>
          <w:rFonts w:ascii="Book Antiqua" w:hAnsi="Book Antiqua"/>
          <w:b/>
          <w:bCs/>
          <w:szCs w:val="24"/>
          <w:lang w:val="es-PR"/>
        </w:rPr>
      </w:pPr>
      <w:bookmarkStart w:id="0" w:name="_Hlk138253982"/>
      <w:r w:rsidRPr="00863F69">
        <w:rPr>
          <w:rFonts w:ascii="Book Antiqua" w:hAnsi="Book Antiqua"/>
          <w:b/>
          <w:bCs/>
          <w:szCs w:val="24"/>
          <w:lang w:val="es-PR"/>
        </w:rPr>
        <w:t>(TEXTO DE APROBACIÓN FINAL POR LA CÁMARA)</w:t>
      </w:r>
      <w:r w:rsidRPr="00863F69">
        <w:rPr>
          <w:rFonts w:ascii="Book Antiqua" w:hAnsi="Book Antiqua"/>
          <w:szCs w:val="24"/>
          <w:lang w:val="es-ES"/>
        </w:rPr>
        <w:fldChar w:fldCharType="begin"/>
      </w:r>
      <w:r w:rsidRPr="00863F69">
        <w:rPr>
          <w:rFonts w:ascii="Book Antiqua" w:hAnsi="Book Antiqua"/>
          <w:b/>
          <w:bCs/>
          <w:szCs w:val="24"/>
          <w:lang w:val="es-PR"/>
        </w:rPr>
        <w:instrText xml:space="preserve">PRIVATE </w:instrText>
      </w:r>
      <w:r w:rsidRPr="00863F69">
        <w:rPr>
          <w:rFonts w:ascii="Book Antiqua" w:hAnsi="Book Antiqua"/>
          <w:szCs w:val="24"/>
          <w:lang w:val="es-ES"/>
        </w:rPr>
        <w:fldChar w:fldCharType="end"/>
      </w:r>
    </w:p>
    <w:p w14:paraId="6726E62F" w14:textId="123C1BB4" w:rsidR="00863F69" w:rsidRPr="00863F69" w:rsidRDefault="00863F69" w:rsidP="00863F69">
      <w:pPr>
        <w:jc w:val="center"/>
        <w:rPr>
          <w:rFonts w:ascii="Book Antiqua" w:hAnsi="Book Antiqua"/>
          <w:b/>
          <w:bCs/>
          <w:szCs w:val="24"/>
          <w:lang w:val="es-PR"/>
        </w:rPr>
      </w:pPr>
      <w:r w:rsidRPr="00863F69">
        <w:rPr>
          <w:rFonts w:ascii="Book Antiqua" w:hAnsi="Book Antiqua"/>
          <w:b/>
          <w:bCs/>
          <w:szCs w:val="24"/>
          <w:lang w:val="es-PR"/>
        </w:rPr>
        <w:t>(</w:t>
      </w:r>
      <w:r>
        <w:rPr>
          <w:rFonts w:ascii="Book Antiqua" w:hAnsi="Book Antiqua"/>
          <w:b/>
          <w:bCs/>
          <w:szCs w:val="24"/>
          <w:lang w:val="es-PR"/>
        </w:rPr>
        <w:t>23</w:t>
      </w:r>
      <w:r w:rsidRPr="00863F69">
        <w:rPr>
          <w:rFonts w:ascii="Book Antiqua" w:hAnsi="Book Antiqua"/>
          <w:b/>
          <w:bCs/>
          <w:szCs w:val="24"/>
          <w:lang w:val="es-PR"/>
        </w:rPr>
        <w:t xml:space="preserve"> DE </w:t>
      </w:r>
      <w:r>
        <w:rPr>
          <w:rFonts w:ascii="Book Antiqua" w:hAnsi="Book Antiqua"/>
          <w:b/>
          <w:bCs/>
          <w:szCs w:val="24"/>
          <w:lang w:val="es-PR"/>
        </w:rPr>
        <w:t>JUNIO</w:t>
      </w:r>
      <w:r w:rsidRPr="00863F69">
        <w:rPr>
          <w:rFonts w:ascii="Book Antiqua" w:hAnsi="Book Antiqua"/>
          <w:b/>
          <w:bCs/>
          <w:szCs w:val="24"/>
          <w:lang w:val="es-PR"/>
        </w:rPr>
        <w:t xml:space="preserve"> DE 2025)</w:t>
      </w:r>
    </w:p>
    <w:p w14:paraId="2DDD9B6D" w14:textId="3977087C" w:rsidR="00DB1915" w:rsidRPr="00863F69" w:rsidRDefault="00863F69" w:rsidP="00863F69">
      <w:pPr>
        <w:jc w:val="center"/>
        <w:rPr>
          <w:rFonts w:ascii="Book Antiqua" w:hAnsi="Book Antiqua"/>
          <w:b/>
          <w:bCs/>
          <w:sz w:val="28"/>
          <w:lang w:val="es-ES_tradnl"/>
        </w:rPr>
      </w:pPr>
      <w:r w:rsidRPr="00863F69">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197025D2" wp14:editId="3C6D48E0">
                <wp:simplePos x="0" y="0"/>
                <wp:positionH relativeFrom="margin">
                  <wp:posOffset>0</wp:posOffset>
                </wp:positionH>
                <wp:positionV relativeFrom="paragraph">
                  <wp:posOffset>0</wp:posOffset>
                </wp:positionV>
                <wp:extent cx="5943600" cy="22860"/>
                <wp:effectExtent l="0" t="0" r="0" b="0"/>
                <wp:wrapNone/>
                <wp:docPr id="104424859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EB20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F0F67C3" w14:textId="24171560" w:rsidR="00B45F37" w:rsidRDefault="00B45F37" w:rsidP="00B45F37">
      <w:pPr>
        <w:pStyle w:val="Title2"/>
        <w:tabs>
          <w:tab w:val="clear" w:pos="648"/>
          <w:tab w:val="clear" w:pos="7776"/>
          <w:tab w:val="clear" w:pos="7848"/>
        </w:tabs>
        <w:jc w:val="center"/>
        <w:rPr>
          <w:rFonts w:ascii="Book Antiqua" w:hAnsi="Book Antiqua"/>
          <w:sz w:val="28"/>
          <w:szCs w:val="28"/>
          <w:lang w:val="it-IT"/>
        </w:rPr>
      </w:pPr>
      <w:r w:rsidRPr="00B45F37">
        <w:rPr>
          <w:rFonts w:ascii="Book Antiqua" w:hAnsi="Book Antiqua"/>
          <w:sz w:val="28"/>
          <w:szCs w:val="28"/>
          <w:lang w:val="it-IT"/>
        </w:rPr>
        <w:t>GOBIERNO DE PUERTO RICO</w:t>
      </w:r>
    </w:p>
    <w:p w14:paraId="4563B835" w14:textId="77777777" w:rsidR="00B45F37" w:rsidRPr="00B45F37" w:rsidRDefault="00B45F37" w:rsidP="00B45F37">
      <w:pPr>
        <w:rPr>
          <w:lang w:val="it-IT"/>
        </w:rPr>
      </w:pPr>
    </w:p>
    <w:p w14:paraId="29A06291" w14:textId="1681DD31" w:rsidR="00DB1915" w:rsidRDefault="00D02252" w:rsidP="00DE7292">
      <w:pPr>
        <w:pStyle w:val="Title2"/>
        <w:tabs>
          <w:tab w:val="clear" w:pos="648"/>
          <w:tab w:val="clear" w:pos="7776"/>
          <w:tab w:val="clear" w:pos="7848"/>
        </w:tabs>
        <w:rPr>
          <w:rFonts w:ascii="Book Antiqua" w:hAnsi="Book Antiqua"/>
          <w:lang w:val="es-ES_tradnl"/>
        </w:rPr>
      </w:pPr>
      <w:r w:rsidRPr="00B45F37">
        <w:rPr>
          <w:rFonts w:ascii="Book Antiqua" w:hAnsi="Book Antiqua"/>
          <w:lang w:val="it-IT"/>
        </w:rPr>
        <w:t>20ma</w:t>
      </w:r>
      <w:r w:rsidR="000C01FD" w:rsidRPr="00B45F37">
        <w:rPr>
          <w:rFonts w:ascii="Book Antiqua" w:hAnsi="Book Antiqua"/>
          <w:vertAlign w:val="superscript"/>
          <w:lang w:val="it-IT"/>
        </w:rPr>
        <w:t xml:space="preserve"> </w:t>
      </w:r>
      <w:r w:rsidR="00DB1915" w:rsidRPr="00B45F37">
        <w:rPr>
          <w:rFonts w:ascii="Book Antiqua" w:hAnsi="Book Antiqua"/>
          <w:lang w:val="it-IT"/>
        </w:rPr>
        <w:t>Asamblea</w:t>
      </w:r>
      <w:r w:rsidR="00DB1915" w:rsidRPr="00B45F37">
        <w:rPr>
          <w:rFonts w:ascii="Book Antiqua" w:hAnsi="Book Antiqua"/>
          <w:lang w:val="it-IT"/>
        </w:rPr>
        <w:tab/>
      </w:r>
      <w:r w:rsidR="00B33BE5" w:rsidRPr="00B45F37">
        <w:rPr>
          <w:rFonts w:ascii="Book Antiqua" w:hAnsi="Book Antiqua"/>
          <w:lang w:val="it-IT"/>
        </w:rPr>
        <w:tab/>
      </w:r>
      <w:r w:rsidR="00B33BE5" w:rsidRPr="00B45F37">
        <w:rPr>
          <w:rFonts w:ascii="Book Antiqua" w:hAnsi="Book Antiqua"/>
          <w:lang w:val="it-IT"/>
        </w:rPr>
        <w:tab/>
      </w:r>
      <w:r w:rsidR="00B33BE5" w:rsidRPr="00B45F37">
        <w:rPr>
          <w:rFonts w:ascii="Book Antiqua" w:hAnsi="Book Antiqua"/>
          <w:lang w:val="it-IT"/>
        </w:rPr>
        <w:tab/>
      </w:r>
      <w:r w:rsidR="00B33BE5" w:rsidRPr="00B45F37">
        <w:rPr>
          <w:rFonts w:ascii="Book Antiqua" w:hAnsi="Book Antiqua"/>
          <w:lang w:val="it-IT"/>
        </w:rPr>
        <w:tab/>
      </w:r>
      <w:r w:rsidR="00B33BE5" w:rsidRPr="00B45F37">
        <w:rPr>
          <w:rFonts w:ascii="Book Antiqua" w:hAnsi="Book Antiqua"/>
          <w:lang w:val="it-IT"/>
        </w:rPr>
        <w:tab/>
        <w:t xml:space="preserve">                                    </w:t>
      </w:r>
      <w:r w:rsidR="002B6209" w:rsidRPr="00B45F37">
        <w:rPr>
          <w:rFonts w:ascii="Book Antiqua" w:hAnsi="Book Antiqua"/>
          <w:lang w:val="it-IT"/>
        </w:rPr>
        <w:t>1ra.</w:t>
      </w:r>
      <w:r w:rsidR="00DB1915" w:rsidRPr="00B45F37">
        <w:rPr>
          <w:rFonts w:ascii="Book Antiqua" w:hAnsi="Book Antiqua"/>
          <w:lang w:val="it-IT"/>
        </w:rPr>
        <w:t xml:space="preserve"> </w:t>
      </w:r>
      <w:r w:rsidR="00DB1915">
        <w:rPr>
          <w:rFonts w:ascii="Book Antiqua" w:hAnsi="Book Antiqua"/>
          <w:lang w:val="es-ES_tradnl"/>
        </w:rPr>
        <w:t>Sesión</w:t>
      </w:r>
    </w:p>
    <w:p w14:paraId="08F21079" w14:textId="3BE3770F" w:rsidR="00DB1915" w:rsidRDefault="00B33BE5" w:rsidP="00DE7292">
      <w:pPr>
        <w:pStyle w:val="Title2"/>
        <w:tabs>
          <w:tab w:val="clear" w:pos="648"/>
          <w:tab w:val="clear" w:pos="7776"/>
          <w:tab w:val="left" w:pos="540"/>
          <w:tab w:val="left" w:pos="1260"/>
        </w:tabs>
        <w:rPr>
          <w:rFonts w:ascii="Book Antiqua" w:hAnsi="Book Antiqua"/>
          <w:lang w:val="es-ES_tradnl"/>
        </w:rPr>
      </w:pPr>
      <w:r>
        <w:rPr>
          <w:rFonts w:ascii="Book Antiqua" w:hAnsi="Book Antiqua"/>
          <w:lang w:val="es-ES_tradnl"/>
        </w:rPr>
        <w:tab/>
      </w:r>
      <w:r w:rsidR="00863F69">
        <w:rPr>
          <w:rFonts w:ascii="Book Antiqua" w:hAnsi="Book Antiqua"/>
          <w:lang w:val="es-ES_tradnl"/>
        </w:rPr>
        <w:t xml:space="preserve">  </w:t>
      </w:r>
      <w:r w:rsidR="00DB1915">
        <w:rPr>
          <w:rFonts w:ascii="Book Antiqua" w:hAnsi="Book Antiqua"/>
          <w:lang w:val="es-ES_tradnl"/>
        </w:rPr>
        <w:t>Legislativa</w:t>
      </w:r>
      <w:r w:rsidR="00DB1915">
        <w:rPr>
          <w:rFonts w:ascii="Book Antiqua" w:hAnsi="Book Antiqua"/>
          <w:lang w:val="es-ES_tradnl"/>
        </w:rPr>
        <w:tab/>
      </w:r>
      <w:r w:rsidR="00DB1915">
        <w:rPr>
          <w:rFonts w:ascii="Book Antiqua" w:hAnsi="Book Antiqua"/>
          <w:lang w:val="es-ES_tradnl"/>
        </w:rPr>
        <w:tab/>
      </w:r>
      <w:r>
        <w:rPr>
          <w:rFonts w:ascii="Book Antiqua" w:hAnsi="Book Antiqua"/>
          <w:lang w:val="es-ES_tradnl"/>
        </w:rPr>
        <w:t xml:space="preserve">      </w:t>
      </w:r>
      <w:r w:rsidR="00DB1915">
        <w:rPr>
          <w:rFonts w:ascii="Book Antiqua" w:hAnsi="Book Antiqua"/>
          <w:lang w:val="es-ES_tradnl"/>
        </w:rPr>
        <w:t>Ordinaria</w:t>
      </w:r>
    </w:p>
    <w:p w14:paraId="496EA37C" w14:textId="77777777" w:rsidR="00DB1915" w:rsidRDefault="00DB1915" w:rsidP="00DE7292">
      <w:pPr>
        <w:rPr>
          <w:lang w:val="es-ES_tradnl"/>
        </w:rPr>
      </w:pPr>
    </w:p>
    <w:p w14:paraId="3482A85C" w14:textId="77777777" w:rsidR="00DB1915" w:rsidRDefault="00DB1915" w:rsidP="00DE7292">
      <w:pPr>
        <w:jc w:val="center"/>
        <w:rPr>
          <w:rFonts w:ascii="Book Antiqua" w:hAnsi="Book Antiqua"/>
          <w:b/>
          <w:sz w:val="36"/>
          <w:lang w:val="es-ES_tradnl"/>
        </w:rPr>
      </w:pPr>
      <w:r>
        <w:rPr>
          <w:rFonts w:ascii="Book Antiqua" w:hAnsi="Book Antiqua"/>
          <w:b/>
          <w:sz w:val="36"/>
          <w:lang w:val="es-ES_tradnl"/>
        </w:rPr>
        <w:t>CÁMARA DE REPRESENTANTES</w:t>
      </w:r>
    </w:p>
    <w:p w14:paraId="1381A2DF" w14:textId="77777777" w:rsidR="00B33BE5" w:rsidRPr="00B33BE5" w:rsidRDefault="00B33BE5" w:rsidP="00DE7292">
      <w:pPr>
        <w:jc w:val="center"/>
        <w:rPr>
          <w:rFonts w:ascii="Book Antiqua" w:hAnsi="Book Antiqua"/>
          <w:b/>
          <w:szCs w:val="24"/>
          <w:lang w:val="es-ES_tradnl"/>
        </w:rPr>
      </w:pPr>
    </w:p>
    <w:p w14:paraId="6F52097E" w14:textId="0898B2C8" w:rsidR="00DB1915" w:rsidRDefault="00DB1915" w:rsidP="00DE7292">
      <w:pPr>
        <w:jc w:val="center"/>
        <w:rPr>
          <w:rFonts w:ascii="Book Antiqua" w:hAnsi="Book Antiqua"/>
          <w:b/>
          <w:sz w:val="52"/>
          <w:lang w:val="es-ES_tradnl"/>
        </w:rPr>
      </w:pPr>
      <w:r>
        <w:rPr>
          <w:rFonts w:ascii="Book Antiqua" w:hAnsi="Book Antiqua"/>
          <w:b/>
          <w:sz w:val="52"/>
          <w:lang w:val="es-ES_tradnl"/>
        </w:rPr>
        <w:t>P. de</w:t>
      </w:r>
      <w:r w:rsidR="00B33BE5">
        <w:rPr>
          <w:rFonts w:ascii="Book Antiqua" w:hAnsi="Book Antiqua"/>
          <w:b/>
          <w:sz w:val="52"/>
          <w:lang w:val="es-ES_tradnl"/>
        </w:rPr>
        <w:t xml:space="preserve"> </w:t>
      </w:r>
      <w:r>
        <w:rPr>
          <w:rFonts w:ascii="Book Antiqua" w:hAnsi="Book Antiqua"/>
          <w:b/>
          <w:sz w:val="52"/>
          <w:lang w:val="es-ES_tradnl"/>
        </w:rPr>
        <w:t xml:space="preserve">la C. </w:t>
      </w:r>
      <w:r w:rsidR="002D47A9">
        <w:rPr>
          <w:rFonts w:ascii="Book Antiqua" w:hAnsi="Book Antiqua"/>
          <w:b/>
          <w:sz w:val="52"/>
          <w:lang w:val="es-ES_tradnl"/>
        </w:rPr>
        <w:t>322</w:t>
      </w:r>
    </w:p>
    <w:p w14:paraId="394327BA" w14:textId="77777777" w:rsidR="00B33BE5" w:rsidRPr="00B33BE5" w:rsidRDefault="00B33BE5" w:rsidP="00DE7292">
      <w:pPr>
        <w:jc w:val="center"/>
        <w:rPr>
          <w:rFonts w:ascii="Book Antiqua" w:hAnsi="Book Antiqua"/>
          <w:b/>
          <w:szCs w:val="24"/>
          <w:lang w:val="es-ES_tradnl"/>
        </w:rPr>
      </w:pPr>
    </w:p>
    <w:p w14:paraId="6057D546" w14:textId="287B72DA" w:rsidR="00DB1915" w:rsidRDefault="002D47A9" w:rsidP="00DE7292">
      <w:pPr>
        <w:jc w:val="center"/>
        <w:rPr>
          <w:rFonts w:ascii="Book Antiqua" w:hAnsi="Book Antiqua"/>
          <w:lang w:val="es-ES_tradnl"/>
        </w:rPr>
      </w:pPr>
      <w:r>
        <w:rPr>
          <w:rFonts w:ascii="Book Antiqua" w:hAnsi="Book Antiqua"/>
          <w:lang w:val="es-ES_tradnl"/>
        </w:rPr>
        <w:t>10</w:t>
      </w:r>
      <w:r w:rsidR="00DB1915">
        <w:rPr>
          <w:rFonts w:ascii="Book Antiqua" w:hAnsi="Book Antiqua"/>
          <w:lang w:val="es-ES_tradnl"/>
        </w:rPr>
        <w:t xml:space="preserve"> DE</w:t>
      </w:r>
      <w:r w:rsidR="002B6209">
        <w:rPr>
          <w:rFonts w:ascii="Book Antiqua" w:hAnsi="Book Antiqua"/>
          <w:lang w:val="es-ES_tradnl"/>
        </w:rPr>
        <w:t xml:space="preserve"> FEBRERO</w:t>
      </w:r>
      <w:r w:rsidR="00DB1915">
        <w:rPr>
          <w:rFonts w:ascii="Book Antiqua" w:hAnsi="Book Antiqua"/>
          <w:lang w:val="es-ES_tradnl"/>
        </w:rPr>
        <w:t xml:space="preserve"> DE 202</w:t>
      </w:r>
      <w:r w:rsidR="00D02252">
        <w:rPr>
          <w:rFonts w:ascii="Book Antiqua" w:hAnsi="Book Antiqua"/>
          <w:lang w:val="es-ES_tradnl"/>
        </w:rPr>
        <w:t>5</w:t>
      </w:r>
    </w:p>
    <w:p w14:paraId="249DBBF1" w14:textId="77777777" w:rsidR="00B33BE5" w:rsidRDefault="00B33BE5" w:rsidP="00DE7292">
      <w:pPr>
        <w:jc w:val="center"/>
        <w:rPr>
          <w:rFonts w:ascii="Book Antiqua" w:hAnsi="Book Antiqua"/>
          <w:lang w:val="es-ES_tradnl"/>
        </w:rPr>
      </w:pPr>
    </w:p>
    <w:p w14:paraId="523FDA67" w14:textId="77777777" w:rsidR="00DB1915" w:rsidRDefault="00DB1915" w:rsidP="00DE7292">
      <w:pPr>
        <w:jc w:val="center"/>
        <w:rPr>
          <w:rFonts w:ascii="Book Antiqua" w:hAnsi="Book Antiqua"/>
          <w:i/>
          <w:lang w:val="es-PR"/>
        </w:rPr>
      </w:pPr>
      <w:r>
        <w:rPr>
          <w:rFonts w:ascii="Book Antiqua" w:hAnsi="Book Antiqua"/>
          <w:lang w:val="es-ES_tradnl"/>
        </w:rPr>
        <w:t xml:space="preserve">Presentado por el representante </w:t>
      </w:r>
      <w:r w:rsidRPr="00B017D8">
        <w:rPr>
          <w:rFonts w:ascii="Book Antiqua" w:hAnsi="Book Antiqua"/>
          <w:i/>
          <w:lang w:val="es-PR"/>
        </w:rPr>
        <w:t>Torres Zamora</w:t>
      </w:r>
    </w:p>
    <w:p w14:paraId="76AA70B0" w14:textId="77777777" w:rsidR="00B33BE5" w:rsidRDefault="00B33BE5" w:rsidP="00DE7292">
      <w:pPr>
        <w:jc w:val="center"/>
        <w:rPr>
          <w:rFonts w:ascii="Book Antiqua" w:hAnsi="Book Antiqua"/>
          <w:lang w:val="es-ES_tradnl"/>
        </w:rPr>
      </w:pPr>
    </w:p>
    <w:p w14:paraId="03B216E3" w14:textId="1354AD41" w:rsidR="00DB1915" w:rsidRDefault="00DB1915" w:rsidP="00DE7292">
      <w:pPr>
        <w:jc w:val="center"/>
        <w:rPr>
          <w:rFonts w:ascii="Book Antiqua" w:hAnsi="Book Antiqua"/>
          <w:lang w:val="es-ES_tradnl"/>
        </w:rPr>
      </w:pPr>
      <w:r>
        <w:rPr>
          <w:rFonts w:ascii="Book Antiqua" w:hAnsi="Book Antiqua"/>
          <w:lang w:val="es-ES_tradnl"/>
        </w:rPr>
        <w:t xml:space="preserve">Referido a </w:t>
      </w:r>
      <w:r w:rsidR="004F5AEA">
        <w:rPr>
          <w:rFonts w:ascii="Book Antiqua" w:hAnsi="Book Antiqua"/>
          <w:lang w:val="es-ES_tradnl"/>
        </w:rPr>
        <w:t>la Comisión de lo Jurídico</w:t>
      </w:r>
    </w:p>
    <w:p w14:paraId="6224BB2F" w14:textId="77777777" w:rsidR="00DB1915" w:rsidRDefault="00DB1915" w:rsidP="00DE7292">
      <w:pPr>
        <w:jc w:val="both"/>
        <w:rPr>
          <w:rFonts w:ascii="Book Antiqua" w:hAnsi="Book Antiqua"/>
          <w:lang w:val="es-ES_tradnl"/>
        </w:rPr>
      </w:pPr>
    </w:p>
    <w:p w14:paraId="362DE72C" w14:textId="77777777" w:rsidR="00DB1915" w:rsidRDefault="00DB1915" w:rsidP="00DE7292">
      <w:pPr>
        <w:jc w:val="center"/>
        <w:rPr>
          <w:rFonts w:ascii="Book Antiqua" w:hAnsi="Book Antiqua"/>
          <w:b/>
          <w:sz w:val="28"/>
          <w:lang w:val="es-ES_tradnl"/>
        </w:rPr>
      </w:pPr>
      <w:r>
        <w:rPr>
          <w:rFonts w:ascii="Book Antiqua" w:hAnsi="Book Antiqua"/>
          <w:b/>
          <w:sz w:val="28"/>
          <w:lang w:val="es-ES_tradnl"/>
        </w:rPr>
        <w:t>LEY</w:t>
      </w:r>
    </w:p>
    <w:p w14:paraId="355A7A19" w14:textId="77777777" w:rsidR="005C1851" w:rsidRDefault="005C1851" w:rsidP="00DE7292">
      <w:pPr>
        <w:ind w:firstLine="720"/>
        <w:jc w:val="both"/>
        <w:rPr>
          <w:rFonts w:ascii="Book Antiqua" w:hAnsi="Book Antiqua"/>
          <w:lang w:val="es-ES_tradnl"/>
        </w:rPr>
      </w:pPr>
    </w:p>
    <w:p w14:paraId="7A351CBA" w14:textId="77777777" w:rsidR="00E67DC5" w:rsidRDefault="00E67DC5" w:rsidP="00863F69">
      <w:pPr>
        <w:ind w:left="720" w:hanging="720"/>
        <w:jc w:val="both"/>
        <w:rPr>
          <w:rFonts w:ascii="Book Antiqua" w:hAnsi="Book Antiqua"/>
          <w:lang w:val="es-ES_tradnl"/>
        </w:rPr>
      </w:pPr>
      <w:r>
        <w:rPr>
          <w:rFonts w:ascii="Book Antiqua" w:hAnsi="Book Antiqua"/>
          <w:lang w:val="es-ES_tradnl"/>
        </w:rPr>
        <w:t xml:space="preserve">Para enmendar el Artículo 3 de la Ley Núm. 160-2001, según enmendada, conocida como la “Ley de Declaración Previa de Voluntad sobre Tratamiento Médico” con el </w:t>
      </w:r>
      <w:r w:rsidRPr="005C1851">
        <w:rPr>
          <w:rFonts w:ascii="Book Antiqua" w:hAnsi="Book Antiqua"/>
          <w:lang w:val="es-ES_tradnl"/>
        </w:rPr>
        <w:t xml:space="preserve">propósito de </w:t>
      </w:r>
      <w:r>
        <w:rPr>
          <w:rFonts w:ascii="Book Antiqua" w:hAnsi="Book Antiqua"/>
          <w:lang w:val="es-ES_tradnl"/>
        </w:rPr>
        <w:t>incluir que</w:t>
      </w:r>
      <w:r w:rsidRPr="005C1851">
        <w:rPr>
          <w:rFonts w:ascii="Book Antiqua" w:hAnsi="Book Antiqua"/>
          <w:lang w:val="es-ES_tradnl"/>
        </w:rPr>
        <w:t>, en ausencia de un mandatario designado, el hijo mayor de entre 18 y 21 años que resida con el declarante pueda asumir la función de mandatario,</w:t>
      </w:r>
      <w:r>
        <w:rPr>
          <w:rFonts w:ascii="Book Antiqua" w:hAnsi="Book Antiqua"/>
          <w:lang w:val="es-ES_tradnl"/>
        </w:rPr>
        <w:t xml:space="preserve"> asimismo poder nombrarlo previamente como mandatario,</w:t>
      </w:r>
      <w:r w:rsidRPr="005C1851">
        <w:rPr>
          <w:rFonts w:ascii="Book Antiqua" w:hAnsi="Book Antiqua"/>
          <w:lang w:val="es-ES_tradnl"/>
        </w:rPr>
        <w:t xml:space="preserve"> garantizando así el respeto a la voluntad del declarante y brindando mayor claridad en el proceso de toma de decisiones médicas</w:t>
      </w:r>
      <w:r>
        <w:rPr>
          <w:rFonts w:ascii="Book Antiqua" w:hAnsi="Book Antiqua"/>
          <w:lang w:val="es-ES_tradnl"/>
        </w:rPr>
        <w:t xml:space="preserve">; y para otros fines relacionados. </w:t>
      </w:r>
    </w:p>
    <w:p w14:paraId="720EF46C" w14:textId="77777777" w:rsidR="00C26E60" w:rsidRDefault="00C26E60" w:rsidP="00DE7292">
      <w:pPr>
        <w:jc w:val="both"/>
        <w:rPr>
          <w:rFonts w:ascii="Book Antiqua" w:hAnsi="Book Antiqua"/>
          <w:lang w:val="es-ES_tradnl"/>
        </w:rPr>
      </w:pPr>
    </w:p>
    <w:p w14:paraId="55B9AC91" w14:textId="77777777" w:rsidR="00DB1915" w:rsidRDefault="00DB1915" w:rsidP="00DE7292">
      <w:pPr>
        <w:jc w:val="center"/>
        <w:rPr>
          <w:rFonts w:ascii="Book Antiqua" w:hAnsi="Book Antiqua"/>
          <w:lang w:val="es-ES_tradnl"/>
        </w:rPr>
      </w:pPr>
      <w:r>
        <w:rPr>
          <w:rFonts w:ascii="Book Antiqua" w:hAnsi="Book Antiqua"/>
          <w:lang w:val="es-ES_tradnl"/>
        </w:rPr>
        <w:t>EXPOSICIÓN DE MOTIVOS</w:t>
      </w:r>
    </w:p>
    <w:p w14:paraId="01B8EAA4" w14:textId="77777777" w:rsidR="005C1851" w:rsidRDefault="005C1851" w:rsidP="00DE7292">
      <w:pPr>
        <w:jc w:val="center"/>
        <w:rPr>
          <w:rFonts w:ascii="Book Antiqua" w:hAnsi="Book Antiqua"/>
          <w:lang w:val="es-ES_tradnl"/>
        </w:rPr>
      </w:pPr>
    </w:p>
    <w:p w14:paraId="53BDAA30" w14:textId="77777777" w:rsidR="00E67DC5" w:rsidRPr="00863F69" w:rsidRDefault="00E67DC5" w:rsidP="00DE7292">
      <w:pPr>
        <w:ind w:firstLine="360"/>
        <w:jc w:val="both"/>
        <w:rPr>
          <w:rFonts w:ascii="Book Antiqua" w:hAnsi="Book Antiqua"/>
          <w:lang w:val="es-PR"/>
        </w:rPr>
      </w:pPr>
      <w:r w:rsidRPr="00863F69">
        <w:rPr>
          <w:rFonts w:ascii="Book Antiqua" w:hAnsi="Book Antiqua"/>
          <w:lang w:val="es-PR"/>
        </w:rPr>
        <w:t>La Ley de Declaración Previa de Voluntad sobre Tratamientos Médicos (Ley 160-2001, según enmendada) garantiza el derecho de toda persona mayor de edad y en pleno uso de sus facultades mentales a expresar su voluntad sobre los tratamientos médicos a los que desea o no desea ser sometida en caso de perder la capacidad de comunicarse. Esta legislación busca salvaguardar la autonomía del individuo, permitiéndole tomar decisiones anticipadas sobre su cuidado médico y designar a una persona de confianza para que tome dichas decisiones en su representación, de ser necesario.</w:t>
      </w:r>
    </w:p>
    <w:p w14:paraId="2E36D8AB" w14:textId="77777777" w:rsidR="00E67DC5" w:rsidRPr="005C1851" w:rsidRDefault="00E67DC5" w:rsidP="00DE7292">
      <w:pPr>
        <w:ind w:firstLine="360"/>
        <w:jc w:val="both"/>
        <w:rPr>
          <w:rFonts w:ascii="Book Antiqua" w:hAnsi="Book Antiqua"/>
          <w:lang w:val="es-PR"/>
        </w:rPr>
      </w:pPr>
    </w:p>
    <w:p w14:paraId="0922DAD0" w14:textId="77777777" w:rsidR="00E67DC5" w:rsidRDefault="00E67DC5" w:rsidP="00DE7292">
      <w:pPr>
        <w:ind w:firstLine="360"/>
        <w:jc w:val="both"/>
        <w:rPr>
          <w:rFonts w:ascii="Book Antiqua" w:hAnsi="Book Antiqua"/>
          <w:lang w:val="es-PR"/>
        </w:rPr>
      </w:pPr>
      <w:r w:rsidRPr="00863F69">
        <w:rPr>
          <w:rFonts w:ascii="Book Antiqua" w:hAnsi="Book Antiqua"/>
          <w:lang w:val="es-PR"/>
        </w:rPr>
        <w:t xml:space="preserve">Sin embargo, entendemos que la modernidad nos ha demostrado la necesidad de aclarar y fortalecer las disposiciones relacionadas con la designación del mandatario en </w:t>
      </w:r>
      <w:r w:rsidRPr="00863F69">
        <w:rPr>
          <w:rFonts w:ascii="Book Antiqua" w:hAnsi="Book Antiqua"/>
          <w:lang w:val="es-PR"/>
        </w:rPr>
        <w:lastRenderedPageBreak/>
        <w:t xml:space="preserve">ausencia de una designación explícita por parte del declarante. Actualmente, la ley establece que, de no existir un mandatario designado, se seguirá el orden </w:t>
      </w:r>
      <w:proofErr w:type="spellStart"/>
      <w:r w:rsidRPr="00863F69">
        <w:rPr>
          <w:rFonts w:ascii="Book Antiqua" w:hAnsi="Book Antiqua"/>
          <w:lang w:val="es-PR"/>
        </w:rPr>
        <w:t>sucesoral</w:t>
      </w:r>
      <w:proofErr w:type="spellEnd"/>
      <w:r w:rsidRPr="00863F69">
        <w:rPr>
          <w:rFonts w:ascii="Book Antiqua" w:hAnsi="Book Antiqua"/>
          <w:lang w:val="es-PR"/>
        </w:rPr>
        <w:t xml:space="preserve"> contemplado en el Código Civil de Puerto Rico, comenzando con el cónyuge del declarante como la persona llamada a tomar las decisiones pertinentes.</w:t>
      </w:r>
    </w:p>
    <w:p w14:paraId="2B994936" w14:textId="77777777" w:rsidR="00863F69" w:rsidRPr="00863F69" w:rsidRDefault="00863F69" w:rsidP="00DE7292">
      <w:pPr>
        <w:ind w:firstLine="360"/>
        <w:jc w:val="both"/>
        <w:rPr>
          <w:rFonts w:ascii="Book Antiqua" w:hAnsi="Book Antiqua"/>
          <w:lang w:val="es-PR"/>
        </w:rPr>
      </w:pPr>
    </w:p>
    <w:p w14:paraId="087354D0" w14:textId="77777777" w:rsidR="00E67DC5" w:rsidRPr="00863F69" w:rsidRDefault="00E67DC5" w:rsidP="00DE7292">
      <w:pPr>
        <w:ind w:firstLine="360"/>
        <w:jc w:val="both"/>
        <w:rPr>
          <w:rFonts w:ascii="Book Antiqua" w:hAnsi="Book Antiqua"/>
          <w:lang w:val="es-PR"/>
        </w:rPr>
      </w:pPr>
      <w:r w:rsidRPr="00863F69">
        <w:rPr>
          <w:rFonts w:ascii="Book Antiqua" w:hAnsi="Book Antiqua"/>
          <w:lang w:val="es-PR"/>
        </w:rPr>
        <w:t xml:space="preserve">La presente enmienda al Artículo 3 de la Ley tiene como propósito atender situaciones particulares en las que el declarante no tenga cónyuge ni hijo mayor de edad disponible para asumir la responsabilidad de mandatario. En estos casos, la enmienda propone que el hijo mayor de entre 18 y 21 años que resida bajo el mismo techo del declarante pueda asumir dicha función, siempre que esté dispuesto a hacerlo y se entienda que conoce la voluntad del declarante. De no aceptar esta responsabilidad, se continuará con el orden </w:t>
      </w:r>
      <w:proofErr w:type="spellStart"/>
      <w:r w:rsidRPr="00863F69">
        <w:rPr>
          <w:rFonts w:ascii="Book Antiqua" w:hAnsi="Book Antiqua"/>
          <w:lang w:val="es-PR"/>
        </w:rPr>
        <w:t>sucesoral</w:t>
      </w:r>
      <w:proofErr w:type="spellEnd"/>
      <w:r w:rsidRPr="00863F69">
        <w:rPr>
          <w:rFonts w:ascii="Book Antiqua" w:hAnsi="Book Antiqua"/>
          <w:lang w:val="es-PR"/>
        </w:rPr>
        <w:t xml:space="preserve"> establecido en el Código Civil de Puerto Rico.</w:t>
      </w:r>
    </w:p>
    <w:p w14:paraId="4B8956C0" w14:textId="77777777" w:rsidR="00E67DC5" w:rsidRDefault="00E67DC5" w:rsidP="00DE7292">
      <w:pPr>
        <w:ind w:firstLine="360"/>
        <w:jc w:val="both"/>
        <w:rPr>
          <w:rFonts w:ascii="Book Antiqua" w:hAnsi="Book Antiqua"/>
          <w:lang w:val="es-PR"/>
        </w:rPr>
      </w:pPr>
    </w:p>
    <w:p w14:paraId="6ED1DD83" w14:textId="77777777" w:rsidR="00E67DC5" w:rsidRPr="00863F69" w:rsidRDefault="00E67DC5" w:rsidP="00DE7292">
      <w:pPr>
        <w:ind w:firstLine="360"/>
        <w:jc w:val="both"/>
        <w:rPr>
          <w:rFonts w:ascii="Book Antiqua" w:hAnsi="Book Antiqua"/>
          <w:lang w:val="es-PR"/>
        </w:rPr>
      </w:pPr>
      <w:r w:rsidRPr="00863F69">
        <w:rPr>
          <w:rFonts w:ascii="Book Antiqua" w:hAnsi="Book Antiqua"/>
          <w:lang w:val="es-PR"/>
        </w:rPr>
        <w:t xml:space="preserve">La enmienda propuesta no solo establece el orden </w:t>
      </w:r>
      <w:proofErr w:type="spellStart"/>
      <w:r w:rsidRPr="00863F69">
        <w:rPr>
          <w:rFonts w:ascii="Book Antiqua" w:hAnsi="Book Antiqua"/>
          <w:lang w:val="es-PR"/>
        </w:rPr>
        <w:t>sucesoral</w:t>
      </w:r>
      <w:proofErr w:type="spellEnd"/>
      <w:r w:rsidRPr="00863F69">
        <w:rPr>
          <w:rFonts w:ascii="Book Antiqua" w:hAnsi="Book Antiqua"/>
          <w:lang w:val="es-PR"/>
        </w:rPr>
        <w:t xml:space="preserve"> en ausencia de un mandatario designado, sino que también brinda al declarante la oportunidad de nombrar, mediante declaración previa, a su hijo o hija mayor de entre 18 y 21 años como su mandatario, siempre que este cumpla con los requisitos de madurez y discernimiento necesarios para comprender la naturaleza y las consecuencias de las decisiones médicas que deba tomar. Entendemos que una persona de entre 18 y 21 años ya tiene la capacidad suficiente para que, en circunstancias generales, pueda tomar esta decisión para su padre, madre o progenitor. Esta disposición asegura que el declarante pueda ejercer mayor control sobre quién representará su voluntad, fortaleciendo así el principio de autonomía y garantizando una representación más cercana y adecuada a sus deseos personales.</w:t>
      </w:r>
    </w:p>
    <w:p w14:paraId="042BDBA9" w14:textId="77777777" w:rsidR="00E67DC5" w:rsidRPr="00863F69" w:rsidRDefault="00E67DC5" w:rsidP="00DE7292">
      <w:pPr>
        <w:ind w:firstLine="360"/>
        <w:jc w:val="both"/>
        <w:rPr>
          <w:rFonts w:ascii="Book Antiqua" w:hAnsi="Book Antiqua"/>
          <w:lang w:val="es-PR"/>
        </w:rPr>
      </w:pPr>
    </w:p>
    <w:p w14:paraId="2196999E" w14:textId="77777777" w:rsidR="00E67DC5" w:rsidRPr="00863F69" w:rsidRDefault="00E67DC5" w:rsidP="00DE7292">
      <w:pPr>
        <w:ind w:firstLine="360"/>
        <w:jc w:val="both"/>
        <w:rPr>
          <w:rFonts w:ascii="Book Antiqua" w:hAnsi="Book Antiqua"/>
          <w:lang w:val="es-PR"/>
        </w:rPr>
      </w:pPr>
      <w:r w:rsidRPr="00863F69">
        <w:rPr>
          <w:rFonts w:ascii="Book Antiqua" w:hAnsi="Book Antiqua"/>
          <w:lang w:val="es-PR"/>
        </w:rPr>
        <w:t>Esta modificación busca asegurar que la voluntad del declarante se respete de la manera más fiel posible, reconociendo la importancia de la relación cercana entre padres e hijos que comparten el mismo hogar y que, en muchos casos, tienen un conocimiento profundo de las preferencias del declarante. Además, se pretende cubrir lagunas jurídicas que podrían surgir en ausencia de un mandatario designado, garantizando así una mayor claridad y certeza en la toma de decisiones médicas críticas.</w:t>
      </w:r>
    </w:p>
    <w:p w14:paraId="29901738" w14:textId="77777777" w:rsidR="00E67DC5" w:rsidRPr="00863F69" w:rsidRDefault="00E67DC5" w:rsidP="00DE7292">
      <w:pPr>
        <w:ind w:firstLine="360"/>
        <w:jc w:val="both"/>
        <w:rPr>
          <w:rFonts w:ascii="Book Antiqua" w:hAnsi="Book Antiqua"/>
          <w:lang w:val="es-PR"/>
        </w:rPr>
      </w:pPr>
    </w:p>
    <w:p w14:paraId="17D78A80" w14:textId="77777777" w:rsidR="00E67DC5" w:rsidRPr="00863F69" w:rsidRDefault="00E67DC5" w:rsidP="00DE7292">
      <w:pPr>
        <w:ind w:firstLine="360"/>
        <w:jc w:val="both"/>
        <w:rPr>
          <w:rFonts w:ascii="Book Antiqua" w:hAnsi="Book Antiqua"/>
          <w:lang w:val="es-PR"/>
        </w:rPr>
      </w:pPr>
      <w:r w:rsidRPr="00863F69">
        <w:rPr>
          <w:rFonts w:ascii="Book Antiqua" w:hAnsi="Book Antiqua"/>
          <w:lang w:val="es-PR"/>
        </w:rPr>
        <w:t>Esta enmienda reafirma el principio fundamental de la ley: proteger la dignidad y la autonomía de las personas en momentos vulnerables, asegurando que el proceso de toma de decisiones médicas sea uno ordenado, respetuoso y consistente con la voluntad del paciente.</w:t>
      </w:r>
    </w:p>
    <w:p w14:paraId="42E90B18" w14:textId="77777777" w:rsidR="00E67DC5" w:rsidRPr="00863F69" w:rsidRDefault="00E67DC5" w:rsidP="00DE7292">
      <w:pPr>
        <w:ind w:firstLine="360"/>
        <w:jc w:val="both"/>
        <w:rPr>
          <w:rFonts w:ascii="Book Antiqua" w:hAnsi="Book Antiqua"/>
          <w:lang w:val="es-PR"/>
        </w:rPr>
      </w:pPr>
    </w:p>
    <w:p w14:paraId="015B7336" w14:textId="67B58BFE" w:rsidR="00E67DC5" w:rsidRPr="00863F69" w:rsidRDefault="00E67DC5" w:rsidP="00DE7292">
      <w:pPr>
        <w:ind w:firstLine="360"/>
        <w:jc w:val="both"/>
        <w:rPr>
          <w:rFonts w:ascii="Book Antiqua" w:hAnsi="Book Antiqua"/>
          <w:lang w:val="es-PR"/>
        </w:rPr>
      </w:pPr>
      <w:r w:rsidRPr="00863F69">
        <w:rPr>
          <w:rFonts w:ascii="Book Antiqua" w:hAnsi="Book Antiqua"/>
          <w:lang w:val="es-PR"/>
        </w:rPr>
        <w:t xml:space="preserve">Por todo lo anterior, esta Asamblea Legislativa entiende necesario y meritorio enmendar el Artículo 3 de la Ley de Declaración Previa de Voluntad sobre Tratamientos Médicos para incluir esta disposición que busca mantener y modernizar la autonomía de la voluntad de cada individuo. </w:t>
      </w:r>
    </w:p>
    <w:p w14:paraId="5C6474D1" w14:textId="77777777" w:rsidR="00DB1915" w:rsidRPr="00863F69" w:rsidRDefault="00DB1915" w:rsidP="00DE7292">
      <w:pPr>
        <w:jc w:val="both"/>
        <w:rPr>
          <w:rFonts w:ascii="Book Antiqua" w:hAnsi="Book Antiqua" w:cs="Arial"/>
          <w:color w:val="000000"/>
          <w:spacing w:val="8"/>
          <w:szCs w:val="24"/>
          <w:shd w:val="clear" w:color="auto" w:fill="FFFFFF"/>
          <w:lang w:val="es-PR"/>
        </w:rPr>
      </w:pPr>
    </w:p>
    <w:p w14:paraId="7521E7A0" w14:textId="77777777" w:rsidR="00863F69" w:rsidRDefault="00863F69" w:rsidP="00DE7292">
      <w:pPr>
        <w:spacing w:line="480" w:lineRule="auto"/>
        <w:jc w:val="both"/>
        <w:rPr>
          <w:rFonts w:ascii="Book Antiqua" w:hAnsi="Book Antiqua"/>
          <w:bCs/>
          <w:i/>
          <w:szCs w:val="24"/>
          <w:lang w:val="es-ES_tradnl"/>
        </w:rPr>
      </w:pPr>
    </w:p>
    <w:p w14:paraId="4C913C0D" w14:textId="77777777" w:rsidR="00863F69" w:rsidRDefault="00863F69" w:rsidP="00DE7292">
      <w:pPr>
        <w:spacing w:line="480" w:lineRule="auto"/>
        <w:jc w:val="both"/>
        <w:rPr>
          <w:rFonts w:ascii="Book Antiqua" w:hAnsi="Book Antiqua"/>
          <w:bCs/>
          <w:i/>
          <w:szCs w:val="24"/>
          <w:lang w:val="es-ES_tradnl"/>
        </w:rPr>
      </w:pPr>
    </w:p>
    <w:p w14:paraId="14E26E30" w14:textId="30BFE3C1" w:rsidR="00DB1915" w:rsidRPr="00DB1915" w:rsidRDefault="00DB1915" w:rsidP="00DE7292">
      <w:pPr>
        <w:spacing w:line="480" w:lineRule="auto"/>
        <w:jc w:val="both"/>
        <w:rPr>
          <w:rFonts w:ascii="Book Antiqua" w:hAnsi="Book Antiqua"/>
          <w:bCs/>
          <w:i/>
          <w:szCs w:val="24"/>
          <w:lang w:val="es-ES_tradnl"/>
        </w:rPr>
      </w:pPr>
      <w:r w:rsidRPr="00DB1915">
        <w:rPr>
          <w:rFonts w:ascii="Book Antiqua" w:hAnsi="Book Antiqua"/>
          <w:bCs/>
          <w:i/>
          <w:szCs w:val="24"/>
          <w:lang w:val="es-ES_tradnl"/>
        </w:rPr>
        <w:t>DECRÉTASE POR LA ASAMBLEA LEGISLATIVA DE PUERTO RICO:</w:t>
      </w:r>
    </w:p>
    <w:p w14:paraId="4DA9EF5E" w14:textId="77777777" w:rsidR="00DB1915" w:rsidRPr="00DB1915" w:rsidRDefault="00DB1915" w:rsidP="00DB1915">
      <w:pPr>
        <w:spacing w:line="480" w:lineRule="auto"/>
        <w:jc w:val="both"/>
        <w:rPr>
          <w:rFonts w:ascii="Book Antiqua" w:hAnsi="Book Antiqua"/>
          <w:bCs/>
          <w:szCs w:val="24"/>
          <w:lang w:val="es-ES_tradnl"/>
        </w:rPr>
        <w:sectPr w:rsidR="00DB1915" w:rsidRPr="00DB1915" w:rsidSect="00DB1915">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p>
    <w:p w14:paraId="41EBECDB" w14:textId="15FD880E" w:rsidR="00E67DC5" w:rsidRDefault="00E67DC5" w:rsidP="00E67DC5">
      <w:pPr>
        <w:tabs>
          <w:tab w:val="left" w:pos="1440"/>
        </w:tabs>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1.- Se enmienda el artículo 3 de la Ley 160-2001, según enmendada para que se lea como sigue: </w:t>
      </w:r>
    </w:p>
    <w:p w14:paraId="12EA5D36" w14:textId="77777777" w:rsidR="00E67DC5" w:rsidRDefault="00E67DC5" w:rsidP="00E67DC5">
      <w:pPr>
        <w:spacing w:line="480" w:lineRule="auto"/>
        <w:ind w:firstLine="720"/>
        <w:jc w:val="both"/>
        <w:rPr>
          <w:rFonts w:ascii="Book Antiqua" w:hAnsi="Book Antiqua"/>
          <w:szCs w:val="24"/>
          <w:lang w:val="es-PR"/>
        </w:rPr>
      </w:pPr>
      <w:r>
        <w:rPr>
          <w:rFonts w:ascii="Book Antiqua" w:hAnsi="Book Antiqua"/>
          <w:szCs w:val="24"/>
          <w:lang w:val="es-PR"/>
        </w:rPr>
        <w:t xml:space="preserve">“Artículo 3.- </w:t>
      </w:r>
    </w:p>
    <w:p w14:paraId="44069751" w14:textId="091EDE20" w:rsidR="00E67DC5" w:rsidRPr="00800C99" w:rsidRDefault="00E67DC5" w:rsidP="00E67DC5">
      <w:pPr>
        <w:spacing w:line="480" w:lineRule="auto"/>
        <w:ind w:left="720" w:firstLine="720"/>
        <w:jc w:val="both"/>
        <w:rPr>
          <w:rFonts w:ascii="Book Antiqua" w:hAnsi="Book Antiqua"/>
          <w:szCs w:val="24"/>
          <w:lang w:val="es-PR"/>
        </w:rPr>
      </w:pPr>
      <w:r w:rsidRPr="00800C99">
        <w:rPr>
          <w:rFonts w:ascii="Book Antiqua" w:hAnsi="Book Antiqua"/>
          <w:szCs w:val="24"/>
          <w:lang w:val="es-PR"/>
        </w:rPr>
        <w:t xml:space="preserve">Toda persona mayor de edad y en pleno disfrute de sus facultades mentales podrá declarar su voluntad anticipada, y en cualquier momento, de ser sometida o no ser sometida a determinado tratamiento médico ante la eventualidad de advenir en estado de incapacidad que no le permita expresarse durante el momento en que dicho tratamiento médico deberá o no deberá, según su voluntad, serle administrado. Dicha declaración podrá incluir la designación de un mandatario que tome decisiones sobre aceptación o rechazo de tratamiento en caso de que el declarante no pueda comunicarse por sí mismo. Del declarante no designar un mandatario se considerará mandatario al pariente mayor de edad más próximo, según el orden </w:t>
      </w:r>
      <w:r w:rsidRPr="00863F69">
        <w:rPr>
          <w:rFonts w:ascii="Book Antiqua" w:hAnsi="Book Antiqua"/>
          <w:szCs w:val="24"/>
          <w:lang w:val="es-PR"/>
        </w:rPr>
        <w:t xml:space="preserve">de la sucesión intestada según establecido en el Código Civil de Puerto Rico, según enmendado, teniendo el primer rango el cónyuge del declarante. “Si el declarante no tiene cónyuge ni hijo mayor de edad, se considerará mandatario al hijo mayor entre dieciocho (18) y veintiún (21) años que resida en el mismo hogar del declarante, siempre que esté dispuesto a asumir la responsabilidad y se entienda que conoce la voluntad del declarante. De no aceptar dicha responsabilidad, se continuará con el orden de la sucesión intestada según, establecido en el Código Civil de Puerto Rico, según enmendado. </w:t>
      </w:r>
      <w:r w:rsidRPr="00863F69">
        <w:rPr>
          <w:rFonts w:ascii="Book Antiqua" w:hAnsi="Book Antiqua"/>
          <w:szCs w:val="24"/>
          <w:lang w:val="es-PR"/>
        </w:rPr>
        <w:lastRenderedPageBreak/>
        <w:t>Asimismo, el declarante, cumpliendo previamente con los requisitos dispuestos por esta ley, podrá nombrar mandatario al hijo(a) mayor de entre dieciocho (18)</w:t>
      </w:r>
      <w:r w:rsidRPr="00302C57">
        <w:rPr>
          <w:rFonts w:ascii="Book Antiqua" w:hAnsi="Book Antiqua"/>
          <w:i/>
          <w:iCs/>
          <w:szCs w:val="24"/>
          <w:lang w:val="es-PR"/>
        </w:rPr>
        <w:t xml:space="preserve"> </w:t>
      </w:r>
      <w:r w:rsidRPr="00863F69">
        <w:rPr>
          <w:rFonts w:ascii="Book Antiqua" w:hAnsi="Book Antiqua"/>
          <w:szCs w:val="24"/>
          <w:lang w:val="es-PR"/>
        </w:rPr>
        <w:t>y veintiún (21) años, siempre que su grado de madurez y discernimiento le permitan comprender la naturaleza y las consecuencias del acto.”</w:t>
      </w:r>
      <w:r>
        <w:rPr>
          <w:rFonts w:ascii="Book Antiqua" w:hAnsi="Book Antiqua"/>
          <w:i/>
          <w:iCs/>
          <w:szCs w:val="24"/>
          <w:lang w:val="es-PR"/>
        </w:rPr>
        <w:t xml:space="preserve"> </w:t>
      </w:r>
      <w:r w:rsidRPr="00800C99">
        <w:rPr>
          <w:rFonts w:ascii="Book Antiqua" w:hAnsi="Book Antiqua"/>
          <w:szCs w:val="24"/>
          <w:lang w:val="es-PR"/>
        </w:rPr>
        <w:t>Ningún declarante podrá, sin embargo, prohibir que en tal eventualidad le sean administrados los recursos médicos disponibles para aliviar su dolor, o hidratarlo y alimentarlo, a no ser que la muerte sea ya inminente y/o que el organismo no pueda ya absorber la alimentación e hidratación suministradas.</w:t>
      </w:r>
      <w:r>
        <w:rPr>
          <w:rFonts w:ascii="Book Antiqua" w:hAnsi="Book Antiqua"/>
          <w:szCs w:val="24"/>
          <w:lang w:val="es-PR"/>
        </w:rPr>
        <w:t>”</w:t>
      </w:r>
    </w:p>
    <w:p w14:paraId="4BE7C8D4" w14:textId="77777777" w:rsidR="00E67DC5" w:rsidRDefault="00E67DC5" w:rsidP="00E67DC5">
      <w:pPr>
        <w:tabs>
          <w:tab w:val="left" w:pos="1440"/>
        </w:tabs>
        <w:spacing w:line="480" w:lineRule="auto"/>
        <w:ind w:firstLine="720"/>
        <w:jc w:val="both"/>
        <w:rPr>
          <w:rFonts w:ascii="Book Antiqua" w:hAnsi="Book Antiqua"/>
          <w:bCs/>
          <w:szCs w:val="24"/>
          <w:lang w:val="es-ES_tradnl"/>
        </w:rPr>
      </w:pPr>
      <w:r>
        <w:rPr>
          <w:rFonts w:ascii="Book Antiqua" w:hAnsi="Book Antiqua"/>
          <w:bCs/>
          <w:szCs w:val="24"/>
          <w:lang w:val="es-ES_tradnl"/>
        </w:rPr>
        <w:t>Sección 2.-Salvedad.</w:t>
      </w:r>
    </w:p>
    <w:p w14:paraId="16105505" w14:textId="77777777" w:rsidR="00E67DC5" w:rsidRPr="00863F69" w:rsidRDefault="00E67DC5" w:rsidP="00E67DC5">
      <w:pPr>
        <w:tabs>
          <w:tab w:val="left" w:pos="1440"/>
        </w:tabs>
        <w:spacing w:line="480" w:lineRule="auto"/>
        <w:ind w:firstLine="720"/>
        <w:jc w:val="both"/>
        <w:rPr>
          <w:rFonts w:ascii="Book Antiqua" w:hAnsi="Book Antiqua"/>
          <w:bCs/>
          <w:szCs w:val="24"/>
          <w:lang w:val="es-ES_tradnl"/>
        </w:rPr>
      </w:pPr>
      <w:r w:rsidRPr="00863F69">
        <w:rPr>
          <w:rFonts w:ascii="Book Antiqua" w:hAnsi="Book Antiqua"/>
          <w:bCs/>
          <w:szCs w:val="24"/>
          <w:lang w:val="es-ES_tradnl"/>
        </w:rPr>
        <w:t xml:space="preserve">Nada de lo dispuesto en esta Ley podrá interpretarse en el sentido de enmendar o modificar la mayoría de edad o la edad para consentir en cualquier otro negocio o procedimiento en Puerto Rico pues no podrá ser interpretada por ningún tribunal o agencia administrativa en nuestra jurisdicción como que enmienda o altera el Código Civil de Puerto Rico, en su versión actual o como pueda ser enmendado o sustituido en el futuro.   </w:t>
      </w:r>
    </w:p>
    <w:p w14:paraId="0B9A58CB" w14:textId="77777777" w:rsidR="00E67DC5" w:rsidRPr="00863F69" w:rsidRDefault="00E67DC5" w:rsidP="00E67DC5">
      <w:pPr>
        <w:tabs>
          <w:tab w:val="left" w:pos="1440"/>
        </w:tabs>
        <w:spacing w:line="480" w:lineRule="auto"/>
        <w:ind w:firstLine="720"/>
        <w:jc w:val="both"/>
        <w:rPr>
          <w:rFonts w:ascii="Book Antiqua" w:hAnsi="Book Antiqua"/>
          <w:bCs/>
          <w:szCs w:val="24"/>
          <w:lang w:val="es-ES_tradnl"/>
        </w:rPr>
      </w:pPr>
      <w:r w:rsidRPr="00863F69">
        <w:rPr>
          <w:rFonts w:ascii="Book Antiqua" w:hAnsi="Book Antiqua"/>
          <w:bCs/>
          <w:szCs w:val="24"/>
          <w:lang w:val="es-ES_tradnl"/>
        </w:rPr>
        <w:t>Sección 3.-Vigencia.</w:t>
      </w:r>
    </w:p>
    <w:p w14:paraId="3B4D0B29" w14:textId="77777777" w:rsidR="00E67DC5" w:rsidRPr="00863F69" w:rsidRDefault="00E67DC5" w:rsidP="00E67DC5">
      <w:pPr>
        <w:spacing w:line="480" w:lineRule="auto"/>
        <w:ind w:firstLine="720"/>
        <w:jc w:val="both"/>
        <w:rPr>
          <w:rFonts w:ascii="Book Antiqua" w:hAnsi="Book Antiqua"/>
          <w:bCs/>
          <w:szCs w:val="24"/>
          <w:lang w:val="es-ES_tradnl"/>
        </w:rPr>
      </w:pPr>
      <w:r w:rsidRPr="00863F69">
        <w:rPr>
          <w:rFonts w:ascii="Book Antiqua" w:hAnsi="Book Antiqua"/>
          <w:szCs w:val="24"/>
          <w:lang w:val="es-ES"/>
        </w:rPr>
        <w:t>Esta Ley comenzará a regir inmediatamente después de su aprobación.</w:t>
      </w:r>
    </w:p>
    <w:sectPr w:rsidR="00E67DC5" w:rsidRPr="00863F69" w:rsidSect="00DB1915">
      <w:headerReference w:type="default" r:id="rId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86E62" w14:textId="77777777" w:rsidR="00DB1915" w:rsidRDefault="00DB1915">
      <w:r>
        <w:separator/>
      </w:r>
    </w:p>
  </w:endnote>
  <w:endnote w:type="continuationSeparator" w:id="0">
    <w:p w14:paraId="50856C84" w14:textId="77777777" w:rsidR="00DB1915" w:rsidRDefault="00DB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318FD" w14:textId="77777777" w:rsidR="00664E16" w:rsidRDefault="00664E16">
    <w:pPr>
      <w:pStyle w:val="Footer"/>
    </w:pPr>
  </w:p>
  <w:p w14:paraId="299E8D2B" w14:textId="77777777" w:rsidR="00727C32" w:rsidRDefault="00727C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974B" w14:textId="77777777" w:rsidR="00664E16" w:rsidRDefault="00664E16">
    <w:pPr>
      <w:pStyle w:val="Footer"/>
    </w:pPr>
  </w:p>
  <w:p w14:paraId="366E67BD" w14:textId="77777777" w:rsidR="00727C32" w:rsidRDefault="00727C3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619CF" w14:textId="77777777" w:rsidR="00664E16" w:rsidRDefault="00664E16">
    <w:pPr>
      <w:pStyle w:val="Footer"/>
    </w:pPr>
  </w:p>
  <w:p w14:paraId="4742AB5F" w14:textId="77777777" w:rsidR="00727C32" w:rsidRDefault="00727C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B18D" w14:textId="77777777" w:rsidR="00DB1915" w:rsidRDefault="00DB1915">
      <w:r>
        <w:separator/>
      </w:r>
    </w:p>
  </w:footnote>
  <w:footnote w:type="continuationSeparator" w:id="0">
    <w:p w14:paraId="6A7281A0" w14:textId="77777777" w:rsidR="00DB1915" w:rsidRDefault="00DB1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8B306" w14:textId="77777777" w:rsidR="00DB1915" w:rsidRDefault="00DB1915" w:rsidP="00853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989BDC" w14:textId="77777777" w:rsidR="00DB1915" w:rsidRDefault="00DB1915">
    <w:pPr>
      <w:pStyle w:val="Header"/>
    </w:pPr>
  </w:p>
  <w:p w14:paraId="69F7545A" w14:textId="77777777" w:rsidR="00727C32" w:rsidRDefault="00727C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43FC7" w14:textId="77777777" w:rsidR="00DB1915" w:rsidRDefault="00DB1915" w:rsidP="008533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6CC5">
      <w:rPr>
        <w:rStyle w:val="PageNumber"/>
        <w:noProof/>
      </w:rPr>
      <w:t>4</w:t>
    </w:r>
    <w:r>
      <w:rPr>
        <w:rStyle w:val="PageNumber"/>
      </w:rPr>
      <w:fldChar w:fldCharType="end"/>
    </w:r>
  </w:p>
  <w:p w14:paraId="410F91E8" w14:textId="77777777" w:rsidR="00DB1915" w:rsidRDefault="00DB1915">
    <w:pPr>
      <w:pStyle w:val="Header"/>
    </w:pPr>
  </w:p>
  <w:p w14:paraId="0294523F" w14:textId="77777777" w:rsidR="00727C32" w:rsidRDefault="00727C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4E14" w14:textId="77777777" w:rsidR="00664E16" w:rsidRDefault="00664E16">
    <w:pPr>
      <w:pStyle w:val="Header"/>
    </w:pPr>
  </w:p>
  <w:p w14:paraId="69A067EE" w14:textId="77777777" w:rsidR="00727C32" w:rsidRDefault="00727C3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5686" w14:textId="2A09733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B6CC5">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96F13"/>
    <w:multiLevelType w:val="hybridMultilevel"/>
    <w:tmpl w:val="70C0D96A"/>
    <w:lvl w:ilvl="0" w:tplc="50B8F5FC">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5B4B43"/>
    <w:multiLevelType w:val="hybridMultilevel"/>
    <w:tmpl w:val="31FCF694"/>
    <w:lvl w:ilvl="0" w:tplc="38F6B488">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60703481">
    <w:abstractNumId w:val="1"/>
  </w:num>
  <w:num w:numId="2" w16cid:durableId="1303458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B1915"/>
    <w:rsid w:val="00020BBB"/>
    <w:rsid w:val="000476FB"/>
    <w:rsid w:val="00056024"/>
    <w:rsid w:val="00077EB4"/>
    <w:rsid w:val="000906FD"/>
    <w:rsid w:val="00095AE1"/>
    <w:rsid w:val="000A6B6C"/>
    <w:rsid w:val="000B0DBB"/>
    <w:rsid w:val="000C01FD"/>
    <w:rsid w:val="00111E71"/>
    <w:rsid w:val="00127C6A"/>
    <w:rsid w:val="001363FE"/>
    <w:rsid w:val="0017132B"/>
    <w:rsid w:val="001F448E"/>
    <w:rsid w:val="001F4CA3"/>
    <w:rsid w:val="001F612A"/>
    <w:rsid w:val="00204858"/>
    <w:rsid w:val="00211396"/>
    <w:rsid w:val="00223A04"/>
    <w:rsid w:val="00226AE6"/>
    <w:rsid w:val="00245B34"/>
    <w:rsid w:val="00254A32"/>
    <w:rsid w:val="00255730"/>
    <w:rsid w:val="00263355"/>
    <w:rsid w:val="00273792"/>
    <w:rsid w:val="002B6209"/>
    <w:rsid w:val="002D47A9"/>
    <w:rsid w:val="002D4AC8"/>
    <w:rsid w:val="002E7A52"/>
    <w:rsid w:val="002F13D0"/>
    <w:rsid w:val="00302C57"/>
    <w:rsid w:val="00314C1A"/>
    <w:rsid w:val="00315423"/>
    <w:rsid w:val="00320D78"/>
    <w:rsid w:val="00380FE5"/>
    <w:rsid w:val="00381B28"/>
    <w:rsid w:val="003924DD"/>
    <w:rsid w:val="00394FCB"/>
    <w:rsid w:val="003963F4"/>
    <w:rsid w:val="003B5254"/>
    <w:rsid w:val="003B75A6"/>
    <w:rsid w:val="004061CA"/>
    <w:rsid w:val="00415689"/>
    <w:rsid w:val="004440CB"/>
    <w:rsid w:val="004713D2"/>
    <w:rsid w:val="00474D34"/>
    <w:rsid w:val="00476CC7"/>
    <w:rsid w:val="004F5AEA"/>
    <w:rsid w:val="00521639"/>
    <w:rsid w:val="00532BB7"/>
    <w:rsid w:val="005332E4"/>
    <w:rsid w:val="0053550C"/>
    <w:rsid w:val="00555018"/>
    <w:rsid w:val="005723DC"/>
    <w:rsid w:val="00574DD8"/>
    <w:rsid w:val="00580DB5"/>
    <w:rsid w:val="005B15EE"/>
    <w:rsid w:val="005C1851"/>
    <w:rsid w:val="005D27A3"/>
    <w:rsid w:val="006210DC"/>
    <w:rsid w:val="0064349D"/>
    <w:rsid w:val="00664E16"/>
    <w:rsid w:val="00685549"/>
    <w:rsid w:val="00687DD1"/>
    <w:rsid w:val="006B7365"/>
    <w:rsid w:val="006C2D81"/>
    <w:rsid w:val="006C7DF8"/>
    <w:rsid w:val="0072027E"/>
    <w:rsid w:val="00727C32"/>
    <w:rsid w:val="007473DC"/>
    <w:rsid w:val="00750FC8"/>
    <w:rsid w:val="007533D0"/>
    <w:rsid w:val="00755069"/>
    <w:rsid w:val="0077784E"/>
    <w:rsid w:val="007B0660"/>
    <w:rsid w:val="007D0022"/>
    <w:rsid w:val="007E3868"/>
    <w:rsid w:val="007F0023"/>
    <w:rsid w:val="00801722"/>
    <w:rsid w:val="00807E6B"/>
    <w:rsid w:val="0081745C"/>
    <w:rsid w:val="00820C41"/>
    <w:rsid w:val="0082540E"/>
    <w:rsid w:val="00850256"/>
    <w:rsid w:val="00863F69"/>
    <w:rsid w:val="008C7DD3"/>
    <w:rsid w:val="008F1A09"/>
    <w:rsid w:val="0093686F"/>
    <w:rsid w:val="00942FD4"/>
    <w:rsid w:val="00951997"/>
    <w:rsid w:val="00990352"/>
    <w:rsid w:val="009B69F3"/>
    <w:rsid w:val="00A03405"/>
    <w:rsid w:val="00A1528A"/>
    <w:rsid w:val="00A25A20"/>
    <w:rsid w:val="00A33918"/>
    <w:rsid w:val="00A65736"/>
    <w:rsid w:val="00A7629F"/>
    <w:rsid w:val="00AE30A0"/>
    <w:rsid w:val="00AF0CEE"/>
    <w:rsid w:val="00B017D8"/>
    <w:rsid w:val="00B33BE5"/>
    <w:rsid w:val="00B45F37"/>
    <w:rsid w:val="00B60B82"/>
    <w:rsid w:val="00B667AD"/>
    <w:rsid w:val="00B66AA9"/>
    <w:rsid w:val="00B67655"/>
    <w:rsid w:val="00B84C38"/>
    <w:rsid w:val="00B86C00"/>
    <w:rsid w:val="00B947F6"/>
    <w:rsid w:val="00BB2318"/>
    <w:rsid w:val="00BF16AA"/>
    <w:rsid w:val="00C26E60"/>
    <w:rsid w:val="00C3363E"/>
    <w:rsid w:val="00C354B8"/>
    <w:rsid w:val="00C438FD"/>
    <w:rsid w:val="00C52517"/>
    <w:rsid w:val="00C60921"/>
    <w:rsid w:val="00C62936"/>
    <w:rsid w:val="00C653F2"/>
    <w:rsid w:val="00C679E6"/>
    <w:rsid w:val="00C908F9"/>
    <w:rsid w:val="00CA0917"/>
    <w:rsid w:val="00CA1099"/>
    <w:rsid w:val="00CD4360"/>
    <w:rsid w:val="00CD4F56"/>
    <w:rsid w:val="00D02252"/>
    <w:rsid w:val="00D1425B"/>
    <w:rsid w:val="00D27987"/>
    <w:rsid w:val="00D417C2"/>
    <w:rsid w:val="00D60936"/>
    <w:rsid w:val="00D709EB"/>
    <w:rsid w:val="00D74714"/>
    <w:rsid w:val="00D82F3F"/>
    <w:rsid w:val="00D921C6"/>
    <w:rsid w:val="00D958C2"/>
    <w:rsid w:val="00DA6553"/>
    <w:rsid w:val="00DB1915"/>
    <w:rsid w:val="00DE4C4F"/>
    <w:rsid w:val="00DE7292"/>
    <w:rsid w:val="00E04AB5"/>
    <w:rsid w:val="00E05A3E"/>
    <w:rsid w:val="00E35F31"/>
    <w:rsid w:val="00E4605D"/>
    <w:rsid w:val="00E50EEA"/>
    <w:rsid w:val="00E50F1D"/>
    <w:rsid w:val="00E52F58"/>
    <w:rsid w:val="00E67BF9"/>
    <w:rsid w:val="00E67DC5"/>
    <w:rsid w:val="00E858DC"/>
    <w:rsid w:val="00EB342C"/>
    <w:rsid w:val="00EB6CC5"/>
    <w:rsid w:val="00EC26AA"/>
    <w:rsid w:val="00EC5D3B"/>
    <w:rsid w:val="00ED7A53"/>
    <w:rsid w:val="00EE4273"/>
    <w:rsid w:val="00F02004"/>
    <w:rsid w:val="00F042CB"/>
    <w:rsid w:val="00F0439F"/>
    <w:rsid w:val="00F27C59"/>
    <w:rsid w:val="00F60A20"/>
    <w:rsid w:val="00F77445"/>
    <w:rsid w:val="00FC0A95"/>
    <w:rsid w:val="00FC3D9C"/>
    <w:rsid w:val="00FC609C"/>
    <w:rsid w:val="00FD62D6"/>
    <w:rsid w:val="00FE68EF"/>
    <w:rsid w:val="00FF0153"/>
    <w:rsid w:val="00FF13F6"/>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7E2302"/>
  <w15:chartTrackingRefBased/>
  <w15:docId w15:val="{6A120F0F-A1D6-4FC8-878C-DA00EC22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DB1915"/>
    <w:rPr>
      <w:color w:val="0000FF"/>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DB1915"/>
    <w:rPr>
      <w:sz w:val="20"/>
    </w:rPr>
  </w:style>
  <w:style w:type="character" w:customStyle="1" w:styleId="FootnoteTextChar">
    <w:name w:val="Footnote Text Char"/>
    <w:basedOn w:val="DefaultParagraphFont"/>
    <w:link w:val="FootnoteText"/>
    <w:uiPriority w:val="99"/>
    <w:semiHidden/>
    <w:rsid w:val="00DB1915"/>
  </w:style>
  <w:style w:type="character" w:styleId="FootnoteReference">
    <w:name w:val="footnote reference"/>
    <w:uiPriority w:val="99"/>
    <w:semiHidden/>
    <w:unhideWhenUsed/>
    <w:rsid w:val="00DB1915"/>
    <w:rPr>
      <w:vertAlign w:val="superscript"/>
    </w:rPr>
  </w:style>
  <w:style w:type="paragraph" w:styleId="BalloonText">
    <w:name w:val="Balloon Text"/>
    <w:basedOn w:val="Normal"/>
    <w:link w:val="BalloonTextChar"/>
    <w:uiPriority w:val="99"/>
    <w:semiHidden/>
    <w:unhideWhenUsed/>
    <w:rsid w:val="00B676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655"/>
    <w:rPr>
      <w:rFonts w:ascii="Segoe UI" w:hAnsi="Segoe UI" w:cs="Segoe UI"/>
      <w:sz w:val="18"/>
      <w:szCs w:val="18"/>
    </w:rPr>
  </w:style>
  <w:style w:type="character" w:styleId="CommentReference">
    <w:name w:val="annotation reference"/>
    <w:basedOn w:val="DefaultParagraphFont"/>
    <w:uiPriority w:val="99"/>
    <w:semiHidden/>
    <w:unhideWhenUsed/>
    <w:rsid w:val="00E67DC5"/>
    <w:rPr>
      <w:sz w:val="16"/>
      <w:szCs w:val="16"/>
    </w:rPr>
  </w:style>
  <w:style w:type="paragraph" w:styleId="CommentText">
    <w:name w:val="annotation text"/>
    <w:basedOn w:val="Normal"/>
    <w:link w:val="CommentTextChar"/>
    <w:uiPriority w:val="99"/>
    <w:unhideWhenUsed/>
    <w:rsid w:val="00E67DC5"/>
    <w:rPr>
      <w:sz w:val="20"/>
    </w:rPr>
  </w:style>
  <w:style w:type="character" w:customStyle="1" w:styleId="CommentTextChar">
    <w:name w:val="Comment Text Char"/>
    <w:basedOn w:val="DefaultParagraphFont"/>
    <w:link w:val="CommentText"/>
    <w:uiPriority w:val="99"/>
    <w:rsid w:val="00E67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4192">
      <w:bodyDiv w:val="1"/>
      <w:marLeft w:val="0"/>
      <w:marRight w:val="0"/>
      <w:marTop w:val="0"/>
      <w:marBottom w:val="0"/>
      <w:divBdr>
        <w:top w:val="none" w:sz="0" w:space="0" w:color="auto"/>
        <w:left w:val="none" w:sz="0" w:space="0" w:color="auto"/>
        <w:bottom w:val="none" w:sz="0" w:space="0" w:color="auto"/>
        <w:right w:val="none" w:sz="0" w:space="0" w:color="auto"/>
      </w:divBdr>
    </w:div>
    <w:div w:id="229655138">
      <w:bodyDiv w:val="1"/>
      <w:marLeft w:val="0"/>
      <w:marRight w:val="0"/>
      <w:marTop w:val="0"/>
      <w:marBottom w:val="0"/>
      <w:divBdr>
        <w:top w:val="none" w:sz="0" w:space="0" w:color="auto"/>
        <w:left w:val="none" w:sz="0" w:space="0" w:color="auto"/>
        <w:bottom w:val="none" w:sz="0" w:space="0" w:color="auto"/>
        <w:right w:val="none" w:sz="0" w:space="0" w:color="auto"/>
      </w:divBdr>
    </w:div>
    <w:div w:id="262956335">
      <w:bodyDiv w:val="1"/>
      <w:marLeft w:val="0"/>
      <w:marRight w:val="0"/>
      <w:marTop w:val="0"/>
      <w:marBottom w:val="0"/>
      <w:divBdr>
        <w:top w:val="none" w:sz="0" w:space="0" w:color="auto"/>
        <w:left w:val="none" w:sz="0" w:space="0" w:color="auto"/>
        <w:bottom w:val="none" w:sz="0" w:space="0" w:color="auto"/>
        <w:right w:val="none" w:sz="0" w:space="0" w:color="auto"/>
      </w:divBdr>
    </w:div>
    <w:div w:id="1020398849">
      <w:bodyDiv w:val="1"/>
      <w:marLeft w:val="0"/>
      <w:marRight w:val="0"/>
      <w:marTop w:val="0"/>
      <w:marBottom w:val="0"/>
      <w:divBdr>
        <w:top w:val="none" w:sz="0" w:space="0" w:color="auto"/>
        <w:left w:val="none" w:sz="0" w:space="0" w:color="auto"/>
        <w:bottom w:val="none" w:sz="0" w:space="0" w:color="auto"/>
        <w:right w:val="none" w:sz="0" w:space="0" w:color="auto"/>
      </w:divBdr>
    </w:div>
    <w:div w:id="1230994506">
      <w:bodyDiv w:val="1"/>
      <w:marLeft w:val="0"/>
      <w:marRight w:val="0"/>
      <w:marTop w:val="0"/>
      <w:marBottom w:val="0"/>
      <w:divBdr>
        <w:top w:val="none" w:sz="0" w:space="0" w:color="auto"/>
        <w:left w:val="none" w:sz="0" w:space="0" w:color="auto"/>
        <w:bottom w:val="none" w:sz="0" w:space="0" w:color="auto"/>
        <w:right w:val="none" w:sz="0" w:space="0" w:color="auto"/>
      </w:divBdr>
    </w:div>
    <w:div w:id="1273783813">
      <w:bodyDiv w:val="1"/>
      <w:marLeft w:val="0"/>
      <w:marRight w:val="0"/>
      <w:marTop w:val="0"/>
      <w:marBottom w:val="0"/>
      <w:divBdr>
        <w:top w:val="none" w:sz="0" w:space="0" w:color="auto"/>
        <w:left w:val="none" w:sz="0" w:space="0" w:color="auto"/>
        <w:bottom w:val="none" w:sz="0" w:space="0" w:color="auto"/>
        <w:right w:val="none" w:sz="0" w:space="0" w:color="auto"/>
      </w:divBdr>
    </w:div>
    <w:div w:id="1484933462">
      <w:bodyDiv w:val="1"/>
      <w:marLeft w:val="0"/>
      <w:marRight w:val="0"/>
      <w:marTop w:val="0"/>
      <w:marBottom w:val="0"/>
      <w:divBdr>
        <w:top w:val="none" w:sz="0" w:space="0" w:color="auto"/>
        <w:left w:val="none" w:sz="0" w:space="0" w:color="auto"/>
        <w:bottom w:val="none" w:sz="0" w:space="0" w:color="auto"/>
        <w:right w:val="none" w:sz="0" w:space="0" w:color="auto"/>
      </w:divBdr>
    </w:div>
    <w:div w:id="1960144468">
      <w:bodyDiv w:val="1"/>
      <w:marLeft w:val="0"/>
      <w:marRight w:val="0"/>
      <w:marTop w:val="0"/>
      <w:marBottom w:val="0"/>
      <w:divBdr>
        <w:top w:val="none" w:sz="0" w:space="0" w:color="auto"/>
        <w:left w:val="none" w:sz="0" w:space="0" w:color="auto"/>
        <w:bottom w:val="none" w:sz="0" w:space="0" w:color="auto"/>
        <w:right w:val="none" w:sz="0" w:space="0" w:color="auto"/>
      </w:divBdr>
    </w:div>
    <w:div w:id="199799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8900751-918A-4859-8AD6-0D4F4B7B642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 Rosa Rivera</dc:creator>
  <cp:keywords/>
  <cp:lastModifiedBy>Victor E. Vélez Cucuta</cp:lastModifiedBy>
  <cp:revision>2</cp:revision>
  <cp:lastPrinted>2025-06-23T22:32:00Z</cp:lastPrinted>
  <dcterms:created xsi:type="dcterms:W3CDTF">2025-06-23T22:32:00Z</dcterms:created>
  <dcterms:modified xsi:type="dcterms:W3CDTF">2025-06-23T22:32:00Z</dcterms:modified>
</cp:coreProperties>
</file>