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1C3164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A031F2" w:rsidRDefault="00A22A39" w:rsidP="001C3164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2DCF578A" w:rsidR="00A22A39" w:rsidRDefault="3D1DBD34" w:rsidP="001C3164">
      <w:pPr>
        <w:pStyle w:val="Title2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 xml:space="preserve">20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Asamblea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 xml:space="preserve">1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1C3164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1C3164">
      <w:pPr>
        <w:rPr>
          <w:lang w:val="es-ES_tradnl"/>
        </w:rPr>
      </w:pPr>
    </w:p>
    <w:p w14:paraId="622705C1" w14:textId="77777777" w:rsidR="00A22A39" w:rsidRDefault="00A22A39" w:rsidP="001C3164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1C3164" w:rsidRDefault="00A22A39" w:rsidP="001C316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1E3F249D" w:rsidR="00A22A39" w:rsidRDefault="00A22A39" w:rsidP="001C3164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E81228">
        <w:rPr>
          <w:rFonts w:ascii="Book Antiqua" w:hAnsi="Book Antiqua"/>
          <w:b/>
          <w:sz w:val="52"/>
          <w:lang w:val="es-ES_tradnl"/>
        </w:rPr>
        <w:t>139</w:t>
      </w:r>
    </w:p>
    <w:p w14:paraId="05D56150" w14:textId="77777777" w:rsidR="001C3164" w:rsidRPr="001C3164" w:rsidRDefault="001C3164" w:rsidP="001C316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12CD679C" w:rsidR="00A22A39" w:rsidRDefault="00E81228" w:rsidP="001C316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6</w:t>
      </w:r>
      <w:r w:rsidR="00A22A39">
        <w:rPr>
          <w:rFonts w:ascii="Book Antiqua" w:hAnsi="Book Antiqua"/>
          <w:lang w:val="es-ES_tradnl"/>
        </w:rPr>
        <w:t xml:space="preserve"> DE </w:t>
      </w:r>
      <w:r w:rsidR="00867674">
        <w:rPr>
          <w:rFonts w:ascii="Book Antiqua" w:hAnsi="Book Antiqua"/>
          <w:lang w:val="es-ES_tradnl"/>
        </w:rPr>
        <w:t>FEBRERO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1BFD5AAD" w14:textId="77777777" w:rsidR="001C3164" w:rsidRDefault="001C3164" w:rsidP="001C3164">
      <w:pPr>
        <w:jc w:val="center"/>
        <w:rPr>
          <w:rFonts w:ascii="Book Antiqua" w:hAnsi="Book Antiqua"/>
          <w:lang w:val="es-ES_tradnl"/>
        </w:rPr>
      </w:pPr>
    </w:p>
    <w:p w14:paraId="74115BD4" w14:textId="77777777" w:rsidR="001C3164" w:rsidRDefault="021EAAC5" w:rsidP="001C3164">
      <w:pPr>
        <w:jc w:val="center"/>
        <w:rPr>
          <w:rFonts w:ascii="Book Antiqua" w:hAnsi="Book Antiqua"/>
          <w:i/>
          <w:iCs/>
          <w:lang w:val="es-ES"/>
        </w:rPr>
      </w:pPr>
      <w:r w:rsidRPr="021EAAC5">
        <w:rPr>
          <w:rFonts w:ascii="Book Antiqua" w:hAnsi="Book Antiqua"/>
          <w:lang w:val="es-ES"/>
        </w:rPr>
        <w:t xml:space="preserve">Presentada por los representantes </w:t>
      </w:r>
      <w:r w:rsidR="00BC31CB" w:rsidRPr="021EAAC5">
        <w:rPr>
          <w:rFonts w:ascii="Book Antiqua" w:hAnsi="Book Antiqua"/>
          <w:i/>
          <w:iCs/>
          <w:lang w:val="es-ES"/>
        </w:rPr>
        <w:t>Pérez Cordero</w:t>
      </w:r>
      <w:r w:rsidR="00BC31CB" w:rsidRPr="001C3164">
        <w:rPr>
          <w:rFonts w:ascii="Book Antiqua" w:hAnsi="Book Antiqua"/>
          <w:lang w:val="es-ES"/>
        </w:rPr>
        <w:t xml:space="preserve"> y</w:t>
      </w:r>
      <w:r w:rsidR="00BC31CB">
        <w:rPr>
          <w:rFonts w:ascii="Book Antiqua" w:hAnsi="Book Antiqua"/>
          <w:i/>
          <w:iCs/>
          <w:lang w:val="es-ES"/>
        </w:rPr>
        <w:t xml:space="preserve"> </w:t>
      </w:r>
      <w:r w:rsidRPr="021EAAC5">
        <w:rPr>
          <w:rFonts w:ascii="Book Antiqua" w:hAnsi="Book Antiqua"/>
          <w:i/>
          <w:iCs/>
          <w:lang w:val="es-ES"/>
        </w:rPr>
        <w:t>Méndez Núñez</w:t>
      </w:r>
    </w:p>
    <w:p w14:paraId="3A345010" w14:textId="05D5BF1C" w:rsidR="00A22A39" w:rsidRDefault="021EAAC5" w:rsidP="001C3164">
      <w:pPr>
        <w:jc w:val="center"/>
        <w:rPr>
          <w:rFonts w:ascii="Book Antiqua" w:hAnsi="Book Antiqua"/>
          <w:lang w:val="es-ES"/>
        </w:rPr>
      </w:pPr>
      <w:r w:rsidRPr="021EAAC5">
        <w:rPr>
          <w:rFonts w:ascii="Book Antiqua" w:hAnsi="Book Antiqua"/>
          <w:i/>
          <w:iCs/>
          <w:lang w:val="es-ES"/>
        </w:rPr>
        <w:t xml:space="preserve"> </w:t>
      </w:r>
    </w:p>
    <w:p w14:paraId="03F04B76" w14:textId="30273E0F" w:rsidR="00A22A39" w:rsidRDefault="00A22A39" w:rsidP="001C316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1C3164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Pr="00A031F2" w:rsidRDefault="00A22A39" w:rsidP="001C3164">
      <w:pPr>
        <w:jc w:val="both"/>
        <w:rPr>
          <w:rFonts w:ascii="Book Antiqua" w:hAnsi="Book Antiqua"/>
          <w:szCs w:val="24"/>
          <w:lang w:val="es-ES_tradnl"/>
        </w:rPr>
      </w:pPr>
    </w:p>
    <w:p w14:paraId="6983381E" w14:textId="77777777" w:rsidR="00A22A39" w:rsidRPr="001C3164" w:rsidRDefault="00A22A39" w:rsidP="001C3164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1C3164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6A0CB681" w14:textId="77777777" w:rsidR="00A22A39" w:rsidRDefault="00A22A39" w:rsidP="001C3164">
      <w:pPr>
        <w:jc w:val="both"/>
        <w:rPr>
          <w:rFonts w:ascii="Book Antiqua" w:hAnsi="Book Antiqua"/>
          <w:lang w:val="es-ES_tradnl"/>
        </w:rPr>
      </w:pPr>
    </w:p>
    <w:p w14:paraId="04C26A61" w14:textId="40656E0E" w:rsidR="00A22A39" w:rsidRDefault="3D1DBD34" w:rsidP="001C3164">
      <w:pPr>
        <w:ind w:left="630" w:hanging="630"/>
        <w:jc w:val="both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>Para</w:t>
      </w:r>
      <w:r w:rsidRPr="3D1DBD34">
        <w:rPr>
          <w:lang w:val="es-PR"/>
        </w:rPr>
        <w:t xml:space="preserve"> </w:t>
      </w:r>
      <w:r w:rsidRPr="3D1DBD34">
        <w:rPr>
          <w:rFonts w:ascii="Book Antiqua" w:hAnsi="Book Antiqua"/>
          <w:lang w:val="es-ES"/>
        </w:rPr>
        <w:t xml:space="preserve">ordenar </w:t>
      </w:r>
      <w:r w:rsidR="00CF34DF">
        <w:rPr>
          <w:rFonts w:ascii="Book Antiqua" w:hAnsi="Book Antiqua"/>
          <w:lang w:val="es-ES"/>
        </w:rPr>
        <w:t>a</w:t>
      </w:r>
      <w:r w:rsidRPr="3D1DBD34">
        <w:rPr>
          <w:rFonts w:ascii="Book Antiqua" w:hAnsi="Book Antiqua"/>
          <w:lang w:val="es-PR"/>
        </w:rPr>
        <w:t xml:space="preserve"> la Comisión de </w:t>
      </w:r>
      <w:r w:rsidR="009E7EE1">
        <w:rPr>
          <w:rFonts w:ascii="Book Antiqua" w:hAnsi="Book Antiqua"/>
          <w:lang w:val="es-PR"/>
        </w:rPr>
        <w:t xml:space="preserve">lo Jurídico </w:t>
      </w:r>
      <w:r w:rsidR="00D76FE9" w:rsidRPr="3C7C7473">
        <w:rPr>
          <w:rFonts w:ascii="Book Antiqua" w:hAnsi="Book Antiqua"/>
          <w:lang w:val="es-PR"/>
        </w:rPr>
        <w:t xml:space="preserve">realizar una investigación </w:t>
      </w:r>
      <w:r w:rsidR="00D76FE9" w:rsidRPr="3C7C7473">
        <w:rPr>
          <w:rFonts w:ascii="Book Antiqua" w:eastAsia="Book Antiqua" w:hAnsi="Book Antiqua" w:cs="Book Antiqua"/>
          <w:color w:val="000000" w:themeColor="text1"/>
          <w:lang w:val="es-PR"/>
        </w:rPr>
        <w:t>sobre todo asunto relacionado</w:t>
      </w:r>
      <w:r w:rsidR="00D76FE9" w:rsidRPr="00471750">
        <w:rPr>
          <w:rFonts w:ascii="Book Antiqua" w:hAnsi="Book Antiqua"/>
          <w:bCs/>
          <w:szCs w:val="24"/>
          <w:lang w:val="es-PR"/>
        </w:rPr>
        <w:t xml:space="preserve"> con el Sistema Judicial, incluyendo entes de naturaleza cuasi judicial de la Rama Ejecutiva, los jueces y tribunales, el ejercicio de la profesión de la abogacía, los servicios sociales en los tribunales, los servicios legales para el gobierno estatal, municipal y los ciudadanos indigentes y la profesión de la notaría; el Departamento de Justicia, el Procurador General de Puerto Rico, el Registro de la Propiedad y los registradores; el cuerpo legal que rige el sistema civil, tales como el Código Civil, las Reglas de Procedimiento Civil, la “Ley Hipotecaria” y su Reglamento, entre otros; el cuerpo legal que rige el sistema penal, tales como el Código Penal y las Reglas de Procedimiento Criminal; las Reglas de Evidencia; la Comisión de Derechos Civiles; la protección de los derechos civiles de los ciudadanos y las asignaciones de fondos y recursos para programas de acceso a la justici</w:t>
      </w:r>
      <w:r w:rsidR="00D76FE9">
        <w:rPr>
          <w:rFonts w:ascii="Book Antiqua" w:hAnsi="Book Antiqua"/>
          <w:bCs/>
          <w:szCs w:val="24"/>
          <w:lang w:val="es-PR"/>
        </w:rPr>
        <w:t xml:space="preserve">a; y para otros fines legales relacionados.  </w:t>
      </w:r>
    </w:p>
    <w:p w14:paraId="3177B3DA" w14:textId="77777777" w:rsidR="00A22A39" w:rsidRPr="00A22A39" w:rsidRDefault="00A22A39" w:rsidP="001C3164">
      <w:pPr>
        <w:ind w:left="360" w:hanging="36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A031F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36FB8E96" w14:textId="77777777" w:rsidR="001C3164" w:rsidRDefault="001C3164" w:rsidP="001C3164">
      <w:pPr>
        <w:ind w:firstLine="360"/>
        <w:jc w:val="center"/>
        <w:rPr>
          <w:rFonts w:ascii="Book Antiqua" w:hAnsi="Book Antiqua"/>
          <w:lang w:val="es-ES_tradnl"/>
        </w:rPr>
      </w:pPr>
    </w:p>
    <w:p w14:paraId="08D4F10E" w14:textId="77777777" w:rsidR="00DF4331" w:rsidRDefault="008F409C" w:rsidP="001C3164">
      <w:pPr>
        <w:ind w:firstLine="36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entre otras tantas áreas son </w:t>
      </w:r>
      <w:r>
        <w:rPr>
          <w:rFonts w:ascii="Book Antiqua" w:hAnsi="Book Antiqua"/>
          <w:lang w:val="es-PR"/>
        </w:rPr>
        <w:t xml:space="preserve">fundamentales para el desarrollo de todos los ciudadanos.  </w:t>
      </w:r>
    </w:p>
    <w:p w14:paraId="5A06582E" w14:textId="77777777" w:rsidR="001C3164" w:rsidRDefault="001C3164" w:rsidP="001C3164">
      <w:pPr>
        <w:ind w:firstLine="360"/>
        <w:jc w:val="both"/>
        <w:rPr>
          <w:rFonts w:ascii="Book Antiqua" w:hAnsi="Book Antiqua"/>
          <w:lang w:val="es-PR"/>
        </w:rPr>
      </w:pPr>
    </w:p>
    <w:p w14:paraId="592C6F24" w14:textId="4CF166B2" w:rsidR="00A23C8D" w:rsidRDefault="00471750" w:rsidP="001C3164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  <w:r w:rsidRPr="0040471D">
        <w:rPr>
          <w:rFonts w:ascii="Book Antiqua" w:hAnsi="Book Antiqua"/>
          <w:szCs w:val="24"/>
          <w:lang w:val="es-ES_tradnl"/>
        </w:rPr>
        <w:t>La Comisión de lo Jurídico de la Cámara de Representantes de Puerto Rico tiene el mandato legislativo</w:t>
      </w:r>
      <w:r w:rsidRPr="0040471D">
        <w:rPr>
          <w:rFonts w:ascii="Book Antiqua" w:hAnsi="Book Antiqua"/>
          <w:iCs/>
          <w:szCs w:val="24"/>
          <w:lang w:val="es-ES_tradnl"/>
        </w:rPr>
        <w:t xml:space="preserve"> de</w:t>
      </w:r>
      <w:r>
        <w:rPr>
          <w:rFonts w:ascii="Book Antiqua" w:hAnsi="Book Antiqua"/>
          <w:iCs/>
          <w:szCs w:val="24"/>
          <w:lang w:val="es-ES_tradnl"/>
        </w:rPr>
        <w:t xml:space="preserve"> atender </w:t>
      </w:r>
      <w:r w:rsidRPr="00471750">
        <w:rPr>
          <w:rFonts w:ascii="Book Antiqua" w:hAnsi="Book Antiqua"/>
          <w:bCs/>
          <w:szCs w:val="24"/>
          <w:lang w:val="es-PR"/>
        </w:rPr>
        <w:t xml:space="preserve">todo asunto relacionado con el Sistema Judicial, incluyendo entes de naturaleza cuasi judicial de la Rama Ejecutiva, los jueces y </w:t>
      </w:r>
      <w:r w:rsidRPr="00471750">
        <w:rPr>
          <w:rFonts w:ascii="Book Antiqua" w:hAnsi="Book Antiqua"/>
          <w:bCs/>
          <w:szCs w:val="24"/>
          <w:lang w:val="es-PR"/>
        </w:rPr>
        <w:lastRenderedPageBreak/>
        <w:t>tribunales, el ejercicio de la profesión de la abogacía, los servicios sociales en los tribunales, los servicios legales para el gobierno estatal, municipal y los ciudadanos indigentes y la profesión de la notaría; el Departamento de Justicia, el Procurador General de Puerto Rico, el Registro de la Propiedad y los registradores; el cuerpo legal que rige el sistema civil, tales como el Código Civil, las Reglas de Procedimiento Civil, la “Ley Hipotecaria” y su Reglamento, entre otros; el cuerpo legal que rige el sistema penal, tales como el Código Penal y las Reglas de Procedimiento Criminal; las Reglas de Evidencia; la Comisión de Derechos Civiles; la protección de los derechos civiles de los ciudadanos y las asignaciones de fondos y recursos para programas de acceso a la justici</w:t>
      </w:r>
      <w:r>
        <w:rPr>
          <w:rFonts w:ascii="Book Antiqua" w:hAnsi="Book Antiqua"/>
          <w:bCs/>
          <w:szCs w:val="24"/>
          <w:lang w:val="es-PR"/>
        </w:rPr>
        <w:t>a.  Igualmente, tendrá jurisdicción sobre</w:t>
      </w:r>
      <w:r w:rsidRPr="00471750">
        <w:rPr>
          <w:rFonts w:ascii="Book Antiqua" w:hAnsi="Book Antiqua"/>
          <w:bCs/>
          <w:szCs w:val="24"/>
          <w:lang w:val="es-PR"/>
        </w:rPr>
        <w:t xml:space="preserve"> toda legislación relacionada con la prevención de los delitos y la rehabilitación de los ofensores</w:t>
      </w:r>
      <w:r>
        <w:rPr>
          <w:rFonts w:ascii="Book Antiqua" w:hAnsi="Book Antiqua"/>
          <w:bCs/>
          <w:szCs w:val="24"/>
          <w:lang w:val="es-PR"/>
        </w:rPr>
        <w:t>.</w:t>
      </w:r>
    </w:p>
    <w:p w14:paraId="78DC3072" w14:textId="77777777" w:rsidR="001C3164" w:rsidRDefault="001C3164" w:rsidP="001C3164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</w:p>
    <w:p w14:paraId="0093C32C" w14:textId="5F5BB9FF" w:rsidR="00471750" w:rsidRDefault="00384A25" w:rsidP="001C3164">
      <w:pPr>
        <w:ind w:firstLine="360"/>
        <w:jc w:val="both"/>
        <w:rPr>
          <w:rFonts w:ascii="Book Antiqua" w:hAnsi="Book Antiqua"/>
          <w:lang w:val="es-PR"/>
        </w:rPr>
      </w:pPr>
      <w:r w:rsidRPr="00384A25">
        <w:rPr>
          <w:rFonts w:ascii="Book Antiqua" w:hAnsi="Book Antiqua"/>
          <w:lang w:val="es-PR"/>
        </w:rPr>
        <w:t xml:space="preserve">El propósito principal de la presente </w:t>
      </w:r>
      <w:r w:rsidRPr="00384A25">
        <w:rPr>
          <w:rFonts w:ascii="Book Antiqua" w:hAnsi="Book Antiqua"/>
          <w:iCs/>
          <w:lang w:val="es-PR"/>
        </w:rPr>
        <w:t>Resolución</w:t>
      </w:r>
      <w:r w:rsidRPr="00384A25">
        <w:rPr>
          <w:rFonts w:ascii="Book Antiqua" w:hAnsi="Book Antiqua"/>
          <w:lang w:val="es-PR"/>
        </w:rPr>
        <w:t xml:space="preserve"> es dotar a la Comisión de lo Jurídico de la información y herramientas necesarias para poder realizar el estudio de los proyectos y resoluciones que sean presentados ante su consideración. De igual forma, la investigación propuesta en esta </w:t>
      </w:r>
      <w:r w:rsidRPr="00384A25">
        <w:rPr>
          <w:rFonts w:ascii="Book Antiqua" w:hAnsi="Book Antiqua"/>
          <w:iCs/>
          <w:lang w:val="es-PR"/>
        </w:rPr>
        <w:t>Resolución</w:t>
      </w:r>
      <w:r w:rsidRPr="00384A25">
        <w:rPr>
          <w:rFonts w:ascii="Book Antiqua" w:hAnsi="Book Antiqua"/>
          <w:lang w:val="es-PR"/>
        </w:rPr>
        <w:t xml:space="preserve"> servirá para que la Comisión esté en posición de presentar los hallazgos</w:t>
      </w:r>
      <w:r w:rsidRPr="00384A25">
        <w:rPr>
          <w:rFonts w:ascii="Book Antiqua" w:hAnsi="Book Antiqua"/>
          <w:iCs/>
          <w:lang w:val="es-PR"/>
        </w:rPr>
        <w:t>, conclusiones y aquellas</w:t>
      </w:r>
      <w:r w:rsidRPr="00384A25">
        <w:rPr>
          <w:rFonts w:ascii="Book Antiqua" w:hAnsi="Book Antiqua"/>
          <w:lang w:val="es-PR"/>
        </w:rPr>
        <w:t xml:space="preserve"> recomendaciones y legislación</w:t>
      </w:r>
      <w:r w:rsidRPr="00384A25">
        <w:rPr>
          <w:rFonts w:ascii="Book Antiqua" w:hAnsi="Book Antiqua"/>
          <w:iCs/>
          <w:lang w:val="es-PR"/>
        </w:rPr>
        <w:t>, si alguna,</w:t>
      </w:r>
      <w:r w:rsidRPr="00384A25">
        <w:rPr>
          <w:rFonts w:ascii="Book Antiqua" w:hAnsi="Book Antiqua"/>
          <w:lang w:val="es-PR"/>
        </w:rPr>
        <w:t xml:space="preserve"> con el fin de garantizar el funcionamiento óptimo del sistema de justicia, las instrumentalidades que lo componen, así como</w:t>
      </w:r>
      <w:r w:rsidRPr="00384A25">
        <w:rPr>
          <w:rFonts w:ascii="Book Antiqua" w:hAnsi="Book Antiqua"/>
          <w:iCs/>
          <w:lang w:val="es-PR"/>
        </w:rPr>
        <w:t xml:space="preserve"> de</w:t>
      </w:r>
      <w:r w:rsidRPr="00384A25">
        <w:rPr>
          <w:rFonts w:ascii="Book Antiqua" w:hAnsi="Book Antiqua"/>
          <w:lang w:val="es-PR"/>
        </w:rPr>
        <w:t xml:space="preserve"> los servicios legales y las normas jurídicas que rigen en Puerto Rico.</w:t>
      </w:r>
      <w:r>
        <w:rPr>
          <w:rFonts w:ascii="Book Antiqua" w:hAnsi="Book Antiqua"/>
          <w:lang w:val="es-PR"/>
        </w:rPr>
        <w:t xml:space="preserve"> </w:t>
      </w:r>
    </w:p>
    <w:p w14:paraId="08FBD6FE" w14:textId="77777777" w:rsidR="001C3164" w:rsidRPr="00384A25" w:rsidRDefault="001C3164" w:rsidP="001C3164">
      <w:pPr>
        <w:ind w:firstLine="360"/>
        <w:jc w:val="both"/>
        <w:rPr>
          <w:rFonts w:ascii="Book Antiqua" w:hAnsi="Book Antiqua"/>
          <w:lang w:val="es-PR"/>
        </w:rPr>
      </w:pPr>
    </w:p>
    <w:p w14:paraId="4BECB6E0" w14:textId="6A7EAF41" w:rsidR="00384A25" w:rsidRDefault="3D1DBD34" w:rsidP="001C316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  <w:bookmarkStart w:id="0" w:name="_Hlk184305765"/>
      <w:r w:rsidRPr="3D1DBD34">
        <w:rPr>
          <w:rFonts w:ascii="Book Antiqua" w:hAnsi="Book Antiqua" w:cs="Helvetica"/>
          <w:lang w:val="es-PR"/>
        </w:rPr>
        <w:t>Estamos en un momento crucial en el que es imprescindible darle un giro en la dirección correcta a la forma en que el Estado responsablemente debe responder a sus constituyentes.</w:t>
      </w:r>
      <w:r w:rsidRPr="3D1DBD34">
        <w:rPr>
          <w:rFonts w:ascii="Book Antiqua" w:hAnsi="Book Antiqua"/>
          <w:lang w:val="es-PR"/>
        </w:rPr>
        <w:t xml:space="preserve"> Por tal motivo, la Cámara de Representantes de Puerto Rico entiende que es menester impostergable que esta Comisión lleve a cabo los estudios e investigaciones que se ordenan en esta Resolución, de tal forma que </w:t>
      </w:r>
      <w:r w:rsidR="00384A25" w:rsidRPr="00384A25">
        <w:rPr>
          <w:rFonts w:ascii="Book Antiqua" w:hAnsi="Book Antiqua"/>
          <w:lang w:val="es-PR"/>
        </w:rPr>
        <w:t xml:space="preserve">la Comisión de lo Jurídico pueda recopilar la información necesaria, para cumplir su propósito de mejorar el funcionamiento y eficiencia de nuestro sistema de justicia y nuestro ordenamiento jurídico. </w:t>
      </w:r>
    </w:p>
    <w:p w14:paraId="15833683" w14:textId="77777777" w:rsidR="001C3164" w:rsidRPr="0040471D" w:rsidRDefault="001C3164" w:rsidP="001C316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szCs w:val="24"/>
          <w:lang w:val="es-PR"/>
        </w:rPr>
      </w:pPr>
    </w:p>
    <w:bookmarkEnd w:id="0"/>
    <w:p w14:paraId="187C037F" w14:textId="2AB6C7A2" w:rsidR="3D1DBD34" w:rsidRDefault="3D1DBD34" w:rsidP="001C3164">
      <w:pPr>
        <w:spacing w:line="480" w:lineRule="auto"/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8E74E72" w14:textId="44AED807" w:rsidR="008F409C" w:rsidRPr="00903E28" w:rsidRDefault="3C7C7473" w:rsidP="005133B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3C7C7473">
        <w:rPr>
          <w:rFonts w:ascii="Book Antiqua" w:hAnsi="Book Antiqua"/>
          <w:lang w:val="es-ES"/>
        </w:rPr>
        <w:t>Sección 1.-</w:t>
      </w:r>
      <w:r w:rsidRPr="3C7C7473">
        <w:rPr>
          <w:rFonts w:ascii="Book Antiqua" w:hAnsi="Book Antiqua"/>
          <w:lang w:val="es-PR"/>
        </w:rPr>
        <w:t xml:space="preserve"> Ordenar a la Comisión de </w:t>
      </w:r>
      <w:r w:rsidR="00384A25">
        <w:rPr>
          <w:rFonts w:ascii="Book Antiqua" w:hAnsi="Book Antiqua"/>
          <w:lang w:val="es-PR"/>
        </w:rPr>
        <w:t xml:space="preserve">lo Jurídico </w:t>
      </w:r>
      <w:r w:rsidRPr="3C7C7473">
        <w:rPr>
          <w:rFonts w:ascii="Book Antiqua" w:hAnsi="Book Antiqua"/>
          <w:lang w:val="es-PR"/>
        </w:rPr>
        <w:t xml:space="preserve">realizar una investigación </w:t>
      </w:r>
      <w:r w:rsidRPr="3C7C7473">
        <w:rPr>
          <w:rFonts w:ascii="Book Antiqua" w:eastAsia="Book Antiqua" w:hAnsi="Book Antiqua" w:cs="Book Antiqua"/>
          <w:color w:val="000000" w:themeColor="text1"/>
          <w:lang w:val="es-PR"/>
        </w:rPr>
        <w:t>sobre todo asunto relacionado</w:t>
      </w:r>
      <w:r w:rsidR="00384A25" w:rsidRPr="00471750">
        <w:rPr>
          <w:rFonts w:ascii="Book Antiqua" w:hAnsi="Book Antiqua"/>
          <w:bCs/>
          <w:szCs w:val="24"/>
          <w:lang w:val="es-PR"/>
        </w:rPr>
        <w:t xml:space="preserve"> con el Sistema Judicial, incluyendo entes de naturaleza cuasi judicial de la Rama Ejecutiva, los jueces y tribunales, el ejercicio de la profesión de la abogacía, los servicios sociales en los tribunales, los servicios legales para el gobierno estatal, municipal y los ciudadanos indigentes y la profesión de la notaría; el Departamento de Justicia, el Procurador General de Puerto Rico, el Registro de la </w:t>
      </w:r>
      <w:r w:rsidR="00384A25" w:rsidRPr="00471750">
        <w:rPr>
          <w:rFonts w:ascii="Book Antiqua" w:hAnsi="Book Antiqua"/>
          <w:bCs/>
          <w:szCs w:val="24"/>
          <w:lang w:val="es-PR"/>
        </w:rPr>
        <w:lastRenderedPageBreak/>
        <w:t>Propiedad y los registradores; el cuerpo legal que rige el sistema civil, tales como el Código Civil, las Reglas de Procedimiento Civil, la “Ley Hipotecaria” y su Reglamento, entre otros; el cuerpo legal que rige el sistema penal, tales como el Código Penal y las Reglas de Procedimiento Criminal; las Reglas de Evidencia; la Comisión de Derechos Civiles; la protección de los derechos civiles de los ciudadanos y las asignaciones de fondos y recursos para programas de acceso a la justici</w:t>
      </w:r>
      <w:r w:rsidR="00384A25">
        <w:rPr>
          <w:rFonts w:ascii="Book Antiqua" w:hAnsi="Book Antiqua"/>
          <w:bCs/>
          <w:szCs w:val="24"/>
          <w:lang w:val="es-PR"/>
        </w:rPr>
        <w:t xml:space="preserve">a.  </w:t>
      </w:r>
    </w:p>
    <w:p w14:paraId="7B10F0F7" w14:textId="33672389" w:rsidR="00A20194" w:rsidRPr="00A20194" w:rsidRDefault="2D4CEDA0" w:rsidP="2D4CEDA0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2D4CEDA0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9535820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4.- 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56E6E073" w14:textId="1A72E970" w:rsidR="009A69CF" w:rsidRPr="009A69CF" w:rsidRDefault="00A20194" w:rsidP="009A69CF">
      <w:pPr>
        <w:spacing w:line="480" w:lineRule="auto"/>
        <w:ind w:firstLine="360"/>
        <w:jc w:val="both"/>
        <w:rPr>
          <w:rFonts w:ascii="Book Antiqua" w:hAnsi="Book Antiqua"/>
          <w:strike/>
          <w:lang w:val="es-ES_tradnl"/>
        </w:rPr>
      </w:pPr>
      <w:r w:rsidRPr="00A20194">
        <w:rPr>
          <w:rFonts w:ascii="Book Antiqua" w:hAnsi="Book Antiqua"/>
          <w:lang w:val="es-ES_tradnl"/>
        </w:rPr>
        <w:t>Sección 5.-</w:t>
      </w:r>
      <w:r w:rsidRPr="009A69CF">
        <w:rPr>
          <w:rFonts w:ascii="Book Antiqua" w:hAnsi="Book Antiqua"/>
          <w:strike/>
          <w:lang w:val="es-ES_tradnl"/>
        </w:rPr>
        <w:t>Esta Resolución tendrá vigencia al momento de su aprobación.</w:t>
      </w:r>
      <w:r w:rsidR="009A69CF" w:rsidRPr="009A69CF">
        <w:rPr>
          <w:rFonts w:ascii="Book Antiqua" w:hAnsi="Book Antiqua"/>
          <w:lang w:val="es-ES_tradnl"/>
        </w:rPr>
        <w:t xml:space="preserve"> </w:t>
      </w:r>
      <w:r w:rsidR="009A69CF" w:rsidRPr="009A69CF">
        <w:rPr>
          <w:rFonts w:ascii="Book Antiqua" w:hAnsi="Book Antiqua"/>
          <w:i/>
          <w:u w:val="single"/>
          <w:lang w:val="es-ES_tradnl"/>
        </w:rPr>
        <w:t xml:space="preserve">Esta Resolución comenzará a regir inmediatamente después de su aprobación. </w:t>
      </w:r>
    </w:p>
    <w:p w14:paraId="0E84981C" w14:textId="77777777" w:rsidR="009A69CF" w:rsidRPr="009A69CF" w:rsidRDefault="009A69CF" w:rsidP="00A20194">
      <w:pPr>
        <w:spacing w:line="480" w:lineRule="auto"/>
        <w:ind w:firstLine="360"/>
        <w:jc w:val="both"/>
        <w:rPr>
          <w:rFonts w:ascii="Book Antiqua" w:hAnsi="Book Antiqua"/>
          <w:strike/>
          <w:lang w:val="es-PR"/>
        </w:rPr>
      </w:pPr>
    </w:p>
    <w:sectPr w:rsidR="009A69CF" w:rsidRPr="009A69CF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0159B" w14:textId="77777777" w:rsidR="00A22A39" w:rsidRDefault="00A22A39">
      <w:r>
        <w:separator/>
      </w:r>
    </w:p>
  </w:endnote>
  <w:endnote w:type="continuationSeparator" w:id="0">
    <w:p w14:paraId="64B0669E" w14:textId="77777777" w:rsidR="00A22A39" w:rsidRDefault="00A22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07761" w14:textId="77777777" w:rsidR="00A22A39" w:rsidRDefault="00A22A39">
      <w:r>
        <w:separator/>
      </w:r>
    </w:p>
  </w:footnote>
  <w:footnote w:type="continuationSeparator" w:id="0">
    <w:p w14:paraId="462AC90B" w14:textId="77777777" w:rsidR="00A22A39" w:rsidRDefault="00A22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A69CF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6F54D04D" w:rsidR="003C55C0" w:rsidRDefault="009A69CF" w:rsidP="009A69CF">
    <w:pPr>
      <w:pStyle w:val="Header"/>
      <w:jc w:val="center"/>
    </w:pPr>
    <w: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55518371">
    <w:abstractNumId w:val="0"/>
  </w:num>
  <w:num w:numId="2" w16cid:durableId="1765296961">
    <w:abstractNumId w:val="1"/>
  </w:num>
  <w:num w:numId="3" w16cid:durableId="1775392893">
    <w:abstractNumId w:val="3"/>
  </w:num>
  <w:num w:numId="4" w16cid:durableId="1177283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67DDB"/>
    <w:rsid w:val="00095AE1"/>
    <w:rsid w:val="000A6B6C"/>
    <w:rsid w:val="000B0DBB"/>
    <w:rsid w:val="00111E71"/>
    <w:rsid w:val="00127C6A"/>
    <w:rsid w:val="00135FD0"/>
    <w:rsid w:val="001363FE"/>
    <w:rsid w:val="00162962"/>
    <w:rsid w:val="0017132B"/>
    <w:rsid w:val="001A37A5"/>
    <w:rsid w:val="001A76AD"/>
    <w:rsid w:val="001C3164"/>
    <w:rsid w:val="001C5573"/>
    <w:rsid w:val="001F04A4"/>
    <w:rsid w:val="001F4CA3"/>
    <w:rsid w:val="001F612A"/>
    <w:rsid w:val="00211396"/>
    <w:rsid w:val="00213741"/>
    <w:rsid w:val="00226AE6"/>
    <w:rsid w:val="00245B34"/>
    <w:rsid w:val="00263355"/>
    <w:rsid w:val="00273792"/>
    <w:rsid w:val="002B4996"/>
    <w:rsid w:val="002D4AC8"/>
    <w:rsid w:val="002F2D81"/>
    <w:rsid w:val="00320D78"/>
    <w:rsid w:val="00354230"/>
    <w:rsid w:val="00380FE5"/>
    <w:rsid w:val="00384A25"/>
    <w:rsid w:val="003924DD"/>
    <w:rsid w:val="00394FCB"/>
    <w:rsid w:val="003963F4"/>
    <w:rsid w:val="003B5254"/>
    <w:rsid w:val="003B75A6"/>
    <w:rsid w:val="003C55C0"/>
    <w:rsid w:val="004061CA"/>
    <w:rsid w:val="00415689"/>
    <w:rsid w:val="004440CB"/>
    <w:rsid w:val="004713D2"/>
    <w:rsid w:val="00471750"/>
    <w:rsid w:val="005133B3"/>
    <w:rsid w:val="00513760"/>
    <w:rsid w:val="00521639"/>
    <w:rsid w:val="00532BB7"/>
    <w:rsid w:val="005332E4"/>
    <w:rsid w:val="0053550C"/>
    <w:rsid w:val="005545D9"/>
    <w:rsid w:val="00555018"/>
    <w:rsid w:val="005723DC"/>
    <w:rsid w:val="00587B9D"/>
    <w:rsid w:val="006210DC"/>
    <w:rsid w:val="0064349D"/>
    <w:rsid w:val="00653EED"/>
    <w:rsid w:val="00657292"/>
    <w:rsid w:val="00685549"/>
    <w:rsid w:val="006B7365"/>
    <w:rsid w:val="006C2D81"/>
    <w:rsid w:val="006C7DF8"/>
    <w:rsid w:val="007172E8"/>
    <w:rsid w:val="0072097D"/>
    <w:rsid w:val="00750FC8"/>
    <w:rsid w:val="007533D0"/>
    <w:rsid w:val="00755069"/>
    <w:rsid w:val="0077639B"/>
    <w:rsid w:val="0078014A"/>
    <w:rsid w:val="007B0660"/>
    <w:rsid w:val="007D0A0C"/>
    <w:rsid w:val="007E3868"/>
    <w:rsid w:val="007F1F27"/>
    <w:rsid w:val="00820C41"/>
    <w:rsid w:val="00850256"/>
    <w:rsid w:val="00867674"/>
    <w:rsid w:val="008F409C"/>
    <w:rsid w:val="009116FB"/>
    <w:rsid w:val="0093686F"/>
    <w:rsid w:val="00942FD4"/>
    <w:rsid w:val="00951997"/>
    <w:rsid w:val="00990352"/>
    <w:rsid w:val="009A69CF"/>
    <w:rsid w:val="009C2609"/>
    <w:rsid w:val="009E7EE1"/>
    <w:rsid w:val="009F3689"/>
    <w:rsid w:val="00A031F2"/>
    <w:rsid w:val="00A03405"/>
    <w:rsid w:val="00A1528A"/>
    <w:rsid w:val="00A20194"/>
    <w:rsid w:val="00A22A39"/>
    <w:rsid w:val="00A23C8D"/>
    <w:rsid w:val="00A33918"/>
    <w:rsid w:val="00A7629F"/>
    <w:rsid w:val="00AF0CEE"/>
    <w:rsid w:val="00B667AD"/>
    <w:rsid w:val="00B84C38"/>
    <w:rsid w:val="00B86C00"/>
    <w:rsid w:val="00B947F6"/>
    <w:rsid w:val="00BC31CB"/>
    <w:rsid w:val="00BC5BF9"/>
    <w:rsid w:val="00BF16AA"/>
    <w:rsid w:val="00C01D64"/>
    <w:rsid w:val="00C0790E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E1153"/>
    <w:rsid w:val="00CF34DF"/>
    <w:rsid w:val="00D03EE3"/>
    <w:rsid w:val="00D417C2"/>
    <w:rsid w:val="00D41F2A"/>
    <w:rsid w:val="00D60936"/>
    <w:rsid w:val="00D709EB"/>
    <w:rsid w:val="00D74714"/>
    <w:rsid w:val="00D76FE9"/>
    <w:rsid w:val="00D82F3F"/>
    <w:rsid w:val="00D921C6"/>
    <w:rsid w:val="00D958C2"/>
    <w:rsid w:val="00DA54E2"/>
    <w:rsid w:val="00DF4331"/>
    <w:rsid w:val="00E04AB5"/>
    <w:rsid w:val="00E426FC"/>
    <w:rsid w:val="00E50EEA"/>
    <w:rsid w:val="00E52F58"/>
    <w:rsid w:val="00E774AF"/>
    <w:rsid w:val="00E81228"/>
    <w:rsid w:val="00EC26AA"/>
    <w:rsid w:val="00ED7A53"/>
    <w:rsid w:val="00EE3FF4"/>
    <w:rsid w:val="00EE4273"/>
    <w:rsid w:val="00F02004"/>
    <w:rsid w:val="00F042CB"/>
    <w:rsid w:val="00F44DC8"/>
    <w:rsid w:val="00F52667"/>
    <w:rsid w:val="00F55D7D"/>
    <w:rsid w:val="00F60A20"/>
    <w:rsid w:val="00FB47EB"/>
    <w:rsid w:val="00FC0A95"/>
    <w:rsid w:val="00FC1E1C"/>
    <w:rsid w:val="00FC3D9C"/>
    <w:rsid w:val="00FD38E7"/>
    <w:rsid w:val="00FF0153"/>
    <w:rsid w:val="00FF4DD7"/>
    <w:rsid w:val="00FF6BD2"/>
    <w:rsid w:val="021EAAC5"/>
    <w:rsid w:val="2D4CEDA0"/>
    <w:rsid w:val="3C7C7473"/>
    <w:rsid w:val="3D1DB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7286FE6"/>
  <w15:docId w15:val="{C9738AB0-BC52-4105-979D-41C7F8ADA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paragraph" w:styleId="BodyText">
    <w:name w:val="Body Text"/>
    <w:basedOn w:val="Normal"/>
    <w:link w:val="BodyTextChar"/>
    <w:rsid w:val="00384A25"/>
    <w:pPr>
      <w:spacing w:line="480" w:lineRule="auto"/>
      <w:jc w:val="both"/>
    </w:pPr>
    <w:rPr>
      <w:lang w:val="es-ES_tradnl"/>
    </w:rPr>
  </w:style>
  <w:style w:type="character" w:customStyle="1" w:styleId="BodyTextChar">
    <w:name w:val="Body Text Char"/>
    <w:basedOn w:val="DefaultParagraphFont"/>
    <w:link w:val="BodyText"/>
    <w:rsid w:val="00384A25"/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E1D867A-E5C7-814D-94E4-53A96531B2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924</Words>
  <Characters>5267</Characters>
  <Application>Microsoft Office Word</Application>
  <DocSecurity>4</DocSecurity>
  <Lines>43</Lines>
  <Paragraphs>12</Paragraphs>
  <ScaleCrop>false</ScaleCrop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2</cp:revision>
  <cp:lastPrinted>2025-02-06T16:22:00Z</cp:lastPrinted>
  <dcterms:created xsi:type="dcterms:W3CDTF">2025-02-27T13:54:00Z</dcterms:created>
  <dcterms:modified xsi:type="dcterms:W3CDTF">2025-02-27T13:54:00Z</dcterms:modified>
</cp:coreProperties>
</file>