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Default="00C05908" w:rsidP="007223F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1E0D88">
      <w:pPr>
        <w:jc w:val="center"/>
        <w:rPr>
          <w:rFonts w:ascii="Book Antiqua" w:hAnsi="Book Antiqua"/>
          <w:lang w:val="es-ES_tradnl"/>
        </w:rPr>
      </w:pPr>
    </w:p>
    <w:p w14:paraId="0BD40D93" w14:textId="4BBDD89F" w:rsidR="007223FC" w:rsidRDefault="008629FB" w:rsidP="001E0D8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7223FC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7223FC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7223FC">
        <w:rPr>
          <w:rFonts w:ascii="Book Antiqua" w:hAnsi="Book Antiqua"/>
          <w:lang w:val="es-ES_tradnl"/>
        </w:rPr>
        <w:tab/>
        <w:t>Asamblea</w:t>
      </w:r>
      <w:r w:rsidR="007223F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7223FC">
        <w:rPr>
          <w:rFonts w:ascii="Book Antiqua" w:hAnsi="Book Antiqua"/>
          <w:lang w:val="es-ES_tradnl"/>
        </w:rPr>
        <w:t xml:space="preserve"> </w:t>
      </w:r>
      <w:proofErr w:type="spellStart"/>
      <w:r w:rsidR="007223FC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7223FC">
        <w:rPr>
          <w:rFonts w:ascii="Book Antiqua" w:hAnsi="Book Antiqua"/>
          <w:lang w:val="es-ES_tradnl"/>
        </w:rPr>
        <w:tab/>
        <w:t>Sesión</w:t>
      </w:r>
    </w:p>
    <w:p w14:paraId="6119718E" w14:textId="77777777" w:rsidR="007223FC" w:rsidRDefault="007223FC" w:rsidP="001E0D8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826346C" w14:textId="77777777" w:rsidR="007223FC" w:rsidRDefault="007223FC" w:rsidP="001E0D88">
      <w:pPr>
        <w:rPr>
          <w:lang w:val="es-ES_tradnl"/>
        </w:rPr>
      </w:pPr>
    </w:p>
    <w:p w14:paraId="5CB5D2EC" w14:textId="77777777" w:rsidR="007223FC" w:rsidRDefault="007223FC" w:rsidP="001E0D8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12A1C81C" w:rsidR="007223FC" w:rsidRDefault="007223FC" w:rsidP="001E0D8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4E0181">
        <w:rPr>
          <w:rFonts w:ascii="Book Antiqua" w:hAnsi="Book Antiqua"/>
          <w:b/>
          <w:sz w:val="52"/>
          <w:lang w:val="es-ES_tradnl"/>
        </w:rPr>
        <w:t xml:space="preserve"> 146</w:t>
      </w:r>
    </w:p>
    <w:p w14:paraId="4FB5DD3D" w14:textId="77777777" w:rsidR="001E0D88" w:rsidRPr="001E0D88" w:rsidRDefault="001E0D88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5144635F" w:rsidR="007223FC" w:rsidRDefault="00CE7367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7</w:t>
      </w:r>
      <w:r w:rsidR="002B7EDC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 xml:space="preserve">DE </w:t>
      </w:r>
      <w:r w:rsidR="00DD5B43">
        <w:rPr>
          <w:rFonts w:ascii="Book Antiqua" w:hAnsi="Book Antiqua"/>
          <w:lang w:val="es-ES_tradnl"/>
        </w:rPr>
        <w:t>FEB</w:t>
      </w:r>
      <w:r w:rsidR="008629FB">
        <w:rPr>
          <w:rFonts w:ascii="Book Antiqua" w:hAnsi="Book Antiqua"/>
          <w:lang w:val="es-ES_tradnl"/>
        </w:rPr>
        <w:t>RE</w:t>
      </w:r>
      <w:r w:rsidR="00DD5B43">
        <w:rPr>
          <w:rFonts w:ascii="Book Antiqua" w:hAnsi="Book Antiqua"/>
          <w:lang w:val="es-ES_tradnl"/>
        </w:rPr>
        <w:t>R</w:t>
      </w:r>
      <w:r w:rsidR="008629FB">
        <w:rPr>
          <w:rFonts w:ascii="Book Antiqua" w:hAnsi="Book Antiqua"/>
          <w:lang w:val="es-ES_tradnl"/>
        </w:rPr>
        <w:t>O</w:t>
      </w:r>
      <w:r w:rsidR="007223FC">
        <w:rPr>
          <w:rFonts w:ascii="Book Antiqua" w:hAnsi="Book Antiqua"/>
          <w:lang w:val="es-ES_tradnl"/>
        </w:rPr>
        <w:t xml:space="preserve"> DE 202</w:t>
      </w:r>
      <w:r w:rsidR="008629FB">
        <w:rPr>
          <w:rFonts w:ascii="Book Antiqua" w:hAnsi="Book Antiqua"/>
          <w:lang w:val="es-ES_tradnl"/>
        </w:rPr>
        <w:t>5</w:t>
      </w:r>
    </w:p>
    <w:p w14:paraId="21F5BBE3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6DD7E46D" w14:textId="21BFAC5E" w:rsidR="007223FC" w:rsidRPr="00CE7367" w:rsidRDefault="007223FC" w:rsidP="001E0D88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8629FB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8629FB">
        <w:rPr>
          <w:rFonts w:ascii="Book Antiqua" w:hAnsi="Book Antiqua"/>
          <w:i/>
          <w:lang w:val="es-ES_tradnl"/>
        </w:rPr>
        <w:t>Gutiérrez Colón</w:t>
      </w:r>
      <w:r w:rsidR="00CE7367">
        <w:rPr>
          <w:rFonts w:ascii="Book Antiqua" w:hAnsi="Book Antiqua"/>
          <w:iCs/>
          <w:lang w:val="es-ES_tradnl"/>
        </w:rPr>
        <w:t xml:space="preserve"> y el representante </w:t>
      </w:r>
      <w:r w:rsidR="00CE7367">
        <w:rPr>
          <w:rFonts w:ascii="Book Antiqua" w:hAnsi="Book Antiqua"/>
          <w:i/>
          <w:lang w:val="es-ES_tradnl"/>
        </w:rPr>
        <w:t>Márquez Lebrón</w:t>
      </w:r>
    </w:p>
    <w:p w14:paraId="6B41298E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0E632D40" w14:textId="0AA0FEE8" w:rsidR="007223FC" w:rsidRDefault="007223FC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CD01F9">
        <w:rPr>
          <w:rFonts w:ascii="Book Antiqua" w:hAnsi="Book Antiqua"/>
          <w:lang w:val="es-ES_tradnl"/>
        </w:rPr>
        <w:t>la Comisión de Asuntos Internos</w:t>
      </w:r>
    </w:p>
    <w:p w14:paraId="0DCBA946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1E0D88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16DED3D" w14:textId="11397350" w:rsidR="007223FC" w:rsidRPr="00ED1E2F" w:rsidRDefault="00DD5B43" w:rsidP="001E0D88">
      <w:pPr>
        <w:ind w:left="360" w:hanging="360"/>
        <w:jc w:val="both"/>
        <w:rPr>
          <w:rFonts w:ascii="Book Antiqua" w:hAnsi="Book Antiqua"/>
          <w:lang w:val="es-ES_tradnl"/>
        </w:rPr>
      </w:pPr>
      <w:r w:rsidRPr="00DD5B43">
        <w:rPr>
          <w:rFonts w:ascii="Book Antiqua" w:hAnsi="Book Antiqua"/>
          <w:lang w:val="es-ES_tradnl"/>
        </w:rPr>
        <w:t>Para ordenar a la Comisión de</w:t>
      </w:r>
      <w:r w:rsidR="00987176">
        <w:rPr>
          <w:rFonts w:ascii="Book Antiqua" w:hAnsi="Book Antiqua"/>
          <w:lang w:val="es-ES_tradnl"/>
        </w:rPr>
        <w:t xml:space="preserve"> Trabajo y</w:t>
      </w:r>
      <w:r w:rsidRPr="00DD5B43">
        <w:rPr>
          <w:rFonts w:ascii="Book Antiqua" w:hAnsi="Book Antiqua"/>
          <w:lang w:val="es-ES_tradnl"/>
        </w:rPr>
        <w:t xml:space="preserve"> Asuntos Laborales de la </w:t>
      </w:r>
      <w:r w:rsidR="00E954DC">
        <w:rPr>
          <w:rFonts w:ascii="Book Antiqua" w:hAnsi="Book Antiqua"/>
          <w:lang w:val="es-ES_tradnl"/>
        </w:rPr>
        <w:t>Cámara de Representantes</w:t>
      </w:r>
      <w:r w:rsidRPr="00DD5B43">
        <w:rPr>
          <w:rFonts w:ascii="Book Antiqua" w:hAnsi="Book Antiqua"/>
          <w:lang w:val="es-ES_tradnl"/>
        </w:rPr>
        <w:t xml:space="preserve"> de Puerto Rico que realice una investigación exhaustiva sobre las </w:t>
      </w:r>
      <w:r w:rsidR="00060837">
        <w:rPr>
          <w:rFonts w:ascii="Book Antiqua" w:hAnsi="Book Antiqua"/>
          <w:lang w:val="es-ES_tradnl"/>
        </w:rPr>
        <w:t>razones</w:t>
      </w:r>
      <w:r w:rsidRPr="00DD5B43">
        <w:rPr>
          <w:rFonts w:ascii="Book Antiqua" w:hAnsi="Book Antiqua"/>
          <w:lang w:val="es-ES_tradnl"/>
        </w:rPr>
        <w:t xml:space="preserve"> que llevan a múltiples patronos a solicitar </w:t>
      </w:r>
      <w:r w:rsidR="00060837" w:rsidRPr="00DD5B43">
        <w:rPr>
          <w:rFonts w:ascii="Book Antiqua" w:hAnsi="Book Antiqua"/>
          <w:lang w:val="es-ES_tradnl"/>
        </w:rPr>
        <w:t xml:space="preserve">al Departamento del Trabajo y Recursos Humanos </w:t>
      </w:r>
      <w:r w:rsidRPr="00DD5B43">
        <w:rPr>
          <w:rFonts w:ascii="Book Antiqua" w:hAnsi="Book Antiqua"/>
          <w:lang w:val="es-ES_tradnl"/>
        </w:rPr>
        <w:t xml:space="preserve">de manera </w:t>
      </w:r>
      <w:r w:rsidR="00060837">
        <w:rPr>
          <w:rFonts w:ascii="Book Antiqua" w:hAnsi="Book Antiqua"/>
          <w:lang w:val="es-ES_tradnl"/>
        </w:rPr>
        <w:t xml:space="preserve">consecutiva o </w:t>
      </w:r>
      <w:r w:rsidRPr="00DD5B43">
        <w:rPr>
          <w:rFonts w:ascii="Book Antiqua" w:hAnsi="Book Antiqua"/>
          <w:lang w:val="es-ES_tradnl"/>
        </w:rPr>
        <w:t>recurrente la exoneración del pago del bono de Navidad</w:t>
      </w:r>
      <w:r w:rsidR="00987176">
        <w:rPr>
          <w:rFonts w:ascii="Book Antiqua" w:hAnsi="Book Antiqua"/>
          <w:lang w:val="es-ES_tradnl"/>
        </w:rPr>
        <w:t xml:space="preserve">, </w:t>
      </w:r>
      <w:r w:rsidR="00987176" w:rsidRPr="00987176">
        <w:rPr>
          <w:rFonts w:ascii="Book Antiqua" w:hAnsi="Book Antiqua"/>
          <w:lang w:val="es-ES_tradnl"/>
        </w:rPr>
        <w:t xml:space="preserve">de conformidad con la Ley Núm. 148 de 30 de junio de 1969, conocida como la </w:t>
      </w:r>
      <w:r w:rsidR="00060837">
        <w:rPr>
          <w:rFonts w:ascii="Book Antiqua" w:hAnsi="Book Antiqua"/>
          <w:lang w:val="es-ES_tradnl"/>
        </w:rPr>
        <w:t>“</w:t>
      </w:r>
      <w:r w:rsidR="00987176" w:rsidRPr="00987176">
        <w:rPr>
          <w:rFonts w:ascii="Book Antiqua" w:hAnsi="Book Antiqua"/>
          <w:lang w:val="es-ES_tradnl"/>
        </w:rPr>
        <w:t>Ley del Bono de Navidad en la Empresa Privada</w:t>
      </w:r>
      <w:r w:rsidR="00060837">
        <w:rPr>
          <w:rFonts w:ascii="Book Antiqua" w:hAnsi="Book Antiqua"/>
          <w:lang w:val="es-ES_tradnl"/>
        </w:rPr>
        <w:t>”</w:t>
      </w:r>
      <w:r w:rsidR="00E67104">
        <w:rPr>
          <w:rFonts w:ascii="Book Antiqua" w:hAnsi="Book Antiqua"/>
          <w:lang w:val="es-ES_tradnl"/>
        </w:rPr>
        <w:t xml:space="preserve">. </w:t>
      </w:r>
    </w:p>
    <w:p w14:paraId="7309ED66" w14:textId="77777777" w:rsidR="00ED1E2F" w:rsidRDefault="00ED1E2F" w:rsidP="001E0D88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13310DC" w14:textId="68895503" w:rsidR="007223FC" w:rsidRDefault="007223FC" w:rsidP="001E0D88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78F39FD" w14:textId="77777777" w:rsidR="00ED1E2F" w:rsidRDefault="00ED1E2F" w:rsidP="001E0D88">
      <w:pPr>
        <w:ind w:firstLine="360"/>
        <w:jc w:val="center"/>
        <w:rPr>
          <w:rFonts w:ascii="Book Antiqua" w:hAnsi="Book Antiqua"/>
          <w:lang w:val="es-ES_tradnl"/>
        </w:rPr>
      </w:pPr>
    </w:p>
    <w:p w14:paraId="3EADB0AD" w14:textId="4D03702F" w:rsidR="00E954DC" w:rsidRPr="00E954DC" w:rsidRDefault="00E954DC" w:rsidP="009A486A">
      <w:pPr>
        <w:ind w:firstLine="720"/>
        <w:jc w:val="both"/>
        <w:rPr>
          <w:rFonts w:ascii="Book Antiqua" w:hAnsi="Book Antiqua"/>
          <w:lang w:val="es-PR"/>
        </w:rPr>
      </w:pPr>
      <w:r w:rsidRPr="00E954DC">
        <w:rPr>
          <w:rFonts w:ascii="Book Antiqua" w:hAnsi="Book Antiqua"/>
          <w:lang w:val="es-PR"/>
        </w:rPr>
        <w:t xml:space="preserve">La Ley Núm. 148 de 30 de junio de 1969, conocida como la </w:t>
      </w:r>
      <w:r w:rsidR="00060837">
        <w:rPr>
          <w:rFonts w:ascii="Book Antiqua" w:hAnsi="Book Antiqua"/>
          <w:lang w:val="es-PR"/>
        </w:rPr>
        <w:t>“</w:t>
      </w:r>
      <w:r w:rsidRPr="00E954DC">
        <w:rPr>
          <w:rFonts w:ascii="Book Antiqua" w:hAnsi="Book Antiqua"/>
          <w:lang w:val="es-PR"/>
        </w:rPr>
        <w:t>Ley del Bono de Navidad en la Empresa Privada</w:t>
      </w:r>
      <w:r w:rsidR="00060837">
        <w:rPr>
          <w:rFonts w:ascii="Book Antiqua" w:hAnsi="Book Antiqua"/>
          <w:lang w:val="es-PR"/>
        </w:rPr>
        <w:t>”</w:t>
      </w:r>
      <w:r w:rsidRPr="00E954DC">
        <w:rPr>
          <w:rFonts w:ascii="Book Antiqua" w:hAnsi="Book Antiqua"/>
          <w:lang w:val="es-PR"/>
        </w:rPr>
        <w:t>, establece el derecho de los empleados a recibir un bono de Navidad. Sin embargo, la misma ley permite que los patronos soliciten una exoneración de este pago si demuestran pérdidas económicas o ganancias insuficientes que no permiten cubrir el bono sin exceder el 15% de sus ganancias netas anuales</w:t>
      </w:r>
      <w:r>
        <w:rPr>
          <w:rFonts w:ascii="Book Antiqua" w:hAnsi="Book Antiqua"/>
          <w:lang w:val="es-PR"/>
        </w:rPr>
        <w:t>.</w:t>
      </w:r>
    </w:p>
    <w:p w14:paraId="285FBDA8" w14:textId="77777777" w:rsidR="00E954DC" w:rsidRPr="00E954DC" w:rsidRDefault="00E954DC" w:rsidP="00E954DC">
      <w:pPr>
        <w:jc w:val="both"/>
        <w:rPr>
          <w:rFonts w:ascii="Book Antiqua" w:hAnsi="Book Antiqua"/>
          <w:lang w:val="es-PR"/>
        </w:rPr>
      </w:pPr>
    </w:p>
    <w:p w14:paraId="7BFBA394" w14:textId="59F08CDE" w:rsidR="00E954DC" w:rsidRPr="00E954DC" w:rsidRDefault="00987176" w:rsidP="009A486A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Según la prensa del país, e</w:t>
      </w:r>
      <w:r w:rsidR="00E954DC" w:rsidRPr="00E954DC">
        <w:rPr>
          <w:rFonts w:ascii="Book Antiqua" w:hAnsi="Book Antiqua"/>
          <w:lang w:val="es-PR"/>
        </w:rPr>
        <w:t>n diciembre de 2024, el Departamento del Trabajo y Recursos Humanos informó que recibió 297 solicitudes de exoneración, de las cuales 275 fueron aprobadas con exoneración total, 8 con exoneración parcial y 14 fueron denegadas</w:t>
      </w:r>
      <w:r w:rsidR="00E954DC">
        <w:rPr>
          <w:rFonts w:ascii="Book Antiqua" w:hAnsi="Book Antiqua"/>
          <w:lang w:val="es-PR"/>
        </w:rPr>
        <w:t>.</w:t>
      </w:r>
      <w:r w:rsidR="00E954DC" w:rsidRPr="00E954DC">
        <w:rPr>
          <w:rFonts w:ascii="Book Antiqua" w:hAnsi="Book Antiqua"/>
          <w:lang w:val="es-PR"/>
        </w:rPr>
        <w:t xml:space="preserve"> </w:t>
      </w:r>
      <w:r w:rsidR="00E954DC">
        <w:rPr>
          <w:rFonts w:ascii="Book Antiqua" w:hAnsi="Book Antiqua"/>
          <w:lang w:val="es-PR"/>
        </w:rPr>
        <w:t xml:space="preserve"> </w:t>
      </w:r>
      <w:r w:rsidR="00E954DC" w:rsidRPr="00E954DC">
        <w:rPr>
          <w:rFonts w:ascii="Book Antiqua" w:hAnsi="Book Antiqua"/>
          <w:lang w:val="es-PR"/>
        </w:rPr>
        <w:t xml:space="preserve">Aunque estas cifras representan una disminución en comparación con años anteriores, aún es preocupante la cantidad de patronos que </w:t>
      </w:r>
      <w:r w:rsidR="00827606">
        <w:rPr>
          <w:rFonts w:ascii="Book Antiqua" w:hAnsi="Book Antiqua"/>
          <w:lang w:val="es-PR"/>
        </w:rPr>
        <w:t>solicitan</w:t>
      </w:r>
      <w:r w:rsidR="00E954DC" w:rsidRPr="00E954DC">
        <w:rPr>
          <w:rFonts w:ascii="Book Antiqua" w:hAnsi="Book Antiqua"/>
          <w:lang w:val="es-PR"/>
        </w:rPr>
        <w:t xml:space="preserve"> eximirse de esta obligación</w:t>
      </w:r>
      <w:r w:rsidR="00E954DC">
        <w:rPr>
          <w:rFonts w:ascii="Book Antiqua" w:hAnsi="Book Antiqua"/>
          <w:lang w:val="es-PR"/>
        </w:rPr>
        <w:t>, particularmente varios patronos que todos los años solicitan dicha exoneración</w:t>
      </w:r>
      <w:r w:rsidR="00E954DC" w:rsidRPr="00E954DC">
        <w:rPr>
          <w:rFonts w:ascii="Book Antiqua" w:hAnsi="Book Antiqua"/>
          <w:lang w:val="es-PR"/>
        </w:rPr>
        <w:t>.</w:t>
      </w:r>
      <w:r w:rsidR="00E954DC">
        <w:rPr>
          <w:rFonts w:ascii="Book Antiqua" w:hAnsi="Book Antiqua"/>
          <w:lang w:val="es-PR"/>
        </w:rPr>
        <w:t xml:space="preserve">  Resulta bastante sorprendente, que entre los patronos que año tras años solicitan dicha exoneración se encuentran restaurantes de comida rápida y compañías que brindan seguridad privada.</w:t>
      </w:r>
    </w:p>
    <w:p w14:paraId="0D6C7C2D" w14:textId="751E3B3B" w:rsidR="007F03E4" w:rsidRPr="008629FB" w:rsidRDefault="00E954DC" w:rsidP="009A486A">
      <w:pPr>
        <w:ind w:firstLine="720"/>
        <w:jc w:val="both"/>
        <w:rPr>
          <w:rFonts w:ascii="Book Antiqua" w:hAnsi="Book Antiqua"/>
          <w:lang w:val="es-PR"/>
        </w:rPr>
      </w:pPr>
      <w:r w:rsidRPr="00E954DC">
        <w:rPr>
          <w:rFonts w:ascii="Book Antiqua" w:hAnsi="Book Antiqua"/>
          <w:lang w:val="es-PR"/>
        </w:rPr>
        <w:lastRenderedPageBreak/>
        <w:t xml:space="preserve">Es imperativo para esta </w:t>
      </w:r>
      <w:r w:rsidR="00987176">
        <w:rPr>
          <w:rFonts w:ascii="Book Antiqua" w:hAnsi="Book Antiqua"/>
          <w:lang w:val="es-PR"/>
        </w:rPr>
        <w:t>Cámara de Representantes</w:t>
      </w:r>
      <w:r w:rsidRPr="00E954DC">
        <w:rPr>
          <w:rFonts w:ascii="Book Antiqua" w:hAnsi="Book Antiqua"/>
          <w:lang w:val="es-PR"/>
        </w:rPr>
        <w:t xml:space="preserve"> </w:t>
      </w:r>
      <w:r w:rsidR="00987176">
        <w:rPr>
          <w:rFonts w:ascii="Book Antiqua" w:hAnsi="Book Antiqua"/>
          <w:lang w:val="es-PR"/>
        </w:rPr>
        <w:t>investiga</w:t>
      </w:r>
      <w:r w:rsidRPr="00E954DC">
        <w:rPr>
          <w:rFonts w:ascii="Book Antiqua" w:hAnsi="Book Antiqua"/>
          <w:lang w:val="es-PR"/>
        </w:rPr>
        <w:t>r las razones detrás de estas solicitudes recurrentes de exoneración, evaluar si se están utilizando de manera apropiada y determinar el impacto que tienen en los empleados afectados. Además, es necesario analizar si el marco legal vigente proporciona las salvaguardias adecuadas para proteger los derechos de los trabajadores y si se requiere enmendar la legislación para evitar posibles abusos.</w:t>
      </w:r>
      <w:r w:rsidR="007F03E4">
        <w:rPr>
          <w:rFonts w:ascii="Book Antiqua" w:hAnsi="Book Antiqua"/>
          <w:lang w:val="es-PR"/>
        </w:rPr>
        <w:t xml:space="preserve"> </w:t>
      </w:r>
    </w:p>
    <w:p w14:paraId="49F49AD7" w14:textId="77777777" w:rsidR="008629FB" w:rsidRPr="00ED1E2F" w:rsidRDefault="008629FB" w:rsidP="001E0D88">
      <w:pPr>
        <w:ind w:firstLine="360"/>
        <w:jc w:val="both"/>
        <w:rPr>
          <w:rFonts w:ascii="Book Antiqua" w:hAnsi="Book Antiqua"/>
          <w:lang w:val="es-ES_tradnl"/>
        </w:rPr>
      </w:pPr>
    </w:p>
    <w:p w14:paraId="6402879F" w14:textId="77777777" w:rsidR="007223FC" w:rsidRDefault="007223FC" w:rsidP="001E0D88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F7701C4" w14:textId="06F2EB2F" w:rsidR="00AD086A" w:rsidRPr="00AD086A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Sección 1.</w:t>
      </w:r>
      <w:r w:rsidR="00E954DC">
        <w:rPr>
          <w:rFonts w:ascii="Book Antiqua" w:hAnsi="Book Antiqua"/>
          <w:lang w:val="es-ES_tradnl"/>
        </w:rPr>
        <w:t xml:space="preserve"> – </w:t>
      </w:r>
      <w:r w:rsidR="00E954DC" w:rsidRPr="00E954DC">
        <w:rPr>
          <w:rFonts w:ascii="Book Antiqua" w:hAnsi="Book Antiqua"/>
          <w:lang w:val="es-ES_tradnl"/>
        </w:rPr>
        <w:t xml:space="preserve">Se ordena </w:t>
      </w:r>
      <w:r w:rsidR="00060837" w:rsidRPr="00DD5B43">
        <w:rPr>
          <w:rFonts w:ascii="Book Antiqua" w:hAnsi="Book Antiqua"/>
          <w:lang w:val="es-ES_tradnl"/>
        </w:rPr>
        <w:t>a la Comisión de</w:t>
      </w:r>
      <w:r w:rsidR="00060837">
        <w:rPr>
          <w:rFonts w:ascii="Book Antiqua" w:hAnsi="Book Antiqua"/>
          <w:lang w:val="es-ES_tradnl"/>
        </w:rPr>
        <w:t xml:space="preserve"> Trabajo y</w:t>
      </w:r>
      <w:r w:rsidR="00060837" w:rsidRPr="00DD5B43">
        <w:rPr>
          <w:rFonts w:ascii="Book Antiqua" w:hAnsi="Book Antiqua"/>
          <w:lang w:val="es-ES_tradnl"/>
        </w:rPr>
        <w:t xml:space="preserve"> Asuntos Laborales de la </w:t>
      </w:r>
      <w:r w:rsidR="00060837">
        <w:rPr>
          <w:rFonts w:ascii="Book Antiqua" w:hAnsi="Book Antiqua"/>
          <w:lang w:val="es-ES_tradnl"/>
        </w:rPr>
        <w:t>Cámara de Representantes</w:t>
      </w:r>
      <w:r w:rsidR="00060837" w:rsidRPr="00DD5B43">
        <w:rPr>
          <w:rFonts w:ascii="Book Antiqua" w:hAnsi="Book Antiqua"/>
          <w:lang w:val="es-ES_tradnl"/>
        </w:rPr>
        <w:t xml:space="preserve"> de Puerto Rico que realice una investigación exhaustiva sobre las </w:t>
      </w:r>
      <w:r w:rsidR="00060837">
        <w:rPr>
          <w:rFonts w:ascii="Book Antiqua" w:hAnsi="Book Antiqua"/>
          <w:lang w:val="es-ES_tradnl"/>
        </w:rPr>
        <w:t>razones</w:t>
      </w:r>
      <w:r w:rsidR="00060837" w:rsidRPr="00DD5B43">
        <w:rPr>
          <w:rFonts w:ascii="Book Antiqua" w:hAnsi="Book Antiqua"/>
          <w:lang w:val="es-ES_tradnl"/>
        </w:rPr>
        <w:t xml:space="preserve"> que llevan a múltiples patronos a solicitar al Departamento del Trabajo y Recursos Humanos</w:t>
      </w:r>
      <w:r w:rsidR="00060837">
        <w:rPr>
          <w:rFonts w:ascii="Book Antiqua" w:hAnsi="Book Antiqua"/>
          <w:lang w:val="es-ES_tradnl"/>
        </w:rPr>
        <w:t xml:space="preserve"> (DTRH)</w:t>
      </w:r>
      <w:r w:rsidR="00060837" w:rsidRPr="00DD5B43">
        <w:rPr>
          <w:rFonts w:ascii="Book Antiqua" w:hAnsi="Book Antiqua"/>
          <w:lang w:val="es-ES_tradnl"/>
        </w:rPr>
        <w:t xml:space="preserve"> de manera </w:t>
      </w:r>
      <w:r w:rsidR="00060837">
        <w:rPr>
          <w:rFonts w:ascii="Book Antiqua" w:hAnsi="Book Antiqua"/>
          <w:lang w:val="es-ES_tradnl"/>
        </w:rPr>
        <w:t xml:space="preserve">consecutiva o </w:t>
      </w:r>
      <w:r w:rsidR="00060837" w:rsidRPr="00DD5B43">
        <w:rPr>
          <w:rFonts w:ascii="Book Antiqua" w:hAnsi="Book Antiqua"/>
          <w:lang w:val="es-ES_tradnl"/>
        </w:rPr>
        <w:t>recurrente la exoneración del pago del bono de Navidad</w:t>
      </w:r>
      <w:r w:rsidR="00060837">
        <w:rPr>
          <w:rFonts w:ascii="Book Antiqua" w:hAnsi="Book Antiqua"/>
          <w:lang w:val="es-ES_tradnl"/>
        </w:rPr>
        <w:t xml:space="preserve">, </w:t>
      </w:r>
      <w:r w:rsidR="00060837" w:rsidRPr="00987176">
        <w:rPr>
          <w:rFonts w:ascii="Book Antiqua" w:hAnsi="Book Antiqua"/>
          <w:lang w:val="es-ES_tradnl"/>
        </w:rPr>
        <w:t xml:space="preserve">de conformidad con la Ley Núm. 148 de 30 de junio de 1969, conocida como la </w:t>
      </w:r>
      <w:r w:rsidR="00060837">
        <w:rPr>
          <w:rFonts w:ascii="Book Antiqua" w:hAnsi="Book Antiqua"/>
          <w:lang w:val="es-ES_tradnl"/>
        </w:rPr>
        <w:t>“</w:t>
      </w:r>
      <w:r w:rsidR="00060837" w:rsidRPr="00987176">
        <w:rPr>
          <w:rFonts w:ascii="Book Antiqua" w:hAnsi="Book Antiqua"/>
          <w:lang w:val="es-ES_tradnl"/>
        </w:rPr>
        <w:t>Ley del Bono de Navidad en la Empresa Privada</w:t>
      </w:r>
      <w:r w:rsidR="00060837">
        <w:rPr>
          <w:rFonts w:ascii="Book Antiqua" w:hAnsi="Book Antiqua"/>
          <w:lang w:val="es-ES_tradnl"/>
        </w:rPr>
        <w:t>”.</w:t>
      </w:r>
      <w:r w:rsidRPr="00AD086A">
        <w:rPr>
          <w:rFonts w:ascii="Book Antiqua" w:hAnsi="Book Antiqua"/>
          <w:lang w:val="es-ES_tradnl"/>
        </w:rPr>
        <w:t xml:space="preserve"> </w:t>
      </w:r>
    </w:p>
    <w:p w14:paraId="138BC720" w14:textId="3819A890" w:rsidR="00AD086A" w:rsidRPr="00E954DC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D086A">
        <w:rPr>
          <w:rFonts w:ascii="Book Antiqua" w:hAnsi="Book Antiqua"/>
          <w:lang w:val="es-ES_tradnl"/>
        </w:rPr>
        <w:t>Sección 2.</w:t>
      </w:r>
      <w:r w:rsidR="00E954DC">
        <w:rPr>
          <w:rFonts w:ascii="Book Antiqua" w:hAnsi="Book Antiqua"/>
          <w:lang w:val="es-ES_tradnl"/>
        </w:rPr>
        <w:t xml:space="preserve"> – </w:t>
      </w:r>
      <w:r w:rsidR="00E954DC" w:rsidRPr="00E954DC">
        <w:rPr>
          <w:rFonts w:ascii="Book Antiqua" w:hAnsi="Book Antiqua"/>
          <w:lang w:val="es-ES"/>
        </w:rPr>
        <w:t>La investigación deberá incluir, pero no limitarse a</w:t>
      </w:r>
      <w:r w:rsidR="00E954DC">
        <w:rPr>
          <w:rFonts w:ascii="Book Antiqua" w:hAnsi="Book Antiqua"/>
          <w:lang w:val="es-ES"/>
        </w:rPr>
        <w:t xml:space="preserve"> lo siguiente</w:t>
      </w:r>
      <w:r w:rsidR="00E954DC" w:rsidRPr="00E954DC">
        <w:rPr>
          <w:rFonts w:ascii="Book Antiqua" w:hAnsi="Book Antiqua"/>
          <w:lang w:val="es-ES"/>
        </w:rPr>
        <w:t>:</w:t>
      </w:r>
    </w:p>
    <w:p w14:paraId="7462C11B" w14:textId="3B57EACF" w:rsidR="00AD086A" w:rsidRPr="00AD086A" w:rsidRDefault="00AD086A" w:rsidP="00E954DC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(1)</w:t>
      </w:r>
      <w:r w:rsidRPr="00AD086A">
        <w:rPr>
          <w:rFonts w:ascii="Book Antiqua" w:hAnsi="Book Antiqua"/>
          <w:lang w:val="es-ES_tradnl"/>
        </w:rPr>
        <w:tab/>
      </w:r>
      <w:r w:rsidR="00E954DC" w:rsidRPr="00E954DC">
        <w:rPr>
          <w:rFonts w:ascii="Book Antiqua" w:hAnsi="Book Antiqua"/>
          <w:lang w:val="es-ES_tradnl"/>
        </w:rPr>
        <w:t>Análisis de los criterios utilizados por el DTRH para otorgar exoneraciones y la transparencia del proceso</w:t>
      </w:r>
      <w:r w:rsidRPr="00AD086A">
        <w:rPr>
          <w:rFonts w:ascii="Book Antiqua" w:hAnsi="Book Antiqua"/>
          <w:lang w:val="es-ES_tradnl"/>
        </w:rPr>
        <w:t>;</w:t>
      </w:r>
    </w:p>
    <w:p w14:paraId="0B9728A4" w14:textId="1F8B0303" w:rsidR="00AD086A" w:rsidRPr="00AD086A" w:rsidRDefault="00AD086A" w:rsidP="00E954DC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(2)</w:t>
      </w:r>
      <w:r w:rsidRPr="00AD086A">
        <w:rPr>
          <w:rFonts w:ascii="Book Antiqua" w:hAnsi="Book Antiqua"/>
          <w:lang w:val="es-ES_tradnl"/>
        </w:rPr>
        <w:tab/>
      </w:r>
      <w:r w:rsidR="00E954DC" w:rsidRPr="00E954DC">
        <w:rPr>
          <w:rFonts w:ascii="Book Antiqua" w:hAnsi="Book Antiqua"/>
          <w:lang w:val="es-ES_tradnl"/>
        </w:rPr>
        <w:t xml:space="preserve">Evaluación de la situación financiera de los patronos que solicitan exoneraciones de manera </w:t>
      </w:r>
      <w:r w:rsidR="00060837">
        <w:rPr>
          <w:rFonts w:ascii="Book Antiqua" w:hAnsi="Book Antiqua"/>
          <w:lang w:val="es-ES_tradnl"/>
        </w:rPr>
        <w:t xml:space="preserve">consecutiva o </w:t>
      </w:r>
      <w:r w:rsidR="00E954DC" w:rsidRPr="00E954DC">
        <w:rPr>
          <w:rFonts w:ascii="Book Antiqua" w:hAnsi="Book Antiqua"/>
          <w:lang w:val="es-ES_tradnl"/>
        </w:rPr>
        <w:t>recurrente</w:t>
      </w:r>
      <w:r w:rsidRPr="00AD086A">
        <w:rPr>
          <w:rFonts w:ascii="Book Antiqua" w:hAnsi="Book Antiqua"/>
          <w:lang w:val="es-ES_tradnl"/>
        </w:rPr>
        <w:t>;</w:t>
      </w:r>
    </w:p>
    <w:p w14:paraId="40FECA8F" w14:textId="4CB81DD4" w:rsidR="00AD086A" w:rsidRPr="00AD086A" w:rsidRDefault="00AD086A" w:rsidP="007F03E4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(3)</w:t>
      </w:r>
      <w:r w:rsidRPr="00AD086A">
        <w:rPr>
          <w:rFonts w:ascii="Book Antiqua" w:hAnsi="Book Antiqua"/>
          <w:lang w:val="es-ES_tradnl"/>
        </w:rPr>
        <w:tab/>
      </w:r>
      <w:r w:rsidR="00E954DC" w:rsidRPr="00E954DC">
        <w:rPr>
          <w:rFonts w:ascii="Book Antiqua" w:hAnsi="Book Antiqua"/>
          <w:lang w:val="es-ES_tradnl"/>
        </w:rPr>
        <w:t>Impacto de las exoneraciones en los empleados afectados</w:t>
      </w:r>
      <w:r w:rsidRPr="00AD086A">
        <w:rPr>
          <w:rFonts w:ascii="Book Antiqua" w:hAnsi="Book Antiqua"/>
          <w:lang w:val="es-ES_tradnl"/>
        </w:rPr>
        <w:t>;</w:t>
      </w:r>
    </w:p>
    <w:p w14:paraId="632087DB" w14:textId="4C584659" w:rsidR="00AD086A" w:rsidRDefault="00AD086A" w:rsidP="007F03E4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(4)</w:t>
      </w:r>
      <w:r w:rsidRPr="00AD086A">
        <w:rPr>
          <w:rFonts w:ascii="Book Antiqua" w:hAnsi="Book Antiqua"/>
          <w:lang w:val="es-ES_tradnl"/>
        </w:rPr>
        <w:tab/>
      </w:r>
      <w:r w:rsidR="00E954DC" w:rsidRPr="00E954DC">
        <w:rPr>
          <w:rFonts w:ascii="Book Antiqua" w:hAnsi="Book Antiqua"/>
          <w:lang w:val="es-ES_tradnl"/>
        </w:rPr>
        <w:t>Revisión de las tendencias en las solicitudes de exoneración en los últimos cinco años</w:t>
      </w:r>
      <w:r w:rsidR="00E954DC">
        <w:rPr>
          <w:rFonts w:ascii="Book Antiqua" w:hAnsi="Book Antiqua"/>
          <w:lang w:val="es-ES_tradnl"/>
        </w:rPr>
        <w:t xml:space="preserve">, incluyendo los patronos que solicitan la exención </w:t>
      </w:r>
      <w:r w:rsidR="00987176">
        <w:rPr>
          <w:rFonts w:ascii="Book Antiqua" w:hAnsi="Book Antiqua"/>
          <w:lang w:val="es-ES_tradnl"/>
        </w:rPr>
        <w:t xml:space="preserve">por </w:t>
      </w:r>
      <w:r w:rsidR="00060837">
        <w:rPr>
          <w:rFonts w:ascii="Book Antiqua" w:hAnsi="Book Antiqua"/>
          <w:lang w:val="es-ES_tradnl"/>
        </w:rPr>
        <w:t>má</w:t>
      </w:r>
      <w:r w:rsidR="00987176">
        <w:rPr>
          <w:rFonts w:ascii="Book Antiqua" w:hAnsi="Book Antiqua"/>
          <w:lang w:val="es-ES_tradnl"/>
        </w:rPr>
        <w:t xml:space="preserve">s </w:t>
      </w:r>
      <w:r w:rsidR="00060837">
        <w:rPr>
          <w:rFonts w:ascii="Book Antiqua" w:hAnsi="Book Antiqua"/>
          <w:lang w:val="es-ES_tradnl"/>
        </w:rPr>
        <w:t>de</w:t>
      </w:r>
      <w:r w:rsidR="00987176">
        <w:rPr>
          <w:rFonts w:ascii="Book Antiqua" w:hAnsi="Book Antiqua"/>
          <w:lang w:val="es-ES_tradnl"/>
        </w:rPr>
        <w:t xml:space="preserve"> </w:t>
      </w:r>
      <w:r w:rsidR="00060837">
        <w:rPr>
          <w:rFonts w:ascii="Book Antiqua" w:hAnsi="Book Antiqua"/>
          <w:lang w:val="es-ES_tradnl"/>
        </w:rPr>
        <w:t>2</w:t>
      </w:r>
      <w:r w:rsidR="00987176">
        <w:rPr>
          <w:rFonts w:ascii="Book Antiqua" w:hAnsi="Book Antiqua"/>
          <w:lang w:val="es-ES_tradnl"/>
        </w:rPr>
        <w:t xml:space="preserve"> años consecutivos</w:t>
      </w:r>
      <w:r w:rsidR="00E954DC">
        <w:rPr>
          <w:rFonts w:ascii="Book Antiqua" w:hAnsi="Book Antiqua"/>
          <w:lang w:val="es-ES_tradnl"/>
        </w:rPr>
        <w:t>;</w:t>
      </w:r>
    </w:p>
    <w:p w14:paraId="6C86D641" w14:textId="4D596EBA" w:rsidR="00E954DC" w:rsidRDefault="00E954DC" w:rsidP="007F03E4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(5)</w:t>
      </w:r>
      <w:r>
        <w:rPr>
          <w:rFonts w:ascii="Book Antiqua" w:hAnsi="Book Antiqua"/>
          <w:lang w:val="es-ES_tradnl"/>
        </w:rPr>
        <w:tab/>
      </w:r>
      <w:r w:rsidRPr="00E954DC">
        <w:rPr>
          <w:rFonts w:ascii="Book Antiqua" w:hAnsi="Book Antiqua"/>
          <w:lang w:val="es-ES_tradnl"/>
        </w:rPr>
        <w:t>Identificación de posibles lagunas legales que permitan abusos en el proceso de solicitud de exoneración</w:t>
      </w:r>
      <w:r>
        <w:rPr>
          <w:rFonts w:ascii="Book Antiqua" w:hAnsi="Book Antiqua"/>
          <w:lang w:val="es-ES_tradnl"/>
        </w:rPr>
        <w:t>;</w:t>
      </w:r>
    </w:p>
    <w:p w14:paraId="45F1DBE8" w14:textId="6D5CC426" w:rsidR="00890C1A" w:rsidRPr="00ED1E2F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lastRenderedPageBreak/>
        <w:t xml:space="preserve">Sección </w:t>
      </w:r>
      <w:r w:rsidR="00781769">
        <w:rPr>
          <w:rFonts w:ascii="Book Antiqua" w:hAnsi="Book Antiqua"/>
          <w:lang w:val="es-ES_tradnl"/>
        </w:rPr>
        <w:t>3</w:t>
      </w:r>
      <w:r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</w:t>
      </w:r>
      <w:r w:rsidR="00583D95">
        <w:rPr>
          <w:rFonts w:ascii="Book Antiqua" w:hAnsi="Book Antiqua"/>
          <w:lang w:val="es-ES_tradnl"/>
        </w:rPr>
        <w:t>–</w:t>
      </w:r>
      <w:r w:rsidRPr="00ED1E2F">
        <w:rPr>
          <w:rFonts w:ascii="Book Antiqua" w:hAnsi="Book Antiqua"/>
          <w:lang w:val="es-ES_tradnl"/>
        </w:rPr>
        <w:t xml:space="preserve"> La Comisión </w:t>
      </w:r>
      <w:r w:rsidR="00E67104">
        <w:rPr>
          <w:rFonts w:ascii="Book Antiqua" w:hAnsi="Book Antiqua"/>
          <w:lang w:val="es-ES_tradnl"/>
        </w:rPr>
        <w:t xml:space="preserve">rendirá </w:t>
      </w:r>
      <w:r w:rsidRPr="00ED1E2F">
        <w:rPr>
          <w:rFonts w:ascii="Book Antiqua" w:hAnsi="Book Antiqua"/>
          <w:lang w:val="es-ES_tradnl"/>
        </w:rPr>
        <w:t>un informe con sus hallazgos, conclusiones y recomendaciones</w:t>
      </w:r>
      <w:r w:rsidR="00E67104">
        <w:rPr>
          <w:rFonts w:ascii="Book Antiqua" w:hAnsi="Book Antiqua"/>
          <w:lang w:val="es-ES_tradnl"/>
        </w:rPr>
        <w:t xml:space="preserve"> dentro de un término</w:t>
      </w:r>
      <w:r w:rsidR="00781769">
        <w:rPr>
          <w:rFonts w:ascii="Book Antiqua" w:hAnsi="Book Antiqua"/>
          <w:lang w:val="es-ES_tradnl"/>
        </w:rPr>
        <w:t xml:space="preserve"> no mayor</w:t>
      </w:r>
      <w:r w:rsidR="00E67104">
        <w:rPr>
          <w:rFonts w:ascii="Book Antiqua" w:hAnsi="Book Antiqua"/>
          <w:lang w:val="es-ES_tradnl"/>
        </w:rPr>
        <w:t xml:space="preserve"> de </w:t>
      </w:r>
      <w:r w:rsidR="00781769">
        <w:rPr>
          <w:rFonts w:ascii="Book Antiqua" w:hAnsi="Book Antiqua"/>
          <w:lang w:val="es-ES_tradnl"/>
        </w:rPr>
        <w:t>ciento ochenta</w:t>
      </w:r>
      <w:r w:rsidR="00E67104">
        <w:rPr>
          <w:rFonts w:ascii="Book Antiqua" w:hAnsi="Book Antiqua"/>
          <w:lang w:val="es-ES_tradnl"/>
        </w:rPr>
        <w:t xml:space="preserve"> (</w:t>
      </w:r>
      <w:r w:rsidR="00781769">
        <w:rPr>
          <w:rFonts w:ascii="Book Antiqua" w:hAnsi="Book Antiqua"/>
          <w:lang w:val="es-ES_tradnl"/>
        </w:rPr>
        <w:t>18</w:t>
      </w:r>
      <w:r w:rsidR="00E67104">
        <w:rPr>
          <w:rFonts w:ascii="Book Antiqua" w:hAnsi="Book Antiqua"/>
          <w:lang w:val="es-ES_tradnl"/>
        </w:rPr>
        <w:t>0) días</w:t>
      </w:r>
      <w:r w:rsidR="00781769">
        <w:rPr>
          <w:rFonts w:ascii="Book Antiqua" w:hAnsi="Book Antiqua"/>
          <w:lang w:val="es-ES_tradnl"/>
        </w:rPr>
        <w:t>,</w:t>
      </w:r>
      <w:r w:rsidR="00E67104">
        <w:rPr>
          <w:rFonts w:ascii="Book Antiqua" w:hAnsi="Book Antiqua"/>
          <w:lang w:val="es-ES_tradnl"/>
        </w:rPr>
        <w:t xml:space="preserve"> a partir de la aprobación de esta Resolución. </w:t>
      </w:r>
    </w:p>
    <w:p w14:paraId="6A8E3044" w14:textId="0373B530" w:rsidR="00890C1A" w:rsidRPr="00ED1E2F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Sección </w:t>
      </w:r>
      <w:r w:rsidR="00781769">
        <w:rPr>
          <w:rFonts w:ascii="Book Antiqua" w:hAnsi="Book Antiqua"/>
          <w:lang w:val="es-ES_tradnl"/>
        </w:rPr>
        <w:t>4</w:t>
      </w:r>
      <w:r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</w:t>
      </w:r>
      <w:r w:rsidR="00583D95">
        <w:rPr>
          <w:rFonts w:ascii="Book Antiqua" w:hAnsi="Book Antiqua"/>
          <w:lang w:val="es-ES_tradnl"/>
        </w:rPr>
        <w:t>–</w:t>
      </w:r>
      <w:r w:rsidRPr="00ED1E2F">
        <w:rPr>
          <w:rFonts w:ascii="Book Antiqua" w:hAnsi="Book Antiqua"/>
          <w:lang w:val="es-ES_tradnl"/>
        </w:rPr>
        <w:t xml:space="preserve"> Esta Resolución </w:t>
      </w:r>
      <w:r w:rsidR="00781769">
        <w:rPr>
          <w:rFonts w:ascii="Book Antiqua" w:hAnsi="Book Antiqua"/>
          <w:lang w:val="es-ES_tradnl"/>
        </w:rPr>
        <w:t>entrará en vigor</w:t>
      </w:r>
      <w:r w:rsidRPr="00ED1E2F">
        <w:rPr>
          <w:rFonts w:ascii="Book Antiqua" w:hAnsi="Book Antiqua"/>
          <w:lang w:val="es-ES_tradnl"/>
        </w:rPr>
        <w:t xml:space="preserve"> inmediatamente después de su aprobación.  </w:t>
      </w:r>
    </w:p>
    <w:sectPr w:rsidR="00890C1A" w:rsidRPr="00ED1E2F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A528F" w14:textId="77777777" w:rsidR="00EE1241" w:rsidRDefault="00EE1241">
      <w:r>
        <w:separator/>
      </w:r>
    </w:p>
  </w:endnote>
  <w:endnote w:type="continuationSeparator" w:id="0">
    <w:p w14:paraId="14C24B5B" w14:textId="77777777" w:rsidR="00EE1241" w:rsidRDefault="00EE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1A518" w14:textId="77777777" w:rsidR="00EE1241" w:rsidRDefault="00EE1241">
      <w:r>
        <w:separator/>
      </w:r>
    </w:p>
  </w:footnote>
  <w:footnote w:type="continuationSeparator" w:id="0">
    <w:p w14:paraId="7A7713A6" w14:textId="77777777" w:rsidR="00EE1241" w:rsidRDefault="00EE1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0"/>
  </w:num>
  <w:num w:numId="2" w16cid:durableId="267277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56024"/>
    <w:rsid w:val="00060837"/>
    <w:rsid w:val="00095AE1"/>
    <w:rsid w:val="000A6B6C"/>
    <w:rsid w:val="000B0DBB"/>
    <w:rsid w:val="00111E71"/>
    <w:rsid w:val="00127C6A"/>
    <w:rsid w:val="001363FE"/>
    <w:rsid w:val="0014430B"/>
    <w:rsid w:val="00160CBC"/>
    <w:rsid w:val="0017132B"/>
    <w:rsid w:val="001A4F41"/>
    <w:rsid w:val="001E0D88"/>
    <w:rsid w:val="001F4CA3"/>
    <w:rsid w:val="001F612A"/>
    <w:rsid w:val="00203EFC"/>
    <w:rsid w:val="00211396"/>
    <w:rsid w:val="00226AE6"/>
    <w:rsid w:val="00245B34"/>
    <w:rsid w:val="00246130"/>
    <w:rsid w:val="002502B0"/>
    <w:rsid w:val="00263355"/>
    <w:rsid w:val="002674C4"/>
    <w:rsid w:val="00273792"/>
    <w:rsid w:val="002B7EDC"/>
    <w:rsid w:val="002C3354"/>
    <w:rsid w:val="002D4AC8"/>
    <w:rsid w:val="00305B2A"/>
    <w:rsid w:val="00320D78"/>
    <w:rsid w:val="003372CE"/>
    <w:rsid w:val="00380FE5"/>
    <w:rsid w:val="003924DD"/>
    <w:rsid w:val="00394FCB"/>
    <w:rsid w:val="003963F4"/>
    <w:rsid w:val="003B5254"/>
    <w:rsid w:val="003B580C"/>
    <w:rsid w:val="003B75A6"/>
    <w:rsid w:val="004061CA"/>
    <w:rsid w:val="00415689"/>
    <w:rsid w:val="004220A9"/>
    <w:rsid w:val="004440CB"/>
    <w:rsid w:val="004713D2"/>
    <w:rsid w:val="00473A4B"/>
    <w:rsid w:val="00487E1F"/>
    <w:rsid w:val="00495FE7"/>
    <w:rsid w:val="004B615E"/>
    <w:rsid w:val="004E0181"/>
    <w:rsid w:val="004E1B57"/>
    <w:rsid w:val="00521639"/>
    <w:rsid w:val="00532BB7"/>
    <w:rsid w:val="005332E4"/>
    <w:rsid w:val="0053550C"/>
    <w:rsid w:val="00555018"/>
    <w:rsid w:val="005723DC"/>
    <w:rsid w:val="00583D95"/>
    <w:rsid w:val="005924B5"/>
    <w:rsid w:val="005B69F5"/>
    <w:rsid w:val="005D27A3"/>
    <w:rsid w:val="005F25DA"/>
    <w:rsid w:val="006210DC"/>
    <w:rsid w:val="00622CED"/>
    <w:rsid w:val="0064349D"/>
    <w:rsid w:val="00653EED"/>
    <w:rsid w:val="00656763"/>
    <w:rsid w:val="00685549"/>
    <w:rsid w:val="006874C9"/>
    <w:rsid w:val="006B7365"/>
    <w:rsid w:val="006C2D81"/>
    <w:rsid w:val="006C7DF8"/>
    <w:rsid w:val="006E5DD4"/>
    <w:rsid w:val="006F03E8"/>
    <w:rsid w:val="007172D9"/>
    <w:rsid w:val="007223FC"/>
    <w:rsid w:val="00744BF1"/>
    <w:rsid w:val="00750FC8"/>
    <w:rsid w:val="007533D0"/>
    <w:rsid w:val="00755069"/>
    <w:rsid w:val="00772CD5"/>
    <w:rsid w:val="00781769"/>
    <w:rsid w:val="00784ADA"/>
    <w:rsid w:val="007915D3"/>
    <w:rsid w:val="00791800"/>
    <w:rsid w:val="007B0660"/>
    <w:rsid w:val="007D449C"/>
    <w:rsid w:val="007E3868"/>
    <w:rsid w:val="007F03E4"/>
    <w:rsid w:val="00820C41"/>
    <w:rsid w:val="00827606"/>
    <w:rsid w:val="00850256"/>
    <w:rsid w:val="008629FB"/>
    <w:rsid w:val="00890C1A"/>
    <w:rsid w:val="008B578C"/>
    <w:rsid w:val="008E656A"/>
    <w:rsid w:val="0093686F"/>
    <w:rsid w:val="00942FD4"/>
    <w:rsid w:val="00951997"/>
    <w:rsid w:val="00987176"/>
    <w:rsid w:val="00990352"/>
    <w:rsid w:val="0099602F"/>
    <w:rsid w:val="009A4161"/>
    <w:rsid w:val="009A486A"/>
    <w:rsid w:val="009C13F0"/>
    <w:rsid w:val="009F211B"/>
    <w:rsid w:val="00A03405"/>
    <w:rsid w:val="00A1528A"/>
    <w:rsid w:val="00A33918"/>
    <w:rsid w:val="00A60C09"/>
    <w:rsid w:val="00A7629F"/>
    <w:rsid w:val="00AC1D44"/>
    <w:rsid w:val="00AD086A"/>
    <w:rsid w:val="00AF0CEE"/>
    <w:rsid w:val="00B14053"/>
    <w:rsid w:val="00B45DFB"/>
    <w:rsid w:val="00B51752"/>
    <w:rsid w:val="00B667AD"/>
    <w:rsid w:val="00B84C38"/>
    <w:rsid w:val="00B86C00"/>
    <w:rsid w:val="00B91966"/>
    <w:rsid w:val="00B947F6"/>
    <w:rsid w:val="00BF16AA"/>
    <w:rsid w:val="00C05908"/>
    <w:rsid w:val="00C216A3"/>
    <w:rsid w:val="00C32139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D01F9"/>
    <w:rsid w:val="00CE7367"/>
    <w:rsid w:val="00D417C2"/>
    <w:rsid w:val="00D60936"/>
    <w:rsid w:val="00D709EB"/>
    <w:rsid w:val="00D74714"/>
    <w:rsid w:val="00D76B6A"/>
    <w:rsid w:val="00D82F3F"/>
    <w:rsid w:val="00D921C6"/>
    <w:rsid w:val="00D958C2"/>
    <w:rsid w:val="00DD5B43"/>
    <w:rsid w:val="00DE08B4"/>
    <w:rsid w:val="00E03207"/>
    <w:rsid w:val="00E04AB5"/>
    <w:rsid w:val="00E36C92"/>
    <w:rsid w:val="00E50EEA"/>
    <w:rsid w:val="00E52F58"/>
    <w:rsid w:val="00E67104"/>
    <w:rsid w:val="00E74C1C"/>
    <w:rsid w:val="00E954DC"/>
    <w:rsid w:val="00EB6B8A"/>
    <w:rsid w:val="00EC26AA"/>
    <w:rsid w:val="00ED1E2F"/>
    <w:rsid w:val="00ED7A53"/>
    <w:rsid w:val="00EE1241"/>
    <w:rsid w:val="00EE4273"/>
    <w:rsid w:val="00F02004"/>
    <w:rsid w:val="00F042CB"/>
    <w:rsid w:val="00F14DC1"/>
    <w:rsid w:val="00F60A20"/>
    <w:rsid w:val="00FC0A95"/>
    <w:rsid w:val="00FC0EB1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595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Gladys J. Burgos Torres</cp:lastModifiedBy>
  <cp:revision>3</cp:revision>
  <cp:lastPrinted>2025-02-07T18:17:00Z</cp:lastPrinted>
  <dcterms:created xsi:type="dcterms:W3CDTF">2025-02-07T18:38:00Z</dcterms:created>
  <dcterms:modified xsi:type="dcterms:W3CDTF">2025-02-10T13:36:00Z</dcterms:modified>
</cp:coreProperties>
</file>