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77C72876" w:rsidR="008000CF" w:rsidRDefault="00952098" w:rsidP="00EC7B12">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4409A58A" w14:textId="77777777" w:rsidR="00EC7B12" w:rsidRPr="00EC7B12" w:rsidRDefault="00EC7B12" w:rsidP="00EC7B12">
      <w:pPr>
        <w:suppressLineNumbers/>
        <w:spacing w:after="0" w:line="240" w:lineRule="auto"/>
        <w:jc w:val="center"/>
        <w:rPr>
          <w:rFonts w:ascii="Book Antiqua" w:hAnsi="Book Antiqua"/>
          <w:sz w:val="24"/>
          <w:szCs w:val="24"/>
          <w:lang w:val="es-ES_tradnl"/>
        </w:rPr>
      </w:pPr>
    </w:p>
    <w:p w14:paraId="6C419568" w14:textId="48D3CD89" w:rsidR="008000CF" w:rsidRPr="00B47B13" w:rsidRDefault="00EC7B12" w:rsidP="00EC7B12">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20ma.</w:t>
      </w:r>
      <w:r w:rsidR="008000CF" w:rsidRPr="00B47B13">
        <w:rPr>
          <w:rFonts w:ascii="Book Antiqua" w:hAnsi="Book Antiqua"/>
          <w:lang w:val="es-ES_tradnl"/>
        </w:rPr>
        <w:tab/>
      </w:r>
      <w:r>
        <w:rPr>
          <w:rFonts w:ascii="Book Antiqua" w:hAnsi="Book Antiqua"/>
          <w:lang w:val="es-ES_tradnl"/>
        </w:rPr>
        <w:t xml:space="preserve"> </w:t>
      </w:r>
      <w:r w:rsidR="008000CF" w:rsidRPr="00B47B13">
        <w:rPr>
          <w:rFonts w:ascii="Book Antiqua" w:hAnsi="Book Antiqua"/>
          <w:lang w:val="es-ES_tradnl"/>
        </w:rPr>
        <w:t>Asamblea</w:t>
      </w:r>
      <w:r w:rsidR="008000CF">
        <w:rPr>
          <w:rFonts w:ascii="Book Antiqua" w:hAnsi="Book Antiqua"/>
          <w:lang w:val="es-ES_tradnl"/>
        </w:rPr>
        <w:t xml:space="preserve"> </w:t>
      </w:r>
      <w:r w:rsidR="008000CF" w:rsidRPr="00B47B13">
        <w:rPr>
          <w:rFonts w:ascii="Book Antiqua" w:hAnsi="Book Antiqua"/>
          <w:lang w:val="es-ES_tradnl"/>
        </w:rPr>
        <w:tab/>
      </w:r>
      <w:r w:rsidR="00D14864">
        <w:rPr>
          <w:rFonts w:ascii="Book Antiqua" w:hAnsi="Book Antiqua"/>
          <w:lang w:val="es-ES_tradnl"/>
        </w:rPr>
        <w:t xml:space="preserve"> </w:t>
      </w:r>
      <w:r>
        <w:rPr>
          <w:rFonts w:ascii="Book Antiqua" w:hAnsi="Book Antiqua"/>
          <w:lang w:val="es-ES_tradnl"/>
        </w:rPr>
        <w:t xml:space="preserve">1ra. </w:t>
      </w:r>
      <w:r w:rsidR="008000CF" w:rsidRPr="00B47B13">
        <w:rPr>
          <w:rFonts w:ascii="Book Antiqua" w:hAnsi="Book Antiqua"/>
          <w:lang w:val="es-ES_tradnl"/>
        </w:rPr>
        <w:t>Sesión</w:t>
      </w:r>
    </w:p>
    <w:p w14:paraId="2B0D9D49" w14:textId="12D15CF2" w:rsidR="008000CF" w:rsidRPr="00B47B13" w:rsidRDefault="008000CF" w:rsidP="00EC7B12">
      <w:pPr>
        <w:pStyle w:val="Title2"/>
        <w:suppressLineNumbers/>
        <w:tabs>
          <w:tab w:val="clear" w:pos="648"/>
          <w:tab w:val="clear" w:pos="7776"/>
          <w:tab w:val="clear" w:pos="7848"/>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00EC7B12">
        <w:rPr>
          <w:rFonts w:ascii="Book Antiqua" w:hAnsi="Book Antiqua"/>
          <w:lang w:val="es-ES_tradnl"/>
        </w:rPr>
        <w:t xml:space="preserve">  </w:t>
      </w:r>
      <w:r w:rsidR="00EC7B12">
        <w:rPr>
          <w:rFonts w:ascii="Book Antiqua" w:hAnsi="Book Antiqua"/>
          <w:lang w:val="es-ES_tradnl"/>
        </w:rPr>
        <w:tab/>
      </w:r>
      <w:r w:rsidR="00EC7B12">
        <w:rPr>
          <w:rFonts w:ascii="Book Antiqua" w:hAnsi="Book Antiqua"/>
          <w:lang w:val="es-ES_tradnl"/>
        </w:rPr>
        <w:tab/>
      </w:r>
      <w:r w:rsidR="00EC7B12">
        <w:rPr>
          <w:rFonts w:ascii="Book Antiqua" w:hAnsi="Book Antiqua"/>
          <w:lang w:val="es-ES_tradnl"/>
        </w:rPr>
        <w:tab/>
      </w:r>
      <w:r w:rsidR="00EC7B12">
        <w:rPr>
          <w:rFonts w:ascii="Book Antiqua" w:hAnsi="Book Antiqua"/>
          <w:lang w:val="es-ES_tradnl"/>
        </w:rPr>
        <w:tab/>
      </w:r>
      <w:r w:rsidR="00EC7B12">
        <w:rPr>
          <w:rFonts w:ascii="Book Antiqua" w:hAnsi="Book Antiqua"/>
          <w:lang w:val="es-ES_tradnl"/>
        </w:rPr>
        <w:tab/>
      </w:r>
      <w:r w:rsidR="00EC7B12">
        <w:rPr>
          <w:rFonts w:ascii="Book Antiqua" w:hAnsi="Book Antiqua"/>
          <w:lang w:val="es-ES_tradnl"/>
        </w:rPr>
        <w:tab/>
      </w:r>
      <w:r w:rsidR="00EC7B12">
        <w:rPr>
          <w:rFonts w:ascii="Book Antiqua" w:hAnsi="Book Antiqua"/>
          <w:lang w:val="es-ES_tradnl"/>
        </w:rPr>
        <w:tab/>
      </w:r>
      <w:r w:rsidR="00EC7B12">
        <w:rPr>
          <w:rFonts w:ascii="Book Antiqua" w:hAnsi="Book Antiqua"/>
          <w:lang w:val="es-ES_tradnl"/>
        </w:rPr>
        <w:tab/>
        <w:t xml:space="preserve">    </w:t>
      </w:r>
      <w:r w:rsidRPr="00B47B13">
        <w:rPr>
          <w:rFonts w:ascii="Book Antiqua" w:hAnsi="Book Antiqua"/>
          <w:lang w:val="es-ES_tradnl"/>
        </w:rPr>
        <w:t>Ordinaria</w:t>
      </w:r>
    </w:p>
    <w:p w14:paraId="4457BF94" w14:textId="77777777" w:rsidR="008000CF" w:rsidRPr="00EC7B12" w:rsidRDefault="008000CF" w:rsidP="00EC7B12">
      <w:pPr>
        <w:suppressLineNumbers/>
        <w:spacing w:after="0" w:line="240" w:lineRule="auto"/>
        <w:rPr>
          <w:rFonts w:ascii="Book Antiqua" w:hAnsi="Book Antiqua"/>
          <w:sz w:val="24"/>
          <w:szCs w:val="24"/>
          <w:lang w:val="es-ES_tradnl"/>
        </w:rPr>
      </w:pPr>
    </w:p>
    <w:p w14:paraId="755D643C" w14:textId="77777777" w:rsidR="00F952CA" w:rsidRDefault="00F952CA" w:rsidP="00EC7B12">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EC7B12" w:rsidRDefault="00F952CA" w:rsidP="00EC7B12">
      <w:pPr>
        <w:suppressLineNumbers/>
        <w:spacing w:after="0" w:line="240" w:lineRule="auto"/>
        <w:contextualSpacing/>
        <w:jc w:val="center"/>
        <w:rPr>
          <w:rFonts w:ascii="Book Antiqua" w:hAnsi="Book Antiqua"/>
          <w:b/>
          <w:sz w:val="24"/>
          <w:szCs w:val="24"/>
          <w:lang w:val="es-ES_tradnl"/>
        </w:rPr>
      </w:pPr>
    </w:p>
    <w:p w14:paraId="672586F1" w14:textId="21C87DAB" w:rsidR="00F952CA" w:rsidRDefault="009C0BA8" w:rsidP="00EC7B12">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14676B">
        <w:rPr>
          <w:rFonts w:ascii="Book Antiqua" w:hAnsi="Book Antiqua"/>
          <w:b/>
          <w:sz w:val="52"/>
          <w:lang w:val="es-ES_tradnl"/>
        </w:rPr>
        <w:t>147</w:t>
      </w:r>
    </w:p>
    <w:p w14:paraId="25B6A744" w14:textId="77777777" w:rsidR="00F952CA" w:rsidRPr="00EC7B12" w:rsidRDefault="00F952CA" w:rsidP="00EC7B12">
      <w:pPr>
        <w:suppressLineNumbers/>
        <w:spacing w:after="0" w:line="240" w:lineRule="auto"/>
        <w:contextualSpacing/>
        <w:jc w:val="center"/>
        <w:rPr>
          <w:rFonts w:ascii="Book Antiqua" w:hAnsi="Book Antiqua"/>
          <w:b/>
          <w:sz w:val="24"/>
          <w:szCs w:val="24"/>
          <w:lang w:val="es-ES_tradnl"/>
        </w:rPr>
      </w:pPr>
    </w:p>
    <w:p w14:paraId="6B3B9BC4" w14:textId="03FC2CE8" w:rsidR="00F952CA" w:rsidRPr="009A6D62" w:rsidRDefault="00EC7B12" w:rsidP="00EC7B12">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7 </w:t>
      </w:r>
      <w:r w:rsidR="00F952CA" w:rsidRPr="009A6D62">
        <w:rPr>
          <w:rFonts w:ascii="Book Antiqua" w:hAnsi="Book Antiqua"/>
          <w:sz w:val="24"/>
          <w:szCs w:val="24"/>
          <w:lang w:val="es-ES_tradnl"/>
        </w:rPr>
        <w:t xml:space="preserve">DE </w:t>
      </w:r>
      <w:r w:rsidR="00E4322D">
        <w:rPr>
          <w:rFonts w:ascii="Book Antiqua" w:hAnsi="Book Antiqua"/>
          <w:sz w:val="24"/>
          <w:szCs w:val="24"/>
          <w:lang w:val="es-ES_tradnl"/>
        </w:rPr>
        <w:t>FEBRERO</w:t>
      </w:r>
      <w:r w:rsidR="00D14864">
        <w:rPr>
          <w:rFonts w:ascii="Book Antiqua" w:hAnsi="Book Antiqua"/>
          <w:sz w:val="24"/>
          <w:szCs w:val="24"/>
          <w:lang w:val="es-ES_tradnl"/>
        </w:rPr>
        <w:t xml:space="preserve"> DE 202</w:t>
      </w:r>
      <w:r w:rsidR="00952098">
        <w:rPr>
          <w:rFonts w:ascii="Book Antiqua" w:hAnsi="Book Antiqua"/>
          <w:sz w:val="24"/>
          <w:szCs w:val="24"/>
          <w:lang w:val="es-ES_tradnl"/>
        </w:rPr>
        <w:t>5</w:t>
      </w:r>
    </w:p>
    <w:p w14:paraId="68D393A7" w14:textId="77777777" w:rsidR="00F952CA" w:rsidRPr="00EC7B12" w:rsidRDefault="00F952CA" w:rsidP="00EC7B12">
      <w:pPr>
        <w:suppressLineNumbers/>
        <w:spacing w:after="0" w:line="240" w:lineRule="auto"/>
        <w:contextualSpacing/>
        <w:jc w:val="center"/>
        <w:rPr>
          <w:rFonts w:ascii="Book Antiqua" w:hAnsi="Book Antiqua"/>
          <w:sz w:val="24"/>
          <w:szCs w:val="24"/>
          <w:lang w:val="es-ES_tradnl"/>
        </w:rPr>
      </w:pPr>
    </w:p>
    <w:p w14:paraId="17D46BC6" w14:textId="025FDA78" w:rsidR="00F952CA" w:rsidRPr="009A6D62" w:rsidRDefault="00F952CA" w:rsidP="00EC7B12">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EC7B12">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EC7B12" w:rsidRDefault="00F952CA" w:rsidP="00EC7B12">
      <w:pPr>
        <w:suppressLineNumbers/>
        <w:spacing w:after="0" w:line="240" w:lineRule="auto"/>
        <w:contextualSpacing/>
        <w:jc w:val="center"/>
        <w:rPr>
          <w:rFonts w:ascii="Book Antiqua" w:hAnsi="Book Antiqua"/>
          <w:sz w:val="24"/>
          <w:szCs w:val="24"/>
          <w:lang w:val="es-ES_tradnl"/>
        </w:rPr>
      </w:pPr>
    </w:p>
    <w:p w14:paraId="2569DF07" w14:textId="7B0F5F53" w:rsidR="00F952CA" w:rsidRDefault="00F952CA" w:rsidP="00EC7B12">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EC7B12">
        <w:rPr>
          <w:rFonts w:ascii="Book Antiqua" w:hAnsi="Book Antiqua"/>
          <w:sz w:val="24"/>
          <w:szCs w:val="24"/>
          <w:lang w:val="es-ES_tradnl"/>
        </w:rPr>
        <w:t>a</w:t>
      </w:r>
      <w:r w:rsidRPr="009A6D62">
        <w:rPr>
          <w:rFonts w:ascii="Book Antiqua" w:hAnsi="Book Antiqua"/>
          <w:sz w:val="24"/>
          <w:szCs w:val="24"/>
          <w:lang w:val="es-ES_tradnl"/>
        </w:rPr>
        <w:t xml:space="preserve"> a </w:t>
      </w:r>
      <w:r w:rsidR="00EC7B12">
        <w:rPr>
          <w:rFonts w:ascii="Book Antiqua" w:hAnsi="Book Antiqua"/>
          <w:sz w:val="24"/>
          <w:szCs w:val="24"/>
          <w:lang w:val="es-ES_tradnl"/>
        </w:rPr>
        <w:t>la Comisión de Asuntos Internos</w:t>
      </w:r>
    </w:p>
    <w:p w14:paraId="699DD347" w14:textId="77777777" w:rsidR="00F952CA" w:rsidRPr="009A6D62" w:rsidRDefault="00F952CA" w:rsidP="00EC7B12">
      <w:pPr>
        <w:suppressLineNumbers/>
        <w:spacing w:after="0" w:line="240" w:lineRule="auto"/>
        <w:contextualSpacing/>
        <w:jc w:val="center"/>
        <w:rPr>
          <w:rFonts w:ascii="Book Antiqua" w:hAnsi="Book Antiqua"/>
          <w:sz w:val="24"/>
          <w:szCs w:val="24"/>
          <w:lang w:val="es-ES_tradnl"/>
        </w:rPr>
      </w:pPr>
    </w:p>
    <w:p w14:paraId="66BF2C6C" w14:textId="1C3D42A4" w:rsidR="00F952CA" w:rsidRPr="00EC7B12" w:rsidRDefault="00E72EB5" w:rsidP="00EC7B12">
      <w:pPr>
        <w:suppressLineNumbers/>
        <w:spacing w:after="0" w:line="240" w:lineRule="auto"/>
        <w:contextualSpacing/>
        <w:jc w:val="center"/>
        <w:rPr>
          <w:rFonts w:ascii="Book Antiqua" w:hAnsi="Book Antiqua"/>
          <w:b/>
          <w:sz w:val="28"/>
          <w:szCs w:val="28"/>
          <w:lang w:val="es-ES_tradnl"/>
        </w:rPr>
      </w:pPr>
      <w:r w:rsidRPr="00EC7B12">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1815E101" w:rsidR="004F58BA" w:rsidRPr="00081008" w:rsidRDefault="009C437B" w:rsidP="00EC7B12">
      <w:pPr>
        <w:suppressLineNumbers/>
        <w:spacing w:after="0" w:line="240" w:lineRule="auto"/>
        <w:ind w:left="567" w:hanging="567"/>
        <w:contextualSpacing/>
        <w:jc w:val="both"/>
        <w:rPr>
          <w:rFonts w:ascii="Book Antiqua" w:hAnsi="Book Antiqua"/>
          <w:sz w:val="24"/>
          <w:szCs w:val="24"/>
          <w:lang w:val="es-ES_tradnl"/>
        </w:rPr>
      </w:pPr>
      <w:r w:rsidRPr="00334C56">
        <w:rPr>
          <w:rFonts w:ascii="Book Antiqua" w:hAnsi="Book Antiqua"/>
          <w:sz w:val="24"/>
          <w:szCs w:val="24"/>
          <w:lang w:val="es-ES_tradnl"/>
        </w:rPr>
        <w:t xml:space="preserve">Para ordenar </w:t>
      </w:r>
      <w:r w:rsidRPr="00EB4368">
        <w:rPr>
          <w:rFonts w:ascii="Book Antiqua" w:hAnsi="Book Antiqua"/>
          <w:sz w:val="24"/>
          <w:szCs w:val="24"/>
          <w:lang w:val="es-ES_tradnl"/>
        </w:rPr>
        <w:t xml:space="preserve">a la </w:t>
      </w:r>
      <w:r w:rsidR="00CD24CF" w:rsidRPr="00EB4368">
        <w:rPr>
          <w:rFonts w:ascii="Book Antiqua" w:hAnsi="Book Antiqua"/>
          <w:sz w:val="24"/>
          <w:szCs w:val="24"/>
          <w:lang w:val="es-ES_tradnl"/>
        </w:rPr>
        <w:t>C</w:t>
      </w:r>
      <w:r w:rsidR="00E37872" w:rsidRPr="00EB4368">
        <w:rPr>
          <w:rFonts w:ascii="Book Antiqua" w:hAnsi="Book Antiqua"/>
          <w:sz w:val="24"/>
          <w:szCs w:val="24"/>
          <w:lang w:val="es-ES_tradnl"/>
        </w:rPr>
        <w:t>omisi</w:t>
      </w:r>
      <w:r w:rsidR="00CD24CF" w:rsidRPr="00EB4368">
        <w:rPr>
          <w:rFonts w:ascii="Book Antiqua" w:hAnsi="Book Antiqua"/>
          <w:sz w:val="24"/>
          <w:szCs w:val="24"/>
          <w:lang w:val="es-ES_tradnl"/>
        </w:rPr>
        <w:t>ó</w:t>
      </w:r>
      <w:r w:rsidR="00E37872" w:rsidRPr="00EB4368">
        <w:rPr>
          <w:rFonts w:ascii="Book Antiqua" w:hAnsi="Book Antiqua"/>
          <w:sz w:val="24"/>
          <w:szCs w:val="24"/>
          <w:lang w:val="es-ES_tradnl"/>
        </w:rPr>
        <w:t xml:space="preserve">n </w:t>
      </w:r>
      <w:r w:rsidR="009C76C0">
        <w:rPr>
          <w:rFonts w:ascii="Book Antiqua" w:hAnsi="Book Antiqua"/>
          <w:sz w:val="24"/>
          <w:szCs w:val="24"/>
          <w:lang w:val="es-ES_tradnl"/>
        </w:rPr>
        <w:t xml:space="preserve">del Trabajo y Asuntos Laborales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w:t>
      </w:r>
      <w:r w:rsidR="00081008">
        <w:rPr>
          <w:rFonts w:ascii="Book Antiqua" w:hAnsi="Book Antiqua"/>
          <w:sz w:val="24"/>
          <w:szCs w:val="24"/>
          <w:lang w:val="es-ES_tradnl"/>
        </w:rPr>
        <w:t xml:space="preserve"> investigación </w:t>
      </w:r>
      <w:r w:rsidR="00302FAE">
        <w:rPr>
          <w:rFonts w:ascii="Book Antiqua" w:hAnsi="Book Antiqua"/>
          <w:sz w:val="24"/>
          <w:szCs w:val="24"/>
          <w:lang w:val="es-ES_tradnl"/>
        </w:rPr>
        <w:t>abarcadora</w:t>
      </w:r>
      <w:r w:rsidR="00081008">
        <w:rPr>
          <w:rFonts w:ascii="Book Antiqua" w:hAnsi="Book Antiqua"/>
          <w:sz w:val="24"/>
          <w:szCs w:val="24"/>
          <w:lang w:val="es-ES_tradnl"/>
        </w:rPr>
        <w:t xml:space="preserve"> </w:t>
      </w:r>
      <w:r w:rsidR="009674B6">
        <w:rPr>
          <w:rFonts w:ascii="Book Antiqua" w:hAnsi="Book Antiqua"/>
          <w:sz w:val="24"/>
          <w:szCs w:val="24"/>
          <w:lang w:val="es-ES_tradnl"/>
        </w:rPr>
        <w:t xml:space="preserve">sobre la implantación </w:t>
      </w:r>
      <w:r w:rsidR="00302FAE">
        <w:rPr>
          <w:rFonts w:ascii="Book Antiqua" w:hAnsi="Book Antiqua"/>
          <w:sz w:val="24"/>
          <w:szCs w:val="24"/>
          <w:lang w:val="es-ES_tradnl"/>
        </w:rPr>
        <w:t xml:space="preserve">y el cumplimiento con las disposiciones de la Ley 16-2017, conocida como </w:t>
      </w:r>
      <w:r w:rsidR="00302FAE">
        <w:rPr>
          <w:rFonts w:ascii="Book Antiqua" w:hAnsi="Book Antiqua"/>
          <w:sz w:val="24"/>
          <w:szCs w:val="24"/>
          <w:lang w:val="es-ES"/>
        </w:rPr>
        <w:t>“Ley de Igualdad Salarial de Puerto Rico”</w:t>
      </w:r>
      <w:r w:rsidR="009674B6">
        <w:rPr>
          <w:rFonts w:ascii="Book Antiqua" w:hAnsi="Book Antiqua"/>
          <w:sz w:val="24"/>
          <w:szCs w:val="24"/>
          <w:lang w:val="es-ES_tradnl"/>
        </w:rPr>
        <w:t xml:space="preserve">; </w:t>
      </w:r>
      <w:r w:rsidR="00C6085F">
        <w:rPr>
          <w:rFonts w:ascii="Book Antiqua" w:hAnsi="Book Antiqua"/>
          <w:sz w:val="24"/>
          <w:szCs w:val="24"/>
          <w:lang w:val="es-ES_tradnl"/>
        </w:rPr>
        <w:t xml:space="preserve">para que ofrezca sus recomendaciones; </w:t>
      </w:r>
      <w:r w:rsidR="006537FB">
        <w:rPr>
          <w:rFonts w:ascii="Book Antiqua" w:hAnsi="Book Antiqua"/>
          <w:sz w:val="24"/>
          <w:szCs w:val="24"/>
          <w:lang w:val="es-ES_tradnl"/>
        </w:rPr>
        <w:t>y para otros</w:t>
      </w:r>
      <w:r w:rsidR="00501444" w:rsidRPr="00334C56">
        <w:rPr>
          <w:rFonts w:ascii="Book Antiqua" w:hAnsi="Book Antiqua"/>
          <w:sz w:val="24"/>
          <w:szCs w:val="24"/>
          <w:lang w:val="es-ES_tradnl"/>
        </w:rPr>
        <w:t xml:space="preserve">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EC7B12">
      <w:pPr>
        <w:suppressLineNumbers/>
        <w:spacing w:after="0" w:line="240" w:lineRule="auto"/>
        <w:ind w:firstLine="360"/>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0DBE93FE" w14:textId="031A60C8" w:rsidR="00642F2B" w:rsidRDefault="00642F2B"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r>
        <w:rPr>
          <w:rFonts w:ascii="Book Antiqua" w:hAnsi="Book Antiqua"/>
          <w:sz w:val="24"/>
          <w:szCs w:val="24"/>
          <w:lang w:val="es-ES"/>
        </w:rPr>
        <w:t>La Ley 16-2017, conocida como “Ley de Igualdad Salarial de Puerto Rico”, pretendía establece</w:t>
      </w:r>
      <w:r w:rsidR="00C6085F">
        <w:rPr>
          <w:rFonts w:ascii="Book Antiqua" w:hAnsi="Book Antiqua"/>
          <w:sz w:val="24"/>
          <w:szCs w:val="24"/>
          <w:lang w:val="es-ES"/>
        </w:rPr>
        <w:t>r</w:t>
      </w:r>
      <w:r>
        <w:rPr>
          <w:rFonts w:ascii="Book Antiqua" w:hAnsi="Book Antiqua"/>
          <w:sz w:val="24"/>
          <w:szCs w:val="24"/>
          <w:lang w:val="es-ES"/>
        </w:rPr>
        <w:t xml:space="preserve"> una “</w:t>
      </w:r>
      <w:r w:rsidRPr="00642F2B">
        <w:rPr>
          <w:rFonts w:ascii="Book Antiqua" w:hAnsi="Book Antiqua"/>
          <w:sz w:val="24"/>
          <w:szCs w:val="24"/>
          <w:lang w:val="es-ES"/>
        </w:rPr>
        <w:t>política pública enérgica y vigorosa de igual paga por igual trabajo para erradicar el discriminen salarial existente entre empleados del sector público y privado por razón de sexo</w:t>
      </w:r>
      <w:r>
        <w:rPr>
          <w:rFonts w:ascii="Book Antiqua" w:hAnsi="Book Antiqua"/>
          <w:sz w:val="24"/>
          <w:szCs w:val="24"/>
          <w:lang w:val="es-ES"/>
        </w:rPr>
        <w:t>”.  A esos efectos rezaba la Exposición de Motivos:</w:t>
      </w:r>
    </w:p>
    <w:p w14:paraId="30F10B32" w14:textId="77777777" w:rsidR="00642F2B" w:rsidRDefault="00642F2B"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p>
    <w:p w14:paraId="22F6E5DD" w14:textId="728137FE" w:rsidR="00642F2B" w:rsidRDefault="00642F2B" w:rsidP="00EC7B12">
      <w:pPr>
        <w:suppressLineNumbers/>
        <w:shd w:val="clear" w:color="auto" w:fill="FFFFFF"/>
        <w:spacing w:before="100" w:beforeAutospacing="1" w:after="360" w:line="240" w:lineRule="auto"/>
        <w:ind w:left="567" w:firstLine="567"/>
        <w:contextualSpacing/>
        <w:jc w:val="both"/>
        <w:rPr>
          <w:rFonts w:ascii="Book Antiqua" w:hAnsi="Book Antiqua"/>
          <w:sz w:val="24"/>
          <w:szCs w:val="24"/>
          <w:lang w:val="es-ES"/>
        </w:rPr>
      </w:pPr>
      <w:r>
        <w:rPr>
          <w:rFonts w:ascii="Book Antiqua" w:hAnsi="Book Antiqua"/>
          <w:sz w:val="24"/>
          <w:szCs w:val="24"/>
          <w:lang w:val="es-ES"/>
        </w:rPr>
        <w:t>“</w:t>
      </w:r>
      <w:r w:rsidRPr="00642F2B">
        <w:rPr>
          <w:rFonts w:ascii="Book Antiqua" w:hAnsi="Book Antiqua"/>
          <w:sz w:val="24"/>
          <w:szCs w:val="24"/>
          <w:lang w:val="es-ES"/>
        </w:rPr>
        <w:t xml:space="preserve">Los históricos salarios bajos de las mujeres no pueden seguir siendo un ancla que las mantiene cobrando por debajo de los hombres.  Tenemos que equiparar las oportunidades y nivelar las condiciones.  Hay que acabar con las costumbres y prácticas, </w:t>
      </w:r>
      <w:proofErr w:type="gramStart"/>
      <w:r w:rsidRPr="00642F2B">
        <w:rPr>
          <w:rFonts w:ascii="Book Antiqua" w:hAnsi="Book Antiqua"/>
          <w:sz w:val="24"/>
          <w:szCs w:val="24"/>
          <w:lang w:val="es-ES"/>
        </w:rPr>
        <w:t>que</w:t>
      </w:r>
      <w:proofErr w:type="gramEnd"/>
      <w:r w:rsidRPr="00642F2B">
        <w:rPr>
          <w:rFonts w:ascii="Book Antiqua" w:hAnsi="Book Antiqua"/>
          <w:sz w:val="24"/>
          <w:szCs w:val="24"/>
          <w:lang w:val="es-ES"/>
        </w:rPr>
        <w:t xml:space="preserve"> aunque parezcan inocuas a primera vista, perpetúan la desigualdad y la inequidad.  Es por ello </w:t>
      </w:r>
      <w:proofErr w:type="gramStart"/>
      <w:r w:rsidRPr="00642F2B">
        <w:rPr>
          <w:rFonts w:ascii="Book Antiqua" w:hAnsi="Book Antiqua"/>
          <w:sz w:val="24"/>
          <w:szCs w:val="24"/>
          <w:lang w:val="es-ES"/>
        </w:rPr>
        <w:t>que</w:t>
      </w:r>
      <w:proofErr w:type="gramEnd"/>
      <w:r w:rsidRPr="00642F2B">
        <w:rPr>
          <w:rFonts w:ascii="Book Antiqua" w:hAnsi="Book Antiqua"/>
          <w:sz w:val="24"/>
          <w:szCs w:val="24"/>
          <w:lang w:val="es-ES"/>
        </w:rPr>
        <w:t xml:space="preserve"> con esta Ley prohibimos a los patronos a preguntar o indagar sobre los salarios de los solicitantes antes de ofrecerles un trabajo.  Al impedir que </w:t>
      </w:r>
      <w:r w:rsidR="00302FAE" w:rsidRPr="00642F2B">
        <w:rPr>
          <w:rFonts w:ascii="Book Antiqua" w:hAnsi="Book Antiqua"/>
          <w:sz w:val="24"/>
          <w:szCs w:val="24"/>
          <w:lang w:val="es-ES"/>
        </w:rPr>
        <w:t>las compañías pregunten</w:t>
      </w:r>
      <w:r w:rsidRPr="00642F2B">
        <w:rPr>
          <w:rFonts w:ascii="Book Antiqua" w:hAnsi="Book Antiqua"/>
          <w:sz w:val="24"/>
          <w:szCs w:val="24"/>
          <w:lang w:val="es-ES"/>
        </w:rPr>
        <w:t xml:space="preserve"> a aspirantes cuánto ganaron en sus empleos anteriores, aseguramos que los salarios históricamente más bajos asignados a las mujeres no las sigan por el resto de sus vidas profesionales.</w:t>
      </w:r>
      <w:r>
        <w:rPr>
          <w:rFonts w:ascii="Book Antiqua" w:hAnsi="Book Antiqua"/>
          <w:sz w:val="24"/>
          <w:szCs w:val="24"/>
          <w:lang w:val="es-ES"/>
        </w:rPr>
        <w:t xml:space="preserve">” </w:t>
      </w:r>
    </w:p>
    <w:p w14:paraId="0EDE87A8" w14:textId="77777777" w:rsidR="00642F2B" w:rsidRDefault="00642F2B"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2E3BABC6" w14:textId="16DF6CBB" w:rsidR="00642F2B" w:rsidRPr="0014676B" w:rsidRDefault="00642F2B"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rPr>
      </w:pPr>
      <w:r>
        <w:rPr>
          <w:rFonts w:ascii="Book Antiqua" w:hAnsi="Book Antiqua"/>
          <w:sz w:val="24"/>
          <w:szCs w:val="24"/>
          <w:lang w:val="es-ES"/>
        </w:rPr>
        <w:lastRenderedPageBreak/>
        <w:t xml:space="preserve">Sin embargo, </w:t>
      </w:r>
      <w:r w:rsidR="00846A0E">
        <w:rPr>
          <w:rFonts w:ascii="Book Antiqua" w:hAnsi="Book Antiqua"/>
          <w:sz w:val="24"/>
          <w:szCs w:val="24"/>
          <w:lang w:val="es-ES"/>
        </w:rPr>
        <w:t xml:space="preserve">según los más recientes datos de Departamento del Trabajo y Recursos Humanos (DTRH), </w:t>
      </w:r>
      <w:r w:rsidR="00B4198D">
        <w:rPr>
          <w:rFonts w:ascii="Book Antiqua" w:hAnsi="Book Antiqua"/>
          <w:sz w:val="24"/>
          <w:szCs w:val="24"/>
          <w:lang w:val="es-ES"/>
        </w:rPr>
        <w:t>persiste</w:t>
      </w:r>
      <w:r w:rsidR="00846A0E">
        <w:rPr>
          <w:rFonts w:ascii="Book Antiqua" w:hAnsi="Book Antiqua"/>
          <w:sz w:val="24"/>
          <w:szCs w:val="24"/>
          <w:lang w:val="es-ES"/>
        </w:rPr>
        <w:t xml:space="preserve"> una brecha de diecisiete porcientos (17%) entre lo que gana una mujer en comparación con un hombre.  En el año 2024, la organización </w:t>
      </w:r>
      <w:proofErr w:type="spellStart"/>
      <w:r w:rsidR="00846A0E" w:rsidRPr="00846A0E">
        <w:rPr>
          <w:rFonts w:ascii="Book Antiqua" w:hAnsi="Book Antiqua"/>
          <w:i/>
          <w:iCs/>
          <w:sz w:val="24"/>
          <w:szCs w:val="24"/>
          <w:lang w:val="es-ES"/>
        </w:rPr>
        <w:t>Women</w:t>
      </w:r>
      <w:proofErr w:type="spellEnd"/>
      <w:r w:rsidR="00846A0E" w:rsidRPr="00846A0E">
        <w:rPr>
          <w:rFonts w:ascii="Book Antiqua" w:hAnsi="Book Antiqua"/>
          <w:i/>
          <w:iCs/>
          <w:sz w:val="24"/>
          <w:szCs w:val="24"/>
          <w:lang w:val="es-ES"/>
        </w:rPr>
        <w:t xml:space="preserve"> Who Lead</w:t>
      </w:r>
      <w:r w:rsidR="00846A0E">
        <w:rPr>
          <w:rFonts w:ascii="Book Antiqua" w:hAnsi="Book Antiqua"/>
          <w:sz w:val="24"/>
          <w:szCs w:val="24"/>
          <w:lang w:val="es-ES"/>
        </w:rPr>
        <w:t>, preparó un informe para el DTRH sobre la igualdad salarial</w:t>
      </w:r>
      <w:r w:rsidR="002436DB">
        <w:rPr>
          <w:rFonts w:ascii="Book Antiqua" w:hAnsi="Book Antiqua"/>
          <w:sz w:val="24"/>
          <w:szCs w:val="24"/>
          <w:lang w:val="es-ES"/>
        </w:rPr>
        <w:t xml:space="preserve"> (</w:t>
      </w:r>
      <w:r w:rsidR="002436DB" w:rsidRPr="002436DB">
        <w:rPr>
          <w:rFonts w:ascii="Book Antiqua" w:hAnsi="Book Antiqua"/>
          <w:i/>
          <w:iCs/>
          <w:sz w:val="24"/>
          <w:szCs w:val="24"/>
          <w:lang w:val="es-ES"/>
        </w:rPr>
        <w:t xml:space="preserve">2024 </w:t>
      </w:r>
      <w:proofErr w:type="spellStart"/>
      <w:r w:rsidR="002436DB" w:rsidRPr="002436DB">
        <w:rPr>
          <w:rFonts w:ascii="Book Antiqua" w:hAnsi="Book Antiqua"/>
          <w:i/>
          <w:iCs/>
          <w:sz w:val="24"/>
          <w:szCs w:val="24"/>
          <w:lang w:val="es-ES"/>
        </w:rPr>
        <w:t>Equal</w:t>
      </w:r>
      <w:proofErr w:type="spellEnd"/>
      <w:r w:rsidR="002436DB" w:rsidRPr="002436DB">
        <w:rPr>
          <w:rFonts w:ascii="Book Antiqua" w:hAnsi="Book Antiqua"/>
          <w:i/>
          <w:iCs/>
          <w:sz w:val="24"/>
          <w:szCs w:val="24"/>
          <w:lang w:val="es-ES"/>
        </w:rPr>
        <w:t xml:space="preserve"> </w:t>
      </w:r>
      <w:proofErr w:type="spellStart"/>
      <w:r w:rsidR="002436DB" w:rsidRPr="002436DB">
        <w:rPr>
          <w:rFonts w:ascii="Book Antiqua" w:hAnsi="Book Antiqua"/>
          <w:i/>
          <w:iCs/>
          <w:sz w:val="24"/>
          <w:szCs w:val="24"/>
          <w:lang w:val="es-ES"/>
        </w:rPr>
        <w:t>Pay</w:t>
      </w:r>
      <w:proofErr w:type="spellEnd"/>
      <w:r w:rsidR="002436DB" w:rsidRPr="002436DB">
        <w:rPr>
          <w:rFonts w:ascii="Book Antiqua" w:hAnsi="Book Antiqua"/>
          <w:i/>
          <w:iCs/>
          <w:sz w:val="24"/>
          <w:szCs w:val="24"/>
          <w:lang w:val="es-ES"/>
        </w:rPr>
        <w:t xml:space="preserve"> </w:t>
      </w:r>
      <w:proofErr w:type="spellStart"/>
      <w:r w:rsidR="002436DB" w:rsidRPr="002436DB">
        <w:rPr>
          <w:rFonts w:ascii="Book Antiqua" w:hAnsi="Book Antiqua"/>
          <w:i/>
          <w:iCs/>
          <w:sz w:val="24"/>
          <w:szCs w:val="24"/>
          <w:lang w:val="es-ES"/>
        </w:rPr>
        <w:t>Report</w:t>
      </w:r>
      <w:proofErr w:type="spellEnd"/>
      <w:r w:rsidR="002436DB">
        <w:rPr>
          <w:rFonts w:ascii="Book Antiqua" w:hAnsi="Book Antiqua"/>
          <w:sz w:val="24"/>
          <w:szCs w:val="24"/>
          <w:lang w:val="es-ES"/>
        </w:rPr>
        <w:t>)</w:t>
      </w:r>
      <w:r w:rsidR="003B031F">
        <w:rPr>
          <w:rStyle w:val="Refdenotaalpie"/>
          <w:rFonts w:ascii="Book Antiqua" w:hAnsi="Book Antiqua"/>
          <w:sz w:val="24"/>
          <w:szCs w:val="24"/>
          <w:lang w:val="es-ES"/>
        </w:rPr>
        <w:footnoteReference w:id="1"/>
      </w:r>
      <w:r w:rsidR="00846A0E">
        <w:rPr>
          <w:rFonts w:ascii="Book Antiqua" w:hAnsi="Book Antiqua"/>
          <w:sz w:val="24"/>
          <w:szCs w:val="24"/>
          <w:lang w:val="es-ES"/>
        </w:rPr>
        <w:t xml:space="preserve">.  </w:t>
      </w:r>
      <w:r w:rsidR="00846A0E" w:rsidRPr="0014676B">
        <w:rPr>
          <w:rFonts w:ascii="Book Antiqua" w:hAnsi="Book Antiqua"/>
          <w:sz w:val="24"/>
          <w:szCs w:val="24"/>
        </w:rPr>
        <w:t xml:space="preserve">En </w:t>
      </w:r>
      <w:proofErr w:type="spellStart"/>
      <w:r w:rsidR="00846A0E" w:rsidRPr="0014676B">
        <w:rPr>
          <w:rFonts w:ascii="Book Antiqua" w:hAnsi="Book Antiqua"/>
          <w:sz w:val="24"/>
          <w:szCs w:val="24"/>
        </w:rPr>
        <w:t>el</w:t>
      </w:r>
      <w:proofErr w:type="spellEnd"/>
      <w:r w:rsidR="00846A0E" w:rsidRPr="0014676B">
        <w:rPr>
          <w:rFonts w:ascii="Book Antiqua" w:hAnsi="Book Antiqua"/>
          <w:sz w:val="24"/>
          <w:szCs w:val="24"/>
        </w:rPr>
        <w:t xml:space="preserve"> </w:t>
      </w:r>
      <w:proofErr w:type="spellStart"/>
      <w:r w:rsidR="00846A0E" w:rsidRPr="0014676B">
        <w:rPr>
          <w:rFonts w:ascii="Book Antiqua" w:hAnsi="Book Antiqua"/>
          <w:sz w:val="24"/>
          <w:szCs w:val="24"/>
        </w:rPr>
        <w:t>mismo</w:t>
      </w:r>
      <w:proofErr w:type="spellEnd"/>
      <w:r w:rsidR="00846A0E" w:rsidRPr="0014676B">
        <w:rPr>
          <w:rFonts w:ascii="Book Antiqua" w:hAnsi="Book Antiqua"/>
          <w:sz w:val="24"/>
          <w:szCs w:val="24"/>
        </w:rPr>
        <w:t xml:space="preserve"> se indica:</w:t>
      </w:r>
    </w:p>
    <w:p w14:paraId="16BA3F8C" w14:textId="77777777" w:rsidR="00846A0E" w:rsidRPr="0014676B" w:rsidRDefault="00846A0E"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rPr>
      </w:pPr>
    </w:p>
    <w:p w14:paraId="725DEF3E" w14:textId="4B42119C" w:rsidR="00A921EA" w:rsidRPr="00A921EA" w:rsidRDefault="00846A0E" w:rsidP="00EC7B12">
      <w:pPr>
        <w:suppressLineNumbers/>
        <w:shd w:val="clear" w:color="auto" w:fill="FFFFFF"/>
        <w:spacing w:before="100" w:beforeAutospacing="1" w:after="360" w:line="240" w:lineRule="auto"/>
        <w:ind w:left="567" w:firstLine="567"/>
        <w:contextualSpacing/>
        <w:jc w:val="both"/>
        <w:rPr>
          <w:rFonts w:ascii="Book Antiqua" w:hAnsi="Book Antiqua"/>
          <w:i/>
          <w:iCs/>
          <w:sz w:val="24"/>
          <w:szCs w:val="24"/>
        </w:rPr>
      </w:pPr>
      <w:r w:rsidRPr="00846A0E">
        <w:rPr>
          <w:rFonts w:ascii="Book Antiqua" w:hAnsi="Book Antiqua"/>
          <w:sz w:val="24"/>
          <w:szCs w:val="24"/>
        </w:rPr>
        <w:t>“</w:t>
      </w:r>
      <w:r w:rsidR="00A921EA" w:rsidRPr="00A921EA">
        <w:rPr>
          <w:rFonts w:ascii="Book Antiqua" w:hAnsi="Book Antiqua"/>
          <w:i/>
          <w:iCs/>
          <w:sz w:val="24"/>
          <w:szCs w:val="24"/>
        </w:rPr>
        <w:t xml:space="preserve">61 years since the Equal Pay Act of 1963 and seven years after the enactment of Puerto Rico's Equal Pay Act, the gender </w:t>
      </w:r>
      <w:proofErr w:type="gramStart"/>
      <w:r w:rsidR="00A921EA" w:rsidRPr="00A921EA">
        <w:rPr>
          <w:rFonts w:ascii="Book Antiqua" w:hAnsi="Book Antiqua"/>
          <w:i/>
          <w:iCs/>
          <w:sz w:val="24"/>
          <w:szCs w:val="24"/>
        </w:rPr>
        <w:t>pay</w:t>
      </w:r>
      <w:proofErr w:type="gramEnd"/>
      <w:r w:rsidR="00A921EA" w:rsidRPr="00A921EA">
        <w:rPr>
          <w:rFonts w:ascii="Book Antiqua" w:hAnsi="Book Antiqua"/>
          <w:i/>
          <w:iCs/>
          <w:sz w:val="24"/>
          <w:szCs w:val="24"/>
        </w:rPr>
        <w:t xml:space="preserve"> gap remains a significant issue. Women in Puerto Rico continue to earn less on average than men for equivalent work, a disparity driven by both direct discrimination and deep-rooted structural inequalities. These include occupational segregation, differences in work experience, and the persistent undervaluation of work typically performed by women</w:t>
      </w:r>
      <w:r w:rsidR="00A921EA">
        <w:rPr>
          <w:rFonts w:ascii="Book Antiqua" w:hAnsi="Book Antiqua"/>
          <w:i/>
          <w:iCs/>
          <w:sz w:val="24"/>
          <w:szCs w:val="24"/>
        </w:rPr>
        <w:t>.</w:t>
      </w:r>
    </w:p>
    <w:p w14:paraId="332FE256" w14:textId="3A1F140E" w:rsidR="00A921EA" w:rsidRDefault="00A921EA" w:rsidP="00EC7B12">
      <w:pPr>
        <w:suppressLineNumbers/>
        <w:shd w:val="clear" w:color="auto" w:fill="FFFFFF"/>
        <w:spacing w:before="100" w:beforeAutospacing="1" w:after="360" w:line="240" w:lineRule="auto"/>
        <w:ind w:left="567" w:firstLine="567"/>
        <w:contextualSpacing/>
        <w:jc w:val="both"/>
        <w:rPr>
          <w:rFonts w:ascii="Book Antiqua" w:hAnsi="Book Antiqua"/>
          <w:i/>
          <w:iCs/>
          <w:sz w:val="24"/>
          <w:szCs w:val="24"/>
        </w:rPr>
      </w:pPr>
      <w:r>
        <w:rPr>
          <w:rFonts w:ascii="Book Antiqua" w:hAnsi="Book Antiqua"/>
          <w:i/>
          <w:iCs/>
          <w:sz w:val="24"/>
          <w:szCs w:val="24"/>
        </w:rPr>
        <w:t>…</w:t>
      </w:r>
    </w:p>
    <w:p w14:paraId="6631E8AA" w14:textId="77777777" w:rsidR="00A921EA" w:rsidRPr="00A921EA" w:rsidRDefault="00A921EA" w:rsidP="00EC7B12">
      <w:pPr>
        <w:suppressLineNumbers/>
        <w:shd w:val="clear" w:color="auto" w:fill="FFFFFF"/>
        <w:spacing w:before="100" w:beforeAutospacing="1" w:after="360" w:line="240" w:lineRule="auto"/>
        <w:ind w:left="567" w:firstLine="567"/>
        <w:contextualSpacing/>
        <w:jc w:val="both"/>
        <w:rPr>
          <w:rFonts w:ascii="Book Antiqua" w:hAnsi="Book Antiqua"/>
          <w:i/>
          <w:iCs/>
          <w:sz w:val="24"/>
          <w:szCs w:val="24"/>
        </w:rPr>
      </w:pPr>
    </w:p>
    <w:p w14:paraId="4FD442D2" w14:textId="18B00155" w:rsidR="00846A0E" w:rsidRPr="00A921EA" w:rsidRDefault="00846A0E" w:rsidP="00EC7B12">
      <w:pPr>
        <w:suppressLineNumbers/>
        <w:shd w:val="clear" w:color="auto" w:fill="FFFFFF"/>
        <w:spacing w:before="100" w:beforeAutospacing="1" w:after="360" w:line="240" w:lineRule="auto"/>
        <w:ind w:left="567" w:firstLine="567"/>
        <w:contextualSpacing/>
        <w:jc w:val="both"/>
        <w:rPr>
          <w:rFonts w:ascii="Book Antiqua" w:hAnsi="Book Antiqua"/>
          <w:sz w:val="24"/>
          <w:szCs w:val="24"/>
        </w:rPr>
      </w:pPr>
      <w:r w:rsidRPr="00677709">
        <w:rPr>
          <w:rFonts w:ascii="Book Antiqua" w:hAnsi="Book Antiqua"/>
          <w:i/>
          <w:iCs/>
          <w:sz w:val="24"/>
          <w:szCs w:val="24"/>
        </w:rPr>
        <w:t>The absence of salary transparency requirement</w:t>
      </w:r>
      <w:r w:rsidR="00677709">
        <w:rPr>
          <w:rFonts w:ascii="Book Antiqua" w:hAnsi="Book Antiqua"/>
          <w:i/>
          <w:iCs/>
          <w:sz w:val="24"/>
          <w:szCs w:val="24"/>
        </w:rPr>
        <w:t xml:space="preserve">s in Puerto Rico represents a significant gap in the island’s efforts to close the gender pay gap.  Without mandated disclosures, pay </w:t>
      </w:r>
      <w:r w:rsidR="00A921EA">
        <w:rPr>
          <w:rFonts w:ascii="Book Antiqua" w:hAnsi="Book Antiqua"/>
          <w:i/>
          <w:iCs/>
          <w:sz w:val="24"/>
          <w:szCs w:val="24"/>
        </w:rPr>
        <w:t>discrepancies remain hidden, perpetuating inequities and limiting the ability of employees, particularly women, to negotiate effectively.</w:t>
      </w:r>
      <w:r w:rsidR="00A921EA">
        <w:rPr>
          <w:rFonts w:ascii="Book Antiqua" w:hAnsi="Book Antiqua"/>
          <w:sz w:val="24"/>
          <w:szCs w:val="24"/>
        </w:rPr>
        <w:t>”</w:t>
      </w:r>
    </w:p>
    <w:p w14:paraId="20E5D622" w14:textId="77777777" w:rsidR="00642F2B" w:rsidRPr="002436DB" w:rsidRDefault="00642F2B"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rPr>
      </w:pPr>
    </w:p>
    <w:p w14:paraId="501C0B6E" w14:textId="62B1D127" w:rsidR="002436DB" w:rsidRPr="0014676B" w:rsidRDefault="002436DB" w:rsidP="00EC7B12">
      <w:pPr>
        <w:suppressLineNumbers/>
        <w:shd w:val="clear" w:color="auto" w:fill="FFFFFF"/>
        <w:spacing w:before="100" w:beforeAutospacing="1" w:after="360" w:line="240" w:lineRule="auto"/>
        <w:ind w:firstLine="567"/>
        <w:contextualSpacing/>
        <w:jc w:val="both"/>
        <w:rPr>
          <w:rFonts w:ascii="Book Antiqua" w:hAnsi="Book Antiqua" w:cs="Times New Roman"/>
          <w:sz w:val="24"/>
          <w:szCs w:val="24"/>
        </w:rPr>
      </w:pPr>
      <w:r w:rsidRPr="002436DB">
        <w:rPr>
          <w:rFonts w:ascii="Book Antiqua" w:hAnsi="Book Antiqua"/>
          <w:sz w:val="24"/>
          <w:szCs w:val="24"/>
          <w:lang w:val="es-ES"/>
        </w:rPr>
        <w:t xml:space="preserve">Por su parte, </w:t>
      </w:r>
      <w:proofErr w:type="spellStart"/>
      <w:r w:rsidRPr="002436DB">
        <w:rPr>
          <w:rFonts w:ascii="Book Antiqua" w:hAnsi="Book Antiqua"/>
          <w:sz w:val="24"/>
          <w:szCs w:val="24"/>
          <w:lang w:val="es-ES"/>
        </w:rPr>
        <w:t>Abexus</w:t>
      </w:r>
      <w:proofErr w:type="spellEnd"/>
      <w:r w:rsidRPr="002436DB">
        <w:rPr>
          <w:rFonts w:ascii="Book Antiqua" w:hAnsi="Book Antiqua"/>
          <w:sz w:val="24"/>
          <w:szCs w:val="24"/>
          <w:lang w:val="es-ES"/>
        </w:rPr>
        <w:t xml:space="preserve"> </w:t>
      </w:r>
      <w:proofErr w:type="spellStart"/>
      <w:r w:rsidRPr="002436DB">
        <w:rPr>
          <w:rFonts w:ascii="Book Antiqua" w:hAnsi="Book Antiqua"/>
          <w:sz w:val="24"/>
          <w:szCs w:val="24"/>
          <w:lang w:val="es-ES"/>
        </w:rPr>
        <w:t>Analytics</w:t>
      </w:r>
      <w:proofErr w:type="spellEnd"/>
      <w:r w:rsidRPr="002436DB">
        <w:rPr>
          <w:rFonts w:ascii="Book Antiqua" w:hAnsi="Book Antiqua"/>
          <w:sz w:val="24"/>
          <w:szCs w:val="24"/>
          <w:lang w:val="es-ES"/>
        </w:rPr>
        <w:t xml:space="preserve"> realiz</w:t>
      </w:r>
      <w:r w:rsidRPr="002436DB">
        <w:rPr>
          <w:rFonts w:ascii="Book Antiqua" w:hAnsi="Book Antiqua" w:cs="Times New Roman"/>
          <w:sz w:val="24"/>
          <w:szCs w:val="24"/>
          <w:lang w:val="es-ES"/>
        </w:rPr>
        <w:t xml:space="preserve">ó otro informe para el DTRH </w:t>
      </w:r>
      <w:r w:rsidRPr="002436DB">
        <w:rPr>
          <w:rFonts w:ascii="Book Antiqua" w:hAnsi="Book Antiqua" w:cs="Times New Roman"/>
          <w:i/>
          <w:iCs/>
          <w:sz w:val="24"/>
          <w:szCs w:val="24"/>
          <w:lang w:val="es-ES"/>
        </w:rPr>
        <w:t xml:space="preserve">titulado </w:t>
      </w:r>
      <w:proofErr w:type="spellStart"/>
      <w:r w:rsidRPr="002436DB">
        <w:rPr>
          <w:rFonts w:ascii="Book Antiqua" w:hAnsi="Book Antiqua" w:cs="Times New Roman"/>
          <w:i/>
          <w:iCs/>
          <w:sz w:val="24"/>
          <w:szCs w:val="24"/>
          <w:lang w:val="es-ES"/>
        </w:rPr>
        <w:t>Measuring</w:t>
      </w:r>
      <w:proofErr w:type="spellEnd"/>
      <w:r w:rsidRPr="002436DB">
        <w:rPr>
          <w:rFonts w:ascii="Book Antiqua" w:hAnsi="Book Antiqua" w:cs="Times New Roman"/>
          <w:i/>
          <w:iCs/>
          <w:sz w:val="24"/>
          <w:szCs w:val="24"/>
          <w:lang w:val="es-ES"/>
        </w:rPr>
        <w:t xml:space="preserve"> </w:t>
      </w:r>
      <w:proofErr w:type="spellStart"/>
      <w:r w:rsidRPr="002436DB">
        <w:rPr>
          <w:rFonts w:ascii="Book Antiqua" w:hAnsi="Book Antiqua" w:cs="Times New Roman"/>
          <w:i/>
          <w:iCs/>
          <w:sz w:val="24"/>
          <w:szCs w:val="24"/>
          <w:lang w:val="es-ES"/>
        </w:rPr>
        <w:t>the</w:t>
      </w:r>
      <w:proofErr w:type="spellEnd"/>
      <w:r w:rsidRPr="002436DB">
        <w:rPr>
          <w:rFonts w:ascii="Book Antiqua" w:hAnsi="Book Antiqua" w:cs="Times New Roman"/>
          <w:i/>
          <w:iCs/>
          <w:sz w:val="24"/>
          <w:szCs w:val="24"/>
          <w:lang w:val="es-ES"/>
        </w:rPr>
        <w:t xml:space="preserve"> </w:t>
      </w:r>
      <w:proofErr w:type="spellStart"/>
      <w:r w:rsidRPr="002436DB">
        <w:rPr>
          <w:rFonts w:ascii="Book Antiqua" w:hAnsi="Book Antiqua" w:cs="Times New Roman"/>
          <w:i/>
          <w:iCs/>
          <w:sz w:val="24"/>
          <w:szCs w:val="24"/>
          <w:lang w:val="es-ES"/>
        </w:rPr>
        <w:t>Gender</w:t>
      </w:r>
      <w:proofErr w:type="spellEnd"/>
      <w:r w:rsidRPr="002436DB">
        <w:rPr>
          <w:rFonts w:ascii="Book Antiqua" w:hAnsi="Book Antiqua" w:cs="Times New Roman"/>
          <w:i/>
          <w:iCs/>
          <w:sz w:val="24"/>
          <w:szCs w:val="24"/>
          <w:lang w:val="es-ES"/>
        </w:rPr>
        <w:t xml:space="preserve"> </w:t>
      </w:r>
      <w:proofErr w:type="spellStart"/>
      <w:r w:rsidRPr="002436DB">
        <w:rPr>
          <w:rFonts w:ascii="Book Antiqua" w:hAnsi="Book Antiqua" w:cs="Times New Roman"/>
          <w:i/>
          <w:iCs/>
          <w:sz w:val="24"/>
          <w:szCs w:val="24"/>
          <w:lang w:val="es-ES"/>
        </w:rPr>
        <w:t>Wage</w:t>
      </w:r>
      <w:proofErr w:type="spellEnd"/>
      <w:r w:rsidRPr="002436DB">
        <w:rPr>
          <w:rFonts w:ascii="Book Antiqua" w:hAnsi="Book Antiqua" w:cs="Times New Roman"/>
          <w:i/>
          <w:iCs/>
          <w:sz w:val="24"/>
          <w:szCs w:val="24"/>
          <w:lang w:val="es-ES"/>
        </w:rPr>
        <w:t xml:space="preserve"> Gap in Puerto Rico</w:t>
      </w:r>
      <w:r w:rsidR="003B031F">
        <w:rPr>
          <w:rStyle w:val="Refdenotaalpie"/>
          <w:rFonts w:ascii="Book Antiqua" w:hAnsi="Book Antiqua" w:cs="Times New Roman"/>
          <w:i/>
          <w:iCs/>
          <w:sz w:val="24"/>
          <w:szCs w:val="24"/>
          <w:lang w:val="es-ES"/>
        </w:rPr>
        <w:footnoteReference w:id="2"/>
      </w:r>
      <w:r>
        <w:rPr>
          <w:rFonts w:ascii="Book Antiqua" w:hAnsi="Book Antiqua" w:cs="Times New Roman"/>
          <w:sz w:val="24"/>
          <w:szCs w:val="24"/>
          <w:lang w:val="es-ES"/>
        </w:rPr>
        <w:t xml:space="preserve">.  </w:t>
      </w:r>
      <w:proofErr w:type="spellStart"/>
      <w:r w:rsidRPr="0014676B">
        <w:rPr>
          <w:rFonts w:ascii="Book Antiqua" w:hAnsi="Book Antiqua" w:cs="Times New Roman"/>
          <w:sz w:val="24"/>
          <w:szCs w:val="24"/>
        </w:rPr>
        <w:t>Expresan</w:t>
      </w:r>
      <w:proofErr w:type="spellEnd"/>
      <w:r w:rsidRPr="0014676B">
        <w:rPr>
          <w:rFonts w:ascii="Book Antiqua" w:hAnsi="Book Antiqua" w:cs="Times New Roman"/>
          <w:sz w:val="24"/>
          <w:szCs w:val="24"/>
        </w:rPr>
        <w:t>:</w:t>
      </w:r>
    </w:p>
    <w:p w14:paraId="01BF0856" w14:textId="77777777" w:rsidR="002436DB" w:rsidRPr="0014676B" w:rsidRDefault="002436DB" w:rsidP="00B436D0">
      <w:pPr>
        <w:suppressLineNumbers/>
        <w:shd w:val="clear" w:color="auto" w:fill="FFFFFF"/>
        <w:spacing w:before="100" w:beforeAutospacing="1" w:after="360" w:line="240" w:lineRule="auto"/>
        <w:ind w:firstLine="360"/>
        <w:contextualSpacing/>
        <w:jc w:val="both"/>
        <w:rPr>
          <w:rFonts w:ascii="Book Antiqua" w:hAnsi="Book Antiqua" w:cs="Times New Roman"/>
          <w:sz w:val="24"/>
          <w:szCs w:val="24"/>
        </w:rPr>
      </w:pPr>
    </w:p>
    <w:p w14:paraId="01C4238E" w14:textId="729DF0AE" w:rsidR="002436DB" w:rsidRPr="002436DB" w:rsidRDefault="002436DB" w:rsidP="00EC7B12">
      <w:pPr>
        <w:suppressLineNumbers/>
        <w:shd w:val="clear" w:color="auto" w:fill="FFFFFF"/>
        <w:spacing w:before="100" w:beforeAutospacing="1" w:after="360" w:line="240" w:lineRule="auto"/>
        <w:ind w:left="567" w:firstLine="567"/>
        <w:contextualSpacing/>
        <w:jc w:val="both"/>
        <w:rPr>
          <w:rFonts w:ascii="Book Antiqua" w:hAnsi="Book Antiqua" w:cs="Times New Roman"/>
          <w:i/>
          <w:iCs/>
          <w:sz w:val="24"/>
          <w:szCs w:val="24"/>
        </w:rPr>
      </w:pPr>
      <w:r w:rsidRPr="002436DB">
        <w:rPr>
          <w:rFonts w:ascii="Book Antiqua" w:hAnsi="Book Antiqua" w:cs="Times New Roman"/>
          <w:sz w:val="24"/>
          <w:szCs w:val="24"/>
        </w:rPr>
        <w:t>“</w:t>
      </w:r>
      <w:r w:rsidRPr="002436DB">
        <w:rPr>
          <w:rFonts w:ascii="Book Antiqua" w:hAnsi="Book Antiqua" w:cs="Times New Roman"/>
          <w:i/>
          <w:iCs/>
          <w:sz w:val="24"/>
          <w:szCs w:val="24"/>
        </w:rPr>
        <w:t>The gender pay gap is a longstanding and critical issue in labor economics, with substantial evidence indicating that, on average, men earn more than women across various sectors and regions. This disparity is not uniform; it varies significantly by country and industry, underscoring the necessity for localized data and nuanced analysis to fully understand its extent and underlying causes (</w:t>
      </w:r>
      <w:proofErr w:type="spellStart"/>
      <w:r w:rsidRPr="002436DB">
        <w:rPr>
          <w:rFonts w:ascii="Book Antiqua" w:hAnsi="Book Antiqua" w:cs="Times New Roman"/>
          <w:i/>
          <w:iCs/>
          <w:sz w:val="24"/>
          <w:szCs w:val="24"/>
        </w:rPr>
        <w:t>Hedija</w:t>
      </w:r>
      <w:proofErr w:type="spellEnd"/>
      <w:r w:rsidRPr="002436DB">
        <w:rPr>
          <w:rFonts w:ascii="Book Antiqua" w:hAnsi="Book Antiqua" w:cs="Times New Roman"/>
          <w:i/>
          <w:iCs/>
          <w:sz w:val="24"/>
          <w:szCs w:val="24"/>
        </w:rPr>
        <w:t>, 2017; Kochhar, 2023).</w:t>
      </w:r>
    </w:p>
    <w:p w14:paraId="51D8B1F4" w14:textId="40BECBD1" w:rsidR="002436DB" w:rsidRPr="002436DB" w:rsidRDefault="002436DB" w:rsidP="00EC7B12">
      <w:pPr>
        <w:suppressLineNumbers/>
        <w:shd w:val="clear" w:color="auto" w:fill="FFFFFF"/>
        <w:spacing w:before="100" w:beforeAutospacing="1" w:after="360" w:line="240" w:lineRule="auto"/>
        <w:ind w:left="567" w:firstLine="567"/>
        <w:contextualSpacing/>
        <w:jc w:val="both"/>
        <w:rPr>
          <w:rFonts w:ascii="Book Antiqua" w:hAnsi="Book Antiqua" w:cs="Times New Roman"/>
          <w:i/>
          <w:iCs/>
          <w:sz w:val="24"/>
          <w:szCs w:val="24"/>
        </w:rPr>
      </w:pPr>
      <w:r w:rsidRPr="002436DB">
        <w:rPr>
          <w:rFonts w:ascii="Book Antiqua" w:hAnsi="Book Antiqua" w:cs="Times New Roman"/>
          <w:i/>
          <w:iCs/>
          <w:sz w:val="24"/>
          <w:szCs w:val="24"/>
        </w:rPr>
        <w:t>…</w:t>
      </w:r>
    </w:p>
    <w:p w14:paraId="29AB7F5B" w14:textId="77777777" w:rsidR="002436DB" w:rsidRPr="002436DB" w:rsidRDefault="002436DB" w:rsidP="00EC7B12">
      <w:pPr>
        <w:suppressLineNumbers/>
        <w:shd w:val="clear" w:color="auto" w:fill="FFFFFF"/>
        <w:spacing w:before="100" w:beforeAutospacing="1" w:after="360" w:line="240" w:lineRule="auto"/>
        <w:ind w:left="567" w:firstLine="567"/>
        <w:contextualSpacing/>
        <w:jc w:val="both"/>
        <w:rPr>
          <w:rFonts w:ascii="Book Antiqua" w:hAnsi="Book Antiqua" w:cs="Times New Roman"/>
          <w:i/>
          <w:iCs/>
          <w:sz w:val="24"/>
          <w:szCs w:val="24"/>
        </w:rPr>
      </w:pPr>
    </w:p>
    <w:p w14:paraId="776F2E6C" w14:textId="511EB4C1" w:rsidR="002436DB" w:rsidRDefault="002436DB" w:rsidP="00EC7B12">
      <w:pPr>
        <w:suppressLineNumbers/>
        <w:shd w:val="clear" w:color="auto" w:fill="FFFFFF"/>
        <w:spacing w:before="100" w:beforeAutospacing="1" w:after="360" w:line="240" w:lineRule="auto"/>
        <w:ind w:left="567" w:firstLine="567"/>
        <w:contextualSpacing/>
        <w:jc w:val="both"/>
        <w:rPr>
          <w:rFonts w:ascii="Book Antiqua" w:hAnsi="Book Antiqua" w:cs="Times New Roman"/>
          <w:sz w:val="24"/>
          <w:szCs w:val="24"/>
        </w:rPr>
      </w:pPr>
      <w:r w:rsidRPr="002436DB">
        <w:rPr>
          <w:rFonts w:ascii="Book Antiqua" w:hAnsi="Book Antiqua" w:cs="Times New Roman"/>
          <w:i/>
          <w:iCs/>
          <w:sz w:val="24"/>
          <w:szCs w:val="24"/>
        </w:rPr>
        <w:t>Puerto Rico's high levels of income inequality are significantly driven by gender inequality. As Colón Warren (2010) observes, the link between female-headed households and economic hardship in Puerto Rico is clear, with women disproportionately facing financial instability due to systemic inequities in the job market, leading to diminished earnings across various sectors and levels of education. This predicament worsened during the prolonged economic depression of the 2010s. The economic contraction and government downsizing led to extensive job reductions that disproportionately affected women, who were often the primary earners in their families (Rodríguez Coss, 2020).</w:t>
      </w:r>
      <w:r>
        <w:rPr>
          <w:rFonts w:ascii="Book Antiqua" w:hAnsi="Book Antiqua" w:cs="Times New Roman"/>
          <w:sz w:val="24"/>
          <w:szCs w:val="24"/>
        </w:rPr>
        <w:t xml:space="preserve">” </w:t>
      </w:r>
    </w:p>
    <w:p w14:paraId="6C974120" w14:textId="77777777" w:rsidR="002436DB" w:rsidRDefault="002436DB" w:rsidP="00EC7B12">
      <w:pPr>
        <w:suppressLineNumbers/>
        <w:shd w:val="clear" w:color="auto" w:fill="FFFFFF"/>
        <w:spacing w:before="100" w:beforeAutospacing="1" w:after="360" w:line="240" w:lineRule="auto"/>
        <w:ind w:left="567" w:firstLine="567"/>
        <w:contextualSpacing/>
        <w:jc w:val="both"/>
        <w:rPr>
          <w:rFonts w:ascii="Book Antiqua" w:hAnsi="Book Antiqua" w:cs="Times New Roman"/>
          <w:sz w:val="24"/>
          <w:szCs w:val="24"/>
        </w:rPr>
      </w:pPr>
    </w:p>
    <w:p w14:paraId="7DE6C867" w14:textId="1AC056E4" w:rsidR="002436DB" w:rsidRDefault="002436DB" w:rsidP="00EC7B12">
      <w:pPr>
        <w:suppressLineNumbers/>
        <w:shd w:val="clear" w:color="auto" w:fill="FFFFFF"/>
        <w:spacing w:before="100" w:beforeAutospacing="1" w:after="360" w:line="240" w:lineRule="auto"/>
        <w:ind w:firstLine="567"/>
        <w:contextualSpacing/>
        <w:jc w:val="both"/>
        <w:rPr>
          <w:rFonts w:ascii="Book Antiqua" w:hAnsi="Book Antiqua" w:cs="Times New Roman"/>
          <w:sz w:val="24"/>
          <w:szCs w:val="24"/>
          <w:lang w:val="es-ES_tradnl"/>
        </w:rPr>
      </w:pPr>
      <w:r w:rsidRPr="002436DB">
        <w:rPr>
          <w:rFonts w:ascii="Book Antiqua" w:hAnsi="Book Antiqua" w:cs="Times New Roman"/>
          <w:sz w:val="24"/>
          <w:szCs w:val="24"/>
          <w:lang w:val="es-ES_tradnl"/>
        </w:rPr>
        <w:lastRenderedPageBreak/>
        <w:t xml:space="preserve">Presentan </w:t>
      </w:r>
      <w:r>
        <w:rPr>
          <w:rFonts w:ascii="Book Antiqua" w:hAnsi="Book Antiqua" w:cs="Times New Roman"/>
          <w:sz w:val="24"/>
          <w:szCs w:val="24"/>
          <w:lang w:val="es-ES_tradnl"/>
        </w:rPr>
        <w:t xml:space="preserve">en el mismo </w:t>
      </w:r>
      <w:r w:rsidRPr="002436DB">
        <w:rPr>
          <w:rFonts w:ascii="Book Antiqua" w:hAnsi="Book Antiqua" w:cs="Times New Roman"/>
          <w:sz w:val="24"/>
          <w:szCs w:val="24"/>
          <w:lang w:val="es-ES_tradnl"/>
        </w:rPr>
        <w:t>una comparativ</w:t>
      </w:r>
      <w:r w:rsidR="00B4198D">
        <w:rPr>
          <w:rFonts w:ascii="Book Antiqua" w:hAnsi="Book Antiqua" w:cs="Times New Roman"/>
          <w:sz w:val="24"/>
          <w:szCs w:val="24"/>
          <w:lang w:val="es-ES_tradnl"/>
        </w:rPr>
        <w:t>a</w:t>
      </w:r>
      <w:r w:rsidRPr="002436DB">
        <w:rPr>
          <w:rFonts w:ascii="Book Antiqua" w:hAnsi="Book Antiqua" w:cs="Times New Roman"/>
          <w:sz w:val="24"/>
          <w:szCs w:val="24"/>
          <w:lang w:val="es-ES_tradnl"/>
        </w:rPr>
        <w:t xml:space="preserve"> e</w:t>
      </w:r>
      <w:r w:rsidR="00B4198D">
        <w:rPr>
          <w:rFonts w:ascii="Book Antiqua" w:hAnsi="Book Antiqua" w:cs="Times New Roman"/>
          <w:sz w:val="24"/>
          <w:szCs w:val="24"/>
          <w:lang w:val="es-ES_tradnl"/>
        </w:rPr>
        <w:t>ntre</w:t>
      </w:r>
      <w:r w:rsidRPr="002436DB">
        <w:rPr>
          <w:rFonts w:ascii="Book Antiqua" w:hAnsi="Book Antiqua" w:cs="Times New Roman"/>
          <w:sz w:val="24"/>
          <w:szCs w:val="24"/>
          <w:lang w:val="es-ES_tradnl"/>
        </w:rPr>
        <w:t xml:space="preserve"> l</w:t>
      </w:r>
      <w:r>
        <w:rPr>
          <w:rFonts w:ascii="Book Antiqua" w:hAnsi="Book Antiqua" w:cs="Times New Roman"/>
          <w:sz w:val="24"/>
          <w:szCs w:val="24"/>
          <w:lang w:val="es-ES_tradnl"/>
        </w:rPr>
        <w:t xml:space="preserve">os sueldos ganados por hombres y mujeres desde el 2019 al 2023. </w:t>
      </w:r>
      <w:r w:rsidR="00733C76">
        <w:rPr>
          <w:rFonts w:ascii="Book Antiqua" w:hAnsi="Book Antiqua" w:cs="Times New Roman"/>
          <w:sz w:val="24"/>
          <w:szCs w:val="24"/>
          <w:lang w:val="es-ES_tradnl"/>
        </w:rPr>
        <w:t>Contiene el informe dos tablas comparativas que por la importancia de la información que recoge, entendemos necesario reproducirla</w:t>
      </w:r>
      <w:r w:rsidR="00B4198D">
        <w:rPr>
          <w:rFonts w:ascii="Book Antiqua" w:hAnsi="Book Antiqua" w:cs="Times New Roman"/>
          <w:sz w:val="24"/>
          <w:szCs w:val="24"/>
          <w:lang w:val="es-ES_tradnl"/>
        </w:rPr>
        <w:t>s</w:t>
      </w:r>
      <w:r w:rsidR="00733C76">
        <w:rPr>
          <w:rFonts w:ascii="Book Antiqua" w:hAnsi="Book Antiqua" w:cs="Times New Roman"/>
          <w:sz w:val="24"/>
          <w:szCs w:val="24"/>
          <w:lang w:val="es-ES_tradnl"/>
        </w:rPr>
        <w:t xml:space="preserve">.  </w:t>
      </w:r>
    </w:p>
    <w:p w14:paraId="13833DCE" w14:textId="2CE6B2EC" w:rsidR="002436DB" w:rsidRDefault="002436DB" w:rsidP="002436DB">
      <w:pPr>
        <w:suppressLineNumbers/>
        <w:shd w:val="clear" w:color="auto" w:fill="FFFFFF"/>
        <w:spacing w:before="100" w:beforeAutospacing="1" w:after="360" w:line="240" w:lineRule="auto"/>
        <w:contextualSpacing/>
        <w:jc w:val="both"/>
        <w:rPr>
          <w:rFonts w:ascii="Book Antiqua" w:hAnsi="Book Antiqua" w:cs="Times New Roman"/>
          <w:sz w:val="24"/>
          <w:szCs w:val="24"/>
          <w:lang w:val="es-ES_tradnl"/>
        </w:rPr>
      </w:pPr>
      <w:r>
        <w:rPr>
          <w:noProof/>
        </w:rPr>
        <w:drawing>
          <wp:inline distT="0" distB="0" distL="0" distR="0" wp14:anchorId="296ACC38" wp14:editId="01295AF0">
            <wp:extent cx="5599367" cy="3800475"/>
            <wp:effectExtent l="0" t="0" r="1905" b="0"/>
            <wp:docPr id="18228387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3876" name="Picture 1" descr="Graphical user interface, application&#10;&#10;Description automatically generated"/>
                    <pic:cNvPicPr/>
                  </pic:nvPicPr>
                  <pic:blipFill rotWithShape="1">
                    <a:blip r:embed="rId8"/>
                    <a:srcRect l="11057" t="21937" r="53526" b="35328"/>
                    <a:stretch/>
                  </pic:blipFill>
                  <pic:spPr bwMode="auto">
                    <a:xfrm>
                      <a:off x="0" y="0"/>
                      <a:ext cx="5612104" cy="3809120"/>
                    </a:xfrm>
                    <a:prstGeom prst="rect">
                      <a:avLst/>
                    </a:prstGeom>
                    <a:ln>
                      <a:noFill/>
                    </a:ln>
                    <a:extLst>
                      <a:ext uri="{53640926-AAD7-44D8-BBD7-CCE9431645EC}">
                        <a14:shadowObscured xmlns:a14="http://schemas.microsoft.com/office/drawing/2010/main"/>
                      </a:ext>
                    </a:extLst>
                  </pic:spPr>
                </pic:pic>
              </a:graphicData>
            </a:graphic>
          </wp:inline>
        </w:drawing>
      </w:r>
    </w:p>
    <w:p w14:paraId="22158051" w14:textId="77777777" w:rsidR="00F900C2" w:rsidRPr="00D8371B" w:rsidRDefault="00F900C2" w:rsidP="00F900C2">
      <w:pPr>
        <w:suppressLineNumbers/>
        <w:shd w:val="clear" w:color="auto" w:fill="FFFFFF"/>
        <w:spacing w:before="100" w:beforeAutospacing="1" w:after="360" w:line="240" w:lineRule="auto"/>
        <w:contextualSpacing/>
        <w:jc w:val="center"/>
        <w:rPr>
          <w:rFonts w:ascii="Book Antiqua" w:hAnsi="Book Antiqua" w:cs="Times New Roman"/>
          <w:sz w:val="20"/>
          <w:szCs w:val="20"/>
          <w:lang w:val="es-ES_tradnl"/>
        </w:rPr>
      </w:pPr>
      <w:r w:rsidRPr="00D8371B">
        <w:rPr>
          <w:rFonts w:ascii="Book Antiqua" w:hAnsi="Book Antiqua" w:cs="Times New Roman"/>
          <w:i/>
          <w:iCs/>
          <w:sz w:val="20"/>
          <w:szCs w:val="20"/>
          <w:lang w:val="es-ES_tradnl"/>
        </w:rPr>
        <w:t xml:space="preserve">Nota: </w:t>
      </w:r>
      <w:r w:rsidRPr="00D8371B">
        <w:rPr>
          <w:rFonts w:ascii="Book Antiqua" w:hAnsi="Book Antiqua" w:cs="Times New Roman"/>
          <w:sz w:val="20"/>
          <w:szCs w:val="20"/>
          <w:lang w:val="es-ES_tradnl"/>
        </w:rPr>
        <w:t>Fuente (</w:t>
      </w:r>
      <w:proofErr w:type="spellStart"/>
      <w:r w:rsidRPr="00D8371B">
        <w:rPr>
          <w:rFonts w:ascii="Book Antiqua" w:hAnsi="Book Antiqua" w:cs="Times New Roman"/>
          <w:sz w:val="20"/>
          <w:szCs w:val="20"/>
          <w:lang w:val="es-ES_tradnl"/>
        </w:rPr>
        <w:t>Measuring</w:t>
      </w:r>
      <w:proofErr w:type="spellEnd"/>
      <w:r w:rsidRPr="00D8371B">
        <w:rPr>
          <w:rFonts w:ascii="Book Antiqua" w:hAnsi="Book Antiqua" w:cs="Times New Roman"/>
          <w:sz w:val="20"/>
          <w:szCs w:val="20"/>
          <w:lang w:val="es-ES_tradnl"/>
        </w:rPr>
        <w:t xml:space="preserve"> </w:t>
      </w:r>
      <w:proofErr w:type="spellStart"/>
      <w:r w:rsidRPr="00D8371B">
        <w:rPr>
          <w:rFonts w:ascii="Book Antiqua" w:hAnsi="Book Antiqua" w:cs="Times New Roman"/>
          <w:sz w:val="20"/>
          <w:szCs w:val="20"/>
          <w:lang w:val="es-ES_tradnl"/>
        </w:rPr>
        <w:t>Gender</w:t>
      </w:r>
      <w:proofErr w:type="spellEnd"/>
      <w:r w:rsidRPr="00D8371B">
        <w:rPr>
          <w:rFonts w:ascii="Book Antiqua" w:hAnsi="Book Antiqua" w:cs="Times New Roman"/>
          <w:sz w:val="20"/>
          <w:szCs w:val="20"/>
          <w:lang w:val="es-ES_tradnl"/>
        </w:rPr>
        <w:t xml:space="preserve"> Gap, </w:t>
      </w:r>
      <w:proofErr w:type="spellStart"/>
      <w:r w:rsidRPr="00D8371B">
        <w:rPr>
          <w:rFonts w:ascii="Book Antiqua" w:hAnsi="Book Antiqua" w:cs="Times New Roman"/>
          <w:sz w:val="20"/>
          <w:szCs w:val="20"/>
          <w:lang w:val="es-ES_tradnl"/>
        </w:rPr>
        <w:t>n.d</w:t>
      </w:r>
      <w:proofErr w:type="spellEnd"/>
      <w:r w:rsidRPr="00D8371B">
        <w:rPr>
          <w:rFonts w:ascii="Book Antiqua" w:hAnsi="Book Antiqua" w:cs="Times New Roman"/>
          <w:sz w:val="20"/>
          <w:szCs w:val="20"/>
          <w:lang w:val="es-ES_tradnl"/>
        </w:rPr>
        <w:t>.)</w:t>
      </w:r>
    </w:p>
    <w:p w14:paraId="7F274F2D" w14:textId="77777777" w:rsidR="00F900C2" w:rsidRPr="002436DB" w:rsidRDefault="00F900C2" w:rsidP="002436DB">
      <w:pPr>
        <w:suppressLineNumbers/>
        <w:shd w:val="clear" w:color="auto" w:fill="FFFFFF"/>
        <w:spacing w:before="100" w:beforeAutospacing="1" w:after="360" w:line="240" w:lineRule="auto"/>
        <w:contextualSpacing/>
        <w:jc w:val="both"/>
        <w:rPr>
          <w:rFonts w:ascii="Book Antiqua" w:hAnsi="Book Antiqua" w:cs="Times New Roman"/>
          <w:sz w:val="24"/>
          <w:szCs w:val="24"/>
          <w:lang w:val="es-ES_tradnl"/>
        </w:rPr>
      </w:pPr>
    </w:p>
    <w:p w14:paraId="0B309CD1" w14:textId="3C5BA643" w:rsidR="00733C76" w:rsidRDefault="00733C76" w:rsidP="00733C76">
      <w:pPr>
        <w:suppressLineNumbers/>
        <w:shd w:val="clear" w:color="auto" w:fill="FFFFFF"/>
        <w:spacing w:before="100" w:beforeAutospacing="1" w:after="360" w:line="240" w:lineRule="auto"/>
        <w:contextualSpacing/>
        <w:jc w:val="center"/>
        <w:rPr>
          <w:rFonts w:ascii="Book Antiqua" w:hAnsi="Book Antiqua" w:cs="Times New Roman"/>
          <w:i/>
          <w:iCs/>
          <w:sz w:val="20"/>
          <w:szCs w:val="20"/>
          <w:lang w:val="es-ES_tradnl"/>
        </w:rPr>
      </w:pPr>
      <w:r>
        <w:rPr>
          <w:noProof/>
        </w:rPr>
        <w:drawing>
          <wp:inline distT="0" distB="0" distL="0" distR="0" wp14:anchorId="230632C8" wp14:editId="3FD6DF59">
            <wp:extent cx="4983010" cy="3190875"/>
            <wp:effectExtent l="0" t="0" r="8255" b="0"/>
            <wp:docPr id="1008023327"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23327" name="Picture 1" descr="Chart, bar chart&#10;&#10;Description automatically generated"/>
                    <pic:cNvPicPr/>
                  </pic:nvPicPr>
                  <pic:blipFill rotWithShape="1">
                    <a:blip r:embed="rId9"/>
                    <a:srcRect l="30609" t="41596" r="32853" b="16809"/>
                    <a:stretch/>
                  </pic:blipFill>
                  <pic:spPr bwMode="auto">
                    <a:xfrm>
                      <a:off x="0" y="0"/>
                      <a:ext cx="4993855" cy="3197820"/>
                    </a:xfrm>
                    <a:prstGeom prst="rect">
                      <a:avLst/>
                    </a:prstGeom>
                    <a:ln>
                      <a:noFill/>
                    </a:ln>
                    <a:extLst>
                      <a:ext uri="{53640926-AAD7-44D8-BBD7-CCE9431645EC}">
                        <a14:shadowObscured xmlns:a14="http://schemas.microsoft.com/office/drawing/2010/main"/>
                      </a:ext>
                    </a:extLst>
                  </pic:spPr>
                </pic:pic>
              </a:graphicData>
            </a:graphic>
          </wp:inline>
        </w:drawing>
      </w:r>
    </w:p>
    <w:p w14:paraId="7C942C3A" w14:textId="4D4EA6FB" w:rsidR="002436DB" w:rsidRPr="00EC7B12" w:rsidRDefault="00D8371B" w:rsidP="00EC7B12">
      <w:pPr>
        <w:suppressLineNumbers/>
        <w:shd w:val="clear" w:color="auto" w:fill="FFFFFF"/>
        <w:spacing w:before="100" w:beforeAutospacing="1" w:after="360" w:line="240" w:lineRule="auto"/>
        <w:contextualSpacing/>
        <w:jc w:val="center"/>
        <w:rPr>
          <w:rFonts w:ascii="Book Antiqua" w:hAnsi="Book Antiqua" w:cs="Times New Roman"/>
          <w:sz w:val="20"/>
          <w:szCs w:val="20"/>
          <w:lang w:val="es-ES_tradnl"/>
        </w:rPr>
      </w:pPr>
      <w:r w:rsidRPr="00D8371B">
        <w:rPr>
          <w:rFonts w:ascii="Book Antiqua" w:hAnsi="Book Antiqua" w:cs="Times New Roman"/>
          <w:i/>
          <w:iCs/>
          <w:sz w:val="20"/>
          <w:szCs w:val="20"/>
          <w:lang w:val="es-ES_tradnl"/>
        </w:rPr>
        <w:t xml:space="preserve">Nota: </w:t>
      </w:r>
      <w:r w:rsidRPr="00D8371B">
        <w:rPr>
          <w:rFonts w:ascii="Book Antiqua" w:hAnsi="Book Antiqua" w:cs="Times New Roman"/>
          <w:sz w:val="20"/>
          <w:szCs w:val="20"/>
          <w:lang w:val="es-ES_tradnl"/>
        </w:rPr>
        <w:t>Fuente (</w:t>
      </w:r>
      <w:proofErr w:type="spellStart"/>
      <w:r w:rsidRPr="00D8371B">
        <w:rPr>
          <w:rFonts w:ascii="Book Antiqua" w:hAnsi="Book Antiqua" w:cs="Times New Roman"/>
          <w:sz w:val="20"/>
          <w:szCs w:val="20"/>
          <w:lang w:val="es-ES_tradnl"/>
        </w:rPr>
        <w:t>Measuring</w:t>
      </w:r>
      <w:proofErr w:type="spellEnd"/>
      <w:r w:rsidRPr="00D8371B">
        <w:rPr>
          <w:rFonts w:ascii="Book Antiqua" w:hAnsi="Book Antiqua" w:cs="Times New Roman"/>
          <w:sz w:val="20"/>
          <w:szCs w:val="20"/>
          <w:lang w:val="es-ES_tradnl"/>
        </w:rPr>
        <w:t xml:space="preserve"> </w:t>
      </w:r>
      <w:proofErr w:type="spellStart"/>
      <w:r w:rsidRPr="00D8371B">
        <w:rPr>
          <w:rFonts w:ascii="Book Antiqua" w:hAnsi="Book Antiqua" w:cs="Times New Roman"/>
          <w:sz w:val="20"/>
          <w:szCs w:val="20"/>
          <w:lang w:val="es-ES_tradnl"/>
        </w:rPr>
        <w:t>Gender</w:t>
      </w:r>
      <w:proofErr w:type="spellEnd"/>
      <w:r w:rsidRPr="00D8371B">
        <w:rPr>
          <w:rFonts w:ascii="Book Antiqua" w:hAnsi="Book Antiqua" w:cs="Times New Roman"/>
          <w:sz w:val="20"/>
          <w:szCs w:val="20"/>
          <w:lang w:val="es-ES_tradnl"/>
        </w:rPr>
        <w:t xml:space="preserve"> Gap, </w:t>
      </w:r>
      <w:proofErr w:type="spellStart"/>
      <w:r w:rsidRPr="00D8371B">
        <w:rPr>
          <w:rFonts w:ascii="Book Antiqua" w:hAnsi="Book Antiqua" w:cs="Times New Roman"/>
          <w:sz w:val="20"/>
          <w:szCs w:val="20"/>
          <w:lang w:val="es-ES_tradnl"/>
        </w:rPr>
        <w:t>n.d</w:t>
      </w:r>
      <w:proofErr w:type="spellEnd"/>
      <w:r w:rsidRPr="00D8371B">
        <w:rPr>
          <w:rFonts w:ascii="Book Antiqua" w:hAnsi="Book Antiqua" w:cs="Times New Roman"/>
          <w:sz w:val="20"/>
          <w:szCs w:val="20"/>
          <w:lang w:val="es-ES_tradnl"/>
        </w:rPr>
        <w:t>.)</w:t>
      </w:r>
    </w:p>
    <w:p w14:paraId="53DB436E" w14:textId="34FF4540" w:rsidR="00733C76" w:rsidRDefault="00733C76"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r>
        <w:rPr>
          <w:rFonts w:ascii="Book Antiqua" w:hAnsi="Book Antiqua"/>
          <w:sz w:val="24"/>
          <w:szCs w:val="24"/>
          <w:lang w:val="es-ES"/>
        </w:rPr>
        <w:lastRenderedPageBreak/>
        <w:t>Las diferencias en salarios son significativas y palpables.  Las mismas continúan a pesar de la aprobación de la Ley</w:t>
      </w:r>
      <w:r w:rsidR="00B4198D">
        <w:rPr>
          <w:rFonts w:ascii="Book Antiqua" w:hAnsi="Book Antiqua"/>
          <w:sz w:val="24"/>
          <w:szCs w:val="24"/>
          <w:lang w:val="es-ES"/>
        </w:rPr>
        <w:t xml:space="preserve"> 16-2017</w:t>
      </w:r>
      <w:r>
        <w:rPr>
          <w:rFonts w:ascii="Book Antiqua" w:hAnsi="Book Antiqua"/>
          <w:sz w:val="24"/>
          <w:szCs w:val="24"/>
          <w:lang w:val="es-ES"/>
        </w:rPr>
        <w:t>.  En expresiones del</w:t>
      </w:r>
      <w:r w:rsidR="00E93050">
        <w:rPr>
          <w:rFonts w:ascii="Book Antiqua" w:hAnsi="Book Antiqua"/>
          <w:sz w:val="24"/>
          <w:szCs w:val="24"/>
          <w:lang w:val="es-ES"/>
        </w:rPr>
        <w:t xml:space="preserve"> pasado</w:t>
      </w:r>
      <w:r>
        <w:rPr>
          <w:rFonts w:ascii="Book Antiqua" w:hAnsi="Book Antiqua"/>
          <w:sz w:val="24"/>
          <w:szCs w:val="24"/>
          <w:lang w:val="es-ES"/>
        </w:rPr>
        <w:t xml:space="preserve"> </w:t>
      </w:r>
      <w:proofErr w:type="gramStart"/>
      <w:r>
        <w:rPr>
          <w:rFonts w:ascii="Book Antiqua" w:hAnsi="Book Antiqua"/>
          <w:sz w:val="24"/>
          <w:szCs w:val="24"/>
          <w:lang w:val="es-ES"/>
        </w:rPr>
        <w:t>Secretario</w:t>
      </w:r>
      <w:proofErr w:type="gramEnd"/>
      <w:r>
        <w:rPr>
          <w:rFonts w:ascii="Book Antiqua" w:hAnsi="Book Antiqua"/>
          <w:sz w:val="24"/>
          <w:szCs w:val="24"/>
          <w:lang w:val="es-ES"/>
        </w:rPr>
        <w:t xml:space="preserve"> del DTRH, este señaló que una mujer puede ganar hasta $4,081 menos que un hombre</w:t>
      </w:r>
      <w:r w:rsidR="003B031F">
        <w:rPr>
          <w:rStyle w:val="Refdenotaalpie"/>
          <w:rFonts w:ascii="Book Antiqua" w:hAnsi="Book Antiqua"/>
          <w:sz w:val="24"/>
          <w:szCs w:val="24"/>
          <w:lang w:val="es-ES"/>
        </w:rPr>
        <w:footnoteReference w:id="3"/>
      </w:r>
      <w:r w:rsidR="003B031F">
        <w:rPr>
          <w:rFonts w:ascii="Book Antiqua" w:hAnsi="Book Antiqua"/>
          <w:sz w:val="24"/>
          <w:szCs w:val="24"/>
          <w:lang w:val="es-ES"/>
        </w:rPr>
        <w:t>.</w:t>
      </w:r>
      <w:r w:rsidR="00407FB4">
        <w:rPr>
          <w:rFonts w:ascii="Book Antiqua" w:hAnsi="Book Antiqua"/>
          <w:sz w:val="24"/>
          <w:szCs w:val="24"/>
          <w:lang w:val="es-ES"/>
        </w:rPr>
        <w:t xml:space="preserve">  </w:t>
      </w:r>
      <w:r w:rsidR="00E93050">
        <w:rPr>
          <w:rFonts w:ascii="Book Antiqua" w:hAnsi="Book Antiqua"/>
          <w:sz w:val="24"/>
          <w:szCs w:val="24"/>
          <w:lang w:val="es-ES"/>
        </w:rPr>
        <w:t>Indic</w:t>
      </w:r>
      <w:r w:rsidR="00407FB4">
        <w:rPr>
          <w:rFonts w:ascii="Book Antiqua" w:hAnsi="Book Antiqua"/>
          <w:sz w:val="24"/>
          <w:szCs w:val="24"/>
          <w:lang w:val="es-ES"/>
        </w:rPr>
        <w:t xml:space="preserve">ó, además, que también puede ganar 83 centavos </w:t>
      </w:r>
      <w:r w:rsidR="00E93050">
        <w:rPr>
          <w:rFonts w:ascii="Book Antiqua" w:hAnsi="Book Antiqua"/>
          <w:sz w:val="24"/>
          <w:szCs w:val="24"/>
          <w:lang w:val="es-ES"/>
        </w:rPr>
        <w:t xml:space="preserve">menos </w:t>
      </w:r>
      <w:r w:rsidR="00407FB4">
        <w:rPr>
          <w:rFonts w:ascii="Book Antiqua" w:hAnsi="Book Antiqua"/>
          <w:sz w:val="24"/>
          <w:szCs w:val="24"/>
          <w:lang w:val="es-ES"/>
        </w:rPr>
        <w:t xml:space="preserve">por cada dólar que cobra un hombre.  Como parte de los hallazgos del </w:t>
      </w:r>
      <w:r w:rsidR="0047635B">
        <w:rPr>
          <w:rFonts w:ascii="Book Antiqua" w:hAnsi="Book Antiqua"/>
          <w:sz w:val="24"/>
          <w:szCs w:val="24"/>
          <w:lang w:val="es-ES"/>
        </w:rPr>
        <w:t xml:space="preserve">Informe de Equidad Salarial, el </w:t>
      </w:r>
      <w:r w:rsidR="00E93050">
        <w:rPr>
          <w:rFonts w:ascii="Book Antiqua" w:hAnsi="Book Antiqua"/>
          <w:sz w:val="24"/>
          <w:szCs w:val="24"/>
          <w:lang w:val="es-ES"/>
        </w:rPr>
        <w:t>exsecretario</w:t>
      </w:r>
      <w:r w:rsidR="0047635B">
        <w:rPr>
          <w:rFonts w:ascii="Book Antiqua" w:hAnsi="Book Antiqua"/>
          <w:sz w:val="24"/>
          <w:szCs w:val="24"/>
          <w:lang w:val="es-ES"/>
        </w:rPr>
        <w:t xml:space="preserve"> expresó que entre el 2013 y el 2023 la mediana de salarios devengados por hombre aumentó en un 15%, mientras que el de las mujeres</w:t>
      </w:r>
      <w:r w:rsidR="00B4198D">
        <w:rPr>
          <w:rFonts w:ascii="Book Antiqua" w:hAnsi="Book Antiqua"/>
          <w:sz w:val="24"/>
          <w:szCs w:val="24"/>
          <w:lang w:val="es-ES"/>
        </w:rPr>
        <w:t xml:space="preserve"> en</w:t>
      </w:r>
      <w:r w:rsidR="0047635B">
        <w:rPr>
          <w:rFonts w:ascii="Book Antiqua" w:hAnsi="Book Antiqua"/>
          <w:sz w:val="24"/>
          <w:szCs w:val="24"/>
          <w:lang w:val="es-ES"/>
        </w:rPr>
        <w:t xml:space="preserve"> tan solo un 2%.</w:t>
      </w:r>
      <w:r w:rsidR="00407FB4">
        <w:rPr>
          <w:rFonts w:ascii="Book Antiqua" w:hAnsi="Book Antiqua"/>
          <w:sz w:val="24"/>
          <w:szCs w:val="24"/>
          <w:lang w:val="es-ES"/>
        </w:rPr>
        <w:t xml:space="preserve"> </w:t>
      </w:r>
    </w:p>
    <w:p w14:paraId="2C44A070" w14:textId="77777777" w:rsidR="00212593" w:rsidRDefault="00212593"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p>
    <w:p w14:paraId="24DBDEC5" w14:textId="2C0F332D" w:rsidR="00212593" w:rsidRDefault="00212593"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r>
        <w:rPr>
          <w:rFonts w:ascii="Book Antiqua" w:hAnsi="Book Antiqua"/>
          <w:sz w:val="24"/>
          <w:szCs w:val="24"/>
          <w:lang w:val="es-ES"/>
        </w:rPr>
        <w:t xml:space="preserve">Ninguna mujer debe recibir menos salario por el mismo trabajo que un hombre, eso no puede ni debe </w:t>
      </w:r>
      <w:r w:rsidR="00851A2C">
        <w:rPr>
          <w:rFonts w:ascii="Book Antiqua" w:hAnsi="Book Antiqua"/>
          <w:sz w:val="24"/>
          <w:szCs w:val="24"/>
          <w:lang w:val="es-ES"/>
        </w:rPr>
        <w:t>seguir sucediendo en la tercera década del Siglo XXI.  Este Cuerpo está comprometido con crear parámetros para una nueva legislación</w:t>
      </w:r>
      <w:r w:rsidR="00B4198D">
        <w:rPr>
          <w:rFonts w:ascii="Book Antiqua" w:hAnsi="Book Antiqua"/>
          <w:sz w:val="24"/>
          <w:szCs w:val="24"/>
          <w:lang w:val="es-ES"/>
        </w:rPr>
        <w:t>,</w:t>
      </w:r>
      <w:r w:rsidR="00851A2C">
        <w:rPr>
          <w:rFonts w:ascii="Book Antiqua" w:hAnsi="Book Antiqua"/>
          <w:sz w:val="24"/>
          <w:szCs w:val="24"/>
          <w:lang w:val="es-ES"/>
        </w:rPr>
        <w:t xml:space="preserve"> que contenga</w:t>
      </w:r>
      <w:r w:rsidR="00E93050">
        <w:rPr>
          <w:rFonts w:ascii="Book Antiqua" w:hAnsi="Book Antiqua"/>
          <w:sz w:val="24"/>
          <w:szCs w:val="24"/>
          <w:lang w:val="es-ES"/>
        </w:rPr>
        <w:t>n</w:t>
      </w:r>
      <w:r w:rsidR="00851A2C">
        <w:rPr>
          <w:rFonts w:ascii="Book Antiqua" w:hAnsi="Book Antiqua"/>
          <w:sz w:val="24"/>
          <w:szCs w:val="24"/>
          <w:lang w:val="es-ES"/>
        </w:rPr>
        <w:t xml:space="preserve"> los mecanismos para facultar al DTRH a intervenir directamente con aquellas empresas que no cumplan con la Ley 16-2017.</w:t>
      </w:r>
    </w:p>
    <w:p w14:paraId="3E4D33CF" w14:textId="77777777" w:rsidR="0047635B" w:rsidRDefault="0047635B"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p>
    <w:p w14:paraId="51C24E8B" w14:textId="6BEFFCBE" w:rsidR="0047635B" w:rsidRDefault="007C3215" w:rsidP="00EC7B12">
      <w:pPr>
        <w:suppressLineNumbers/>
        <w:shd w:val="clear" w:color="auto" w:fill="FFFFFF"/>
        <w:spacing w:before="100" w:beforeAutospacing="1" w:after="360" w:line="240" w:lineRule="auto"/>
        <w:ind w:firstLine="567"/>
        <w:contextualSpacing/>
        <w:jc w:val="both"/>
        <w:rPr>
          <w:rFonts w:ascii="Book Antiqua" w:hAnsi="Book Antiqua"/>
          <w:sz w:val="24"/>
          <w:szCs w:val="24"/>
          <w:lang w:val="es-ES"/>
        </w:rPr>
      </w:pPr>
      <w:r>
        <w:rPr>
          <w:rFonts w:ascii="Book Antiqua" w:hAnsi="Book Antiqua"/>
          <w:sz w:val="24"/>
          <w:szCs w:val="24"/>
          <w:lang w:val="es-ES"/>
        </w:rPr>
        <w:t>Por todo lo cual, e</w:t>
      </w:r>
      <w:r w:rsidR="00307A25" w:rsidRPr="00EF6662">
        <w:rPr>
          <w:rFonts w:ascii="Book Antiqua" w:hAnsi="Book Antiqua"/>
          <w:sz w:val="24"/>
          <w:szCs w:val="24"/>
          <w:lang w:val="es-ES"/>
        </w:rPr>
        <w:t>s</w:t>
      </w:r>
      <w:r w:rsidR="00D05C2F" w:rsidRPr="00EF6662">
        <w:rPr>
          <w:rFonts w:ascii="Book Antiqua" w:hAnsi="Book Antiqua"/>
          <w:sz w:val="24"/>
          <w:szCs w:val="24"/>
          <w:lang w:val="es-ES"/>
        </w:rPr>
        <w:t xml:space="preserve">ta </w:t>
      </w:r>
      <w:r w:rsidR="00952098" w:rsidRPr="00720E6B">
        <w:rPr>
          <w:rFonts w:ascii="Book Antiqua" w:hAnsi="Book Antiqua"/>
          <w:sz w:val="24"/>
          <w:szCs w:val="24"/>
          <w:lang w:val="es-ES"/>
        </w:rPr>
        <w:t xml:space="preserve">Cámara de Representantes </w:t>
      </w:r>
      <w:r w:rsidR="005B5514" w:rsidRPr="00EF6662">
        <w:rPr>
          <w:rFonts w:ascii="Book Antiqua" w:hAnsi="Book Antiqua"/>
          <w:sz w:val="24"/>
          <w:szCs w:val="24"/>
          <w:lang w:val="es-ES"/>
        </w:rPr>
        <w:t>entiende</w:t>
      </w:r>
      <w:r w:rsidR="00307A25" w:rsidRPr="00EF6662">
        <w:rPr>
          <w:rFonts w:ascii="Book Antiqua" w:hAnsi="Book Antiqua"/>
          <w:sz w:val="24"/>
          <w:szCs w:val="24"/>
          <w:lang w:val="es-ES"/>
        </w:rPr>
        <w:t xml:space="preserve"> necesario</w:t>
      </w:r>
      <w:r w:rsidR="0047635B">
        <w:rPr>
          <w:rFonts w:ascii="Book Antiqua" w:hAnsi="Book Antiqua"/>
          <w:sz w:val="24"/>
          <w:szCs w:val="24"/>
          <w:lang w:val="es-ES"/>
        </w:rPr>
        <w:t xml:space="preserve"> e imperativo realizar una investigación </w:t>
      </w:r>
      <w:r w:rsidR="00B4198D">
        <w:rPr>
          <w:rFonts w:ascii="Book Antiqua" w:hAnsi="Book Antiqua"/>
          <w:sz w:val="24"/>
          <w:szCs w:val="24"/>
          <w:lang w:val="es-ES"/>
        </w:rPr>
        <w:t>exhaustiva</w:t>
      </w:r>
      <w:r w:rsidR="0047635B">
        <w:rPr>
          <w:rFonts w:ascii="Book Antiqua" w:hAnsi="Book Antiqua"/>
          <w:sz w:val="24"/>
          <w:szCs w:val="24"/>
          <w:lang w:val="es-ES"/>
        </w:rPr>
        <w:t xml:space="preserve"> sobre esta situación, en busca de una solución permanente para erradicar la disparidad salarial que ha permeado a nuestra sociedad por décadas</w:t>
      </w:r>
      <w:r w:rsidR="00B4198D" w:rsidRPr="00B4198D">
        <w:rPr>
          <w:rFonts w:ascii="Book Antiqua" w:hAnsi="Book Antiqua"/>
          <w:sz w:val="24"/>
          <w:szCs w:val="24"/>
          <w:lang w:val="es-ES"/>
        </w:rPr>
        <w:t xml:space="preserve"> </w:t>
      </w:r>
      <w:r w:rsidR="00B4198D">
        <w:rPr>
          <w:rFonts w:ascii="Book Antiqua" w:hAnsi="Book Antiqua"/>
          <w:sz w:val="24"/>
          <w:szCs w:val="24"/>
          <w:lang w:val="es-ES"/>
        </w:rPr>
        <w:t xml:space="preserve">en contra de </w:t>
      </w:r>
      <w:r w:rsidR="00E93050">
        <w:rPr>
          <w:rFonts w:ascii="Book Antiqua" w:hAnsi="Book Antiqua"/>
          <w:sz w:val="24"/>
          <w:szCs w:val="24"/>
          <w:lang w:val="es-ES"/>
        </w:rPr>
        <w:t>l</w:t>
      </w:r>
      <w:r w:rsidR="00B4198D">
        <w:rPr>
          <w:rFonts w:ascii="Book Antiqua" w:hAnsi="Book Antiqua"/>
          <w:sz w:val="24"/>
          <w:szCs w:val="24"/>
          <w:lang w:val="es-ES"/>
        </w:rPr>
        <w:t>as mujeres</w:t>
      </w:r>
      <w:r w:rsidR="0047635B">
        <w:rPr>
          <w:rFonts w:ascii="Book Antiqua" w:hAnsi="Book Antiqua"/>
          <w:sz w:val="24"/>
          <w:szCs w:val="24"/>
          <w:lang w:val="es-ES"/>
        </w:rPr>
        <w:t>.</w:t>
      </w:r>
    </w:p>
    <w:p w14:paraId="4E54BD25" w14:textId="77777777" w:rsidR="0047635B" w:rsidRDefault="0047635B" w:rsidP="00A80567">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6CDFDD9A"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952098">
        <w:rPr>
          <w:rFonts w:ascii="Book Antiqua" w:hAnsi="Book Antiqua"/>
          <w:i/>
          <w:sz w:val="24"/>
          <w:szCs w:val="24"/>
          <w:lang w:val="es-ES_tradnl"/>
        </w:rPr>
        <w:t>CÁMARA DE REPRESENTANTES</w:t>
      </w:r>
      <w:r w:rsidR="00952098" w:rsidRPr="001600D4">
        <w:rPr>
          <w:rFonts w:ascii="Book Antiqua" w:hAnsi="Book Antiqua"/>
          <w:i/>
          <w:sz w:val="24"/>
          <w:szCs w:val="24"/>
          <w:lang w:val="es-ES_tradnl"/>
        </w:rPr>
        <w:t xml:space="preserve"> </w:t>
      </w:r>
      <w:r w:rsidR="008000CF" w:rsidRPr="001600D4">
        <w:rPr>
          <w:rFonts w:ascii="Book Antiqua" w:hAnsi="Book Antiqua"/>
          <w:i/>
          <w:sz w:val="24"/>
          <w:szCs w:val="24"/>
          <w:lang w:val="es-ES_tradnl"/>
        </w:rPr>
        <w:t>DE PUERTO RICO:</w:t>
      </w:r>
    </w:p>
    <w:p w14:paraId="4AC3D9E0" w14:textId="2F7BDB99" w:rsidR="008B5329" w:rsidRDefault="00571A4A" w:rsidP="00EC7B12">
      <w:pPr>
        <w:spacing w:after="0" w:line="480" w:lineRule="auto"/>
        <w:ind w:firstLine="567"/>
        <w:contextualSpacing/>
        <w:jc w:val="both"/>
        <w:rPr>
          <w:rFonts w:ascii="Book Antiqua" w:hAnsi="Book Antiqua"/>
          <w:sz w:val="24"/>
          <w:szCs w:val="24"/>
          <w:lang w:val="es-ES_tradnl"/>
        </w:rPr>
      </w:pPr>
      <w:r w:rsidRPr="00905689">
        <w:rPr>
          <w:rFonts w:ascii="Book Antiqua" w:hAnsi="Book Antiqua"/>
          <w:sz w:val="24"/>
          <w:szCs w:val="24"/>
          <w:lang w:val="es-ES"/>
        </w:rPr>
        <w:t>Sección 1.-</w:t>
      </w:r>
      <w:bookmarkStart w:id="0" w:name="OLE_LINK9"/>
      <w:bookmarkStart w:id="1" w:name="OLE_LINK10"/>
      <w:bookmarkStart w:id="2" w:name="OLE_LINK7"/>
      <w:bookmarkStart w:id="3" w:name="OLE_LINK8"/>
      <w:r w:rsidR="00455962" w:rsidRPr="00905689">
        <w:rPr>
          <w:rFonts w:ascii="Book Antiqua" w:eastAsia="Batang" w:hAnsi="Book Antiqua"/>
          <w:sz w:val="24"/>
          <w:szCs w:val="24"/>
          <w:lang w:val="es-ES_tradnl"/>
        </w:rPr>
        <w:t xml:space="preserve">Se </w:t>
      </w:r>
      <w:r w:rsidR="00455962" w:rsidRPr="00905689">
        <w:rPr>
          <w:rFonts w:ascii="Book Antiqua" w:eastAsia="Batang" w:hAnsi="Book Antiqua"/>
          <w:sz w:val="24"/>
          <w:szCs w:val="24"/>
          <w:lang w:val="es-PR"/>
        </w:rPr>
        <w:t xml:space="preserve">ordena </w:t>
      </w:r>
      <w:bookmarkEnd w:id="0"/>
      <w:bookmarkEnd w:id="1"/>
      <w:bookmarkEnd w:id="2"/>
      <w:bookmarkEnd w:id="3"/>
      <w:r w:rsidR="00455962" w:rsidRPr="00905689">
        <w:rPr>
          <w:rFonts w:ascii="Book Antiqua" w:eastAsia="Batang" w:hAnsi="Book Antiqua"/>
          <w:sz w:val="24"/>
          <w:szCs w:val="24"/>
          <w:lang w:val="es-PR"/>
        </w:rPr>
        <w:t xml:space="preserve">a la </w:t>
      </w:r>
      <w:r w:rsidR="00E37C03" w:rsidRPr="00EB4368">
        <w:rPr>
          <w:rFonts w:ascii="Book Antiqua" w:eastAsia="Batang" w:hAnsi="Book Antiqua"/>
          <w:sz w:val="24"/>
          <w:szCs w:val="24"/>
          <w:lang w:val="es-PR"/>
        </w:rPr>
        <w:t>C</w:t>
      </w:r>
      <w:r w:rsidR="00455962" w:rsidRPr="00EB4368">
        <w:rPr>
          <w:rFonts w:ascii="Book Antiqua" w:eastAsia="Batang" w:hAnsi="Book Antiqua"/>
          <w:sz w:val="24"/>
          <w:szCs w:val="24"/>
          <w:lang w:val="es-PR"/>
        </w:rPr>
        <w:t>omisi</w:t>
      </w:r>
      <w:r w:rsidR="00E37C03" w:rsidRPr="00EB4368">
        <w:rPr>
          <w:rFonts w:ascii="Book Antiqua" w:eastAsia="Batang" w:hAnsi="Book Antiqua"/>
          <w:sz w:val="24"/>
          <w:szCs w:val="24"/>
          <w:lang w:val="es-PR"/>
        </w:rPr>
        <w:t>ón del</w:t>
      </w:r>
      <w:r w:rsidR="00302FAE">
        <w:rPr>
          <w:rFonts w:ascii="Book Antiqua" w:eastAsia="Batang" w:hAnsi="Book Antiqua"/>
          <w:sz w:val="24"/>
          <w:szCs w:val="24"/>
          <w:lang w:val="es-PR"/>
        </w:rPr>
        <w:t xml:space="preserve"> Trabajo y Asuntos Laborales </w:t>
      </w:r>
      <w:r w:rsidR="008B5329" w:rsidRPr="00334C56">
        <w:rPr>
          <w:rFonts w:ascii="Book Antiqua" w:hAnsi="Book Antiqua"/>
          <w:sz w:val="24"/>
          <w:szCs w:val="24"/>
          <w:lang w:val="es-ES_tradnl"/>
        </w:rPr>
        <w:t>de la Cámara de Representantes de Puerto Rico</w:t>
      </w:r>
      <w:r w:rsidR="00455962" w:rsidRPr="00905689">
        <w:rPr>
          <w:rFonts w:ascii="Book Antiqua" w:hAnsi="Book Antiqua"/>
          <w:sz w:val="24"/>
          <w:szCs w:val="24"/>
          <w:lang w:val="es-ES_tradnl"/>
        </w:rPr>
        <w:t xml:space="preserve"> </w:t>
      </w:r>
      <w:r w:rsidR="00302FAE" w:rsidRPr="00334C56">
        <w:rPr>
          <w:rFonts w:ascii="Book Antiqua" w:hAnsi="Book Antiqua"/>
          <w:sz w:val="24"/>
          <w:szCs w:val="24"/>
          <w:lang w:val="es-ES_tradnl"/>
        </w:rPr>
        <w:t>realizar una</w:t>
      </w:r>
      <w:r w:rsidR="00302FAE">
        <w:rPr>
          <w:rFonts w:ascii="Book Antiqua" w:hAnsi="Book Antiqua"/>
          <w:sz w:val="24"/>
          <w:szCs w:val="24"/>
          <w:lang w:val="es-ES_tradnl"/>
        </w:rPr>
        <w:t xml:space="preserve"> investigación abarcadora sobre la implantación y el cumplimiento con las disposiciones de la Ley 16-2017, conocida como </w:t>
      </w:r>
      <w:r w:rsidR="00302FAE">
        <w:rPr>
          <w:rFonts w:ascii="Book Antiqua" w:hAnsi="Book Antiqua"/>
          <w:sz w:val="24"/>
          <w:szCs w:val="24"/>
          <w:lang w:val="es-ES"/>
        </w:rPr>
        <w:t>“Ley de Igualdad Salarial de Puerto Rico”</w:t>
      </w:r>
      <w:r w:rsidR="001A49BA">
        <w:rPr>
          <w:rFonts w:ascii="Book Antiqua" w:hAnsi="Book Antiqua"/>
          <w:sz w:val="24"/>
          <w:szCs w:val="24"/>
          <w:lang w:val="es-ES"/>
        </w:rPr>
        <w:t>.</w:t>
      </w:r>
    </w:p>
    <w:p w14:paraId="0240CB99" w14:textId="61DE90D0" w:rsidR="00B17544" w:rsidRDefault="008B1908" w:rsidP="00EC7B12">
      <w:pPr>
        <w:spacing w:line="480" w:lineRule="auto"/>
        <w:ind w:firstLine="567"/>
        <w:contextualSpacing/>
        <w:jc w:val="both"/>
        <w:rPr>
          <w:rFonts w:ascii="Book Antiqua" w:hAnsi="Book Antiqua"/>
          <w:sz w:val="24"/>
          <w:szCs w:val="24"/>
          <w:lang w:val="es-ES_tradnl"/>
        </w:rPr>
      </w:pPr>
      <w:r w:rsidRPr="00447487">
        <w:rPr>
          <w:rFonts w:ascii="Book Antiqua" w:hAnsi="Book Antiqua"/>
          <w:sz w:val="24"/>
          <w:szCs w:val="24"/>
          <w:lang w:val="es-PR"/>
        </w:rPr>
        <w:t>Sección 2.-</w:t>
      </w:r>
      <w:r w:rsidR="00E37C03" w:rsidRPr="00447487">
        <w:rPr>
          <w:rFonts w:ascii="Book Antiqua" w:hAnsi="Book Antiqua"/>
          <w:sz w:val="24"/>
          <w:szCs w:val="24"/>
          <w:lang w:val="es-ES_tradnl"/>
        </w:rPr>
        <w:t xml:space="preserve">La </w:t>
      </w:r>
      <w:r w:rsidR="00E37C03">
        <w:rPr>
          <w:rFonts w:ascii="Book Antiqua" w:hAnsi="Book Antiqua"/>
          <w:sz w:val="24"/>
          <w:szCs w:val="24"/>
          <w:lang w:val="es-ES_tradnl"/>
        </w:rPr>
        <w:t>C</w:t>
      </w:r>
      <w:r w:rsidR="00E37C03" w:rsidRPr="00447487">
        <w:rPr>
          <w:rFonts w:ascii="Book Antiqua" w:hAnsi="Book Antiqua"/>
          <w:sz w:val="24"/>
          <w:szCs w:val="24"/>
          <w:lang w:val="es-ES_tradnl"/>
        </w:rPr>
        <w:t>omisi</w:t>
      </w:r>
      <w:r w:rsidR="00E37C03">
        <w:rPr>
          <w:rFonts w:ascii="Book Antiqua" w:hAnsi="Book Antiqua"/>
          <w:sz w:val="24"/>
          <w:szCs w:val="24"/>
          <w:lang w:val="es-ES_tradnl"/>
        </w:rPr>
        <w:t>ón</w:t>
      </w:r>
      <w:r w:rsidR="00E37C03" w:rsidRPr="00447487">
        <w:rPr>
          <w:rFonts w:ascii="Book Antiqua" w:hAnsi="Book Antiqua"/>
          <w:sz w:val="24"/>
          <w:szCs w:val="24"/>
          <w:lang w:val="es-ES_tradnl"/>
        </w:rPr>
        <w:t>, a los efectos de cumplir con lo dispuesto en esta Resolución, podrá realizar requerimiento</w:t>
      </w:r>
      <w:r w:rsidR="00E37C03">
        <w:rPr>
          <w:rFonts w:ascii="Book Antiqua" w:hAnsi="Book Antiqua"/>
          <w:sz w:val="24"/>
          <w:szCs w:val="24"/>
          <w:lang w:val="es-ES_tradnl"/>
        </w:rPr>
        <w:t xml:space="preserve">s, solicitudes de información </w:t>
      </w:r>
      <w:r w:rsidR="00E37C03" w:rsidRPr="00447487">
        <w:rPr>
          <w:rFonts w:ascii="Book Antiqua" w:hAnsi="Book Antiqua"/>
          <w:sz w:val="24"/>
          <w:szCs w:val="24"/>
          <w:lang w:val="es-ES_tradnl"/>
        </w:rPr>
        <w:t xml:space="preserve">o de producción de documentos, citaciones, reuniones, </w:t>
      </w:r>
      <w:r w:rsidR="00E37C03">
        <w:rPr>
          <w:rFonts w:ascii="Book Antiqua" w:hAnsi="Book Antiqua"/>
          <w:sz w:val="24"/>
          <w:szCs w:val="24"/>
          <w:lang w:val="es-ES_tradnl"/>
        </w:rPr>
        <w:t xml:space="preserve">vistas oculares, </w:t>
      </w:r>
      <w:r w:rsidR="00E37C03" w:rsidRPr="00447487">
        <w:rPr>
          <w:rFonts w:ascii="Book Antiqua" w:hAnsi="Book Antiqua"/>
          <w:sz w:val="24"/>
          <w:szCs w:val="24"/>
          <w:lang w:val="es-ES_tradnl"/>
        </w:rPr>
        <w:t xml:space="preserve">así como podrá realizar cualquier </w:t>
      </w:r>
      <w:r w:rsidR="00E37C03">
        <w:rPr>
          <w:rFonts w:ascii="Book Antiqua" w:hAnsi="Book Antiqua"/>
          <w:sz w:val="24"/>
          <w:szCs w:val="24"/>
          <w:lang w:val="es-ES_tradnl"/>
        </w:rPr>
        <w:t>otra gestión</w:t>
      </w:r>
      <w:r w:rsidR="00E37C03" w:rsidRPr="00447487">
        <w:rPr>
          <w:rFonts w:ascii="Book Antiqua" w:hAnsi="Book Antiqua"/>
          <w:sz w:val="24"/>
          <w:szCs w:val="24"/>
          <w:lang w:val="es-ES_tradnl"/>
        </w:rPr>
        <w:t xml:space="preserve"> que entienda pertinente y se encuentre bajo el alcance de la investigación de esta Resolución</w:t>
      </w:r>
      <w:r w:rsidR="006F41E6">
        <w:rPr>
          <w:rFonts w:ascii="Book Antiqua" w:hAnsi="Book Antiqua"/>
          <w:sz w:val="24"/>
          <w:szCs w:val="24"/>
          <w:lang w:val="es-ES_tradnl"/>
        </w:rPr>
        <w:t>.</w:t>
      </w:r>
    </w:p>
    <w:p w14:paraId="06B9E60E" w14:textId="29C58322" w:rsidR="00B4198D" w:rsidRDefault="00B4198D" w:rsidP="00EC7B12">
      <w:pPr>
        <w:spacing w:line="480" w:lineRule="auto"/>
        <w:ind w:firstLine="567"/>
        <w:contextualSpacing/>
        <w:jc w:val="both"/>
        <w:rPr>
          <w:rFonts w:ascii="Times New Roman" w:hAnsi="Times New Roman" w:cs="Times New Roman"/>
          <w:sz w:val="24"/>
          <w:szCs w:val="24"/>
          <w:lang w:val="es-PR"/>
        </w:rPr>
      </w:pPr>
      <w:r>
        <w:rPr>
          <w:rFonts w:ascii="Book Antiqua" w:hAnsi="Book Antiqua"/>
          <w:sz w:val="24"/>
          <w:szCs w:val="24"/>
          <w:lang w:val="es-PR"/>
        </w:rPr>
        <w:lastRenderedPageBreak/>
        <w:t>Sección 3.</w:t>
      </w:r>
      <w:r w:rsidR="000B30E0">
        <w:rPr>
          <w:rFonts w:ascii="Book Antiqua" w:hAnsi="Book Antiqua"/>
          <w:sz w:val="24"/>
          <w:szCs w:val="24"/>
          <w:lang w:val="es-PR"/>
        </w:rPr>
        <w:t>-La</w:t>
      </w:r>
      <w:r>
        <w:rPr>
          <w:rFonts w:ascii="Book Antiqua" w:hAnsi="Book Antiqua"/>
          <w:sz w:val="24"/>
          <w:szCs w:val="24"/>
          <w:lang w:val="es-PR"/>
        </w:rPr>
        <w:t xml:space="preserve"> Comisión recomendará los mecanismos, la legislación o enmiendas a la Ley 16-2017, o a cualquier otra ley relacionada, que entienda pertinente para encaminar una </w:t>
      </w:r>
      <w:r w:rsidR="00E93050">
        <w:rPr>
          <w:rFonts w:ascii="Book Antiqua" w:hAnsi="Book Antiqua"/>
          <w:sz w:val="24"/>
          <w:szCs w:val="24"/>
          <w:lang w:val="es-PR"/>
        </w:rPr>
        <w:t>solución final en cuanto a</w:t>
      </w:r>
      <w:r>
        <w:rPr>
          <w:rFonts w:ascii="Book Antiqua" w:hAnsi="Book Antiqua"/>
          <w:sz w:val="24"/>
          <w:szCs w:val="24"/>
          <w:lang w:val="es-PR"/>
        </w:rPr>
        <w:t xml:space="preserve"> la disparidad salarial que afecta a </w:t>
      </w:r>
      <w:r w:rsidR="002F25D0">
        <w:rPr>
          <w:rFonts w:ascii="Book Antiqua" w:hAnsi="Book Antiqua"/>
          <w:sz w:val="24"/>
          <w:szCs w:val="24"/>
          <w:lang w:val="es-PR"/>
        </w:rPr>
        <w:t>nuestras mujeres</w:t>
      </w:r>
      <w:r>
        <w:rPr>
          <w:rFonts w:ascii="Book Antiqua" w:hAnsi="Book Antiqua"/>
          <w:sz w:val="24"/>
          <w:szCs w:val="24"/>
          <w:lang w:val="es-PR"/>
        </w:rPr>
        <w:t>.</w:t>
      </w:r>
    </w:p>
    <w:p w14:paraId="602ED01E" w14:textId="6568843F" w:rsidR="00D01B4F" w:rsidRDefault="008B1908" w:rsidP="00EC7B12">
      <w:pPr>
        <w:spacing w:line="480" w:lineRule="auto"/>
        <w:ind w:firstLine="567"/>
        <w:contextualSpacing/>
        <w:jc w:val="both"/>
        <w:rPr>
          <w:rFonts w:ascii="Book Antiqua" w:hAnsi="Book Antiqua"/>
          <w:sz w:val="24"/>
          <w:szCs w:val="24"/>
          <w:lang w:val="es-ES_tradnl"/>
        </w:rPr>
      </w:pPr>
      <w:r w:rsidRPr="00447487">
        <w:rPr>
          <w:rFonts w:ascii="Book Antiqua" w:hAnsi="Book Antiqua"/>
          <w:sz w:val="24"/>
          <w:szCs w:val="24"/>
          <w:lang w:val="es-PR"/>
        </w:rPr>
        <w:t xml:space="preserve">Sección </w:t>
      </w:r>
      <w:r w:rsidR="00B4198D">
        <w:rPr>
          <w:rFonts w:ascii="Book Antiqua" w:hAnsi="Book Antiqua"/>
          <w:sz w:val="24"/>
          <w:szCs w:val="24"/>
          <w:lang w:val="es-PR"/>
        </w:rPr>
        <w:t>4</w:t>
      </w:r>
      <w:r w:rsidRPr="00447487">
        <w:rPr>
          <w:rFonts w:ascii="Book Antiqua" w:hAnsi="Book Antiqua"/>
          <w:sz w:val="24"/>
          <w:szCs w:val="24"/>
          <w:lang w:val="es-PR"/>
        </w:rPr>
        <w:t>.-</w:t>
      </w:r>
      <w:r w:rsidR="00E37C03">
        <w:rPr>
          <w:rFonts w:ascii="Book Antiqua" w:hAnsi="Book Antiqua"/>
          <w:sz w:val="24"/>
          <w:szCs w:val="24"/>
          <w:lang w:val="es-PR"/>
        </w:rPr>
        <w:t>La Comisión rendirá un i</w:t>
      </w:r>
      <w:r w:rsidR="00E37C03" w:rsidRPr="00447487">
        <w:rPr>
          <w:rFonts w:ascii="Book Antiqua" w:hAnsi="Book Antiqua"/>
          <w:sz w:val="24"/>
          <w:szCs w:val="24"/>
          <w:lang w:val="es-PR"/>
        </w:rPr>
        <w:t>nforme con sus hallazgos, conclusiones y recomendaciones, no más tarde de ciento ochenta (180) días siguientes a la aprobación de esta Resolución</w:t>
      </w:r>
      <w:r w:rsidR="003665D9">
        <w:rPr>
          <w:rFonts w:ascii="Book Antiqua" w:eastAsia="Times New Roman" w:hAnsi="Book Antiqua" w:cs="Times New Roman"/>
          <w:color w:val="222222"/>
          <w:sz w:val="24"/>
          <w:szCs w:val="24"/>
          <w:lang w:val="es-ES_tradnl"/>
        </w:rPr>
        <w:t>.</w:t>
      </w:r>
    </w:p>
    <w:p w14:paraId="29113445" w14:textId="3004B9FD" w:rsidR="00F045C8" w:rsidRDefault="00A159EB" w:rsidP="00EC7B12">
      <w:pPr>
        <w:spacing w:line="480" w:lineRule="auto"/>
        <w:ind w:firstLine="567"/>
        <w:contextualSpacing/>
        <w:jc w:val="both"/>
        <w:rPr>
          <w:rFonts w:ascii="Book Antiqua" w:hAnsi="Book Antiqua"/>
          <w:sz w:val="24"/>
          <w:szCs w:val="24"/>
          <w:lang w:val="es-ES_tradnl"/>
        </w:rPr>
      </w:pPr>
      <w:r w:rsidRPr="00A159EB">
        <w:rPr>
          <w:rFonts w:ascii="Book Antiqua" w:hAnsi="Book Antiqua"/>
          <w:sz w:val="24"/>
          <w:szCs w:val="24"/>
          <w:lang w:val="es-PR"/>
        </w:rPr>
        <w:t>Sección</w:t>
      </w:r>
      <w:r>
        <w:rPr>
          <w:rFonts w:ascii="Book Antiqua" w:hAnsi="Book Antiqua"/>
          <w:sz w:val="24"/>
          <w:szCs w:val="24"/>
          <w:lang w:val="es-PR"/>
        </w:rPr>
        <w:t xml:space="preserve"> </w:t>
      </w:r>
      <w:r w:rsidR="00B4198D">
        <w:rPr>
          <w:rFonts w:ascii="Book Antiqua" w:hAnsi="Book Antiqua"/>
          <w:sz w:val="24"/>
          <w:szCs w:val="24"/>
          <w:lang w:val="es-PR"/>
        </w:rPr>
        <w:t>5</w:t>
      </w:r>
      <w:r>
        <w:rPr>
          <w:rFonts w:ascii="Book Antiqua" w:hAnsi="Book Antiqua"/>
          <w:sz w:val="24"/>
          <w:szCs w:val="24"/>
          <w:lang w:val="es-PR"/>
        </w:rPr>
        <w:t>.-</w:t>
      </w:r>
      <w:r w:rsidR="00EC7B12">
        <w:rPr>
          <w:rFonts w:ascii="Book Antiqua" w:hAnsi="Book Antiqua"/>
          <w:sz w:val="24"/>
          <w:szCs w:val="24"/>
          <w:lang w:val="es-PR"/>
        </w:rPr>
        <w:t>E</w:t>
      </w:r>
      <w:r w:rsidR="00E37C03" w:rsidRPr="00447487">
        <w:rPr>
          <w:rFonts w:ascii="Book Antiqua" w:hAnsi="Book Antiqua"/>
          <w:sz w:val="24"/>
          <w:szCs w:val="24"/>
          <w:lang w:val="es-PR"/>
        </w:rPr>
        <w:t>sta Resolución entrará en vigor inmediatamente después de su aprobación</w:t>
      </w:r>
      <w:r w:rsidR="00E37C03">
        <w:rPr>
          <w:rFonts w:ascii="Book Antiqua" w:hAnsi="Book Antiqua"/>
          <w:sz w:val="24"/>
          <w:szCs w:val="24"/>
          <w:lang w:val="es-PR"/>
        </w:rPr>
        <w:t>.</w:t>
      </w:r>
    </w:p>
    <w:sectPr w:rsidR="00F045C8" w:rsidSect="00FB6AAA">
      <w:headerReference w:type="defaul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3E323" w14:textId="77777777" w:rsidR="008302D2" w:rsidRDefault="008302D2" w:rsidP="00316E72">
      <w:pPr>
        <w:spacing w:after="0" w:line="240" w:lineRule="auto"/>
      </w:pPr>
      <w:r>
        <w:separator/>
      </w:r>
    </w:p>
  </w:endnote>
  <w:endnote w:type="continuationSeparator" w:id="0">
    <w:p w14:paraId="0D6B2F70" w14:textId="77777777" w:rsidR="008302D2" w:rsidRDefault="008302D2"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9D73C" w14:textId="77777777" w:rsidR="008302D2" w:rsidRDefault="008302D2" w:rsidP="00316E72">
      <w:pPr>
        <w:spacing w:after="0" w:line="240" w:lineRule="auto"/>
      </w:pPr>
      <w:r>
        <w:separator/>
      </w:r>
    </w:p>
  </w:footnote>
  <w:footnote w:type="continuationSeparator" w:id="0">
    <w:p w14:paraId="21FCC7B5" w14:textId="77777777" w:rsidR="008302D2" w:rsidRDefault="008302D2" w:rsidP="00316E72">
      <w:pPr>
        <w:spacing w:after="0" w:line="240" w:lineRule="auto"/>
      </w:pPr>
      <w:r>
        <w:continuationSeparator/>
      </w:r>
    </w:p>
  </w:footnote>
  <w:footnote w:id="1">
    <w:p w14:paraId="7FFBCFAF" w14:textId="02892735" w:rsidR="003B031F" w:rsidRPr="004362F0" w:rsidRDefault="003B031F" w:rsidP="004362F0">
      <w:pPr>
        <w:pStyle w:val="Textonotapie"/>
        <w:jc w:val="both"/>
        <w:rPr>
          <w:rFonts w:ascii="Book Antiqua" w:hAnsi="Book Antiqua"/>
          <w:lang w:val="es-ES_tradnl"/>
        </w:rPr>
      </w:pPr>
      <w:r w:rsidRPr="004362F0">
        <w:rPr>
          <w:rStyle w:val="Refdenotaalpie"/>
          <w:rFonts w:ascii="Book Antiqua" w:hAnsi="Book Antiqua"/>
        </w:rPr>
        <w:footnoteRef/>
      </w:r>
      <w:r w:rsidRPr="004362F0">
        <w:rPr>
          <w:rFonts w:ascii="Book Antiqua" w:hAnsi="Book Antiqua"/>
        </w:rPr>
        <w:t xml:space="preserve"> Women Who Lead. (2024). </w:t>
      </w:r>
      <w:r w:rsidRPr="004362F0">
        <w:rPr>
          <w:rFonts w:ascii="Book Antiqua" w:hAnsi="Book Antiqua"/>
          <w:i/>
          <w:iCs/>
        </w:rPr>
        <w:t>2024: Equal Pay Report</w:t>
      </w:r>
      <w:r w:rsidRPr="004362F0">
        <w:rPr>
          <w:rFonts w:ascii="Book Antiqua" w:hAnsi="Book Antiqua"/>
        </w:rPr>
        <w:t xml:space="preserve">. </w:t>
      </w:r>
      <w:r w:rsidRPr="004362F0">
        <w:rPr>
          <w:rFonts w:ascii="Book Antiqua" w:hAnsi="Book Antiqua"/>
          <w:lang w:val="es-ES_tradnl"/>
        </w:rPr>
        <w:t>Recuperado de https://trabajo.pr.gov/docs/Libreria_Laboral/Informe%20Equidad%20Salarial%20enPuerto20%PR%Rico%2002024/PRDOL%20-%20Equal%%20Pay%20PR%202024%20Women%20Who%20Lead.pdf.</w:t>
      </w:r>
    </w:p>
  </w:footnote>
  <w:footnote w:id="2">
    <w:p w14:paraId="5AB1A826" w14:textId="28CEEE6E" w:rsidR="003B031F" w:rsidRPr="004362F0" w:rsidRDefault="003B031F" w:rsidP="004362F0">
      <w:pPr>
        <w:pStyle w:val="Textonotapie"/>
        <w:jc w:val="both"/>
        <w:rPr>
          <w:rFonts w:ascii="Book Antiqua" w:hAnsi="Book Antiqua"/>
          <w:lang w:val="es-ES_tradnl"/>
        </w:rPr>
      </w:pPr>
      <w:r w:rsidRPr="004362F0">
        <w:rPr>
          <w:rStyle w:val="Refdenotaalpie"/>
          <w:rFonts w:ascii="Book Antiqua" w:hAnsi="Book Antiqua"/>
        </w:rPr>
        <w:footnoteRef/>
      </w:r>
      <w:r w:rsidRPr="0014676B">
        <w:rPr>
          <w:rFonts w:ascii="Book Antiqua" w:hAnsi="Book Antiqua"/>
        </w:rPr>
        <w:t xml:space="preserve"> Abexus Analytics. </w:t>
      </w:r>
      <w:r w:rsidRPr="004362F0">
        <w:rPr>
          <w:rFonts w:ascii="Book Antiqua" w:hAnsi="Book Antiqua"/>
        </w:rPr>
        <w:t xml:space="preserve">(n.d.) </w:t>
      </w:r>
      <w:r w:rsidRPr="004362F0">
        <w:rPr>
          <w:rFonts w:ascii="Book Antiqua" w:hAnsi="Book Antiqua"/>
          <w:i/>
          <w:iCs/>
        </w:rPr>
        <w:t>Measuring the Gender Wage Gap in Puerto Rico</w:t>
      </w:r>
      <w:r w:rsidRPr="004362F0">
        <w:rPr>
          <w:rFonts w:ascii="Book Antiqua" w:hAnsi="Book Antiqua"/>
        </w:rPr>
        <w:t xml:space="preserve">. </w:t>
      </w:r>
      <w:r w:rsidRPr="004362F0">
        <w:rPr>
          <w:rFonts w:ascii="Book Antiqua" w:hAnsi="Book Antiqua"/>
          <w:lang w:val="es-ES_tradnl"/>
        </w:rPr>
        <w:t>Recuperado de https://trabajo.pr.gov/docs/Libreria_Laboral/Informe%20Equidad%20Salarial%20en%20Puerto%20Rico%202024/PRDOL%20-%20Gender%20Wage%20Gap%20ABEXUS.pdf</w:t>
      </w:r>
    </w:p>
  </w:footnote>
  <w:footnote w:id="3">
    <w:p w14:paraId="50BE7498" w14:textId="6E07726D" w:rsidR="003B031F" w:rsidRPr="004362F0" w:rsidRDefault="003B031F">
      <w:pPr>
        <w:pStyle w:val="Textonotapie"/>
        <w:rPr>
          <w:rFonts w:ascii="Book Antiqua" w:hAnsi="Book Antiqua"/>
          <w:lang w:val="es-ES_tradnl"/>
        </w:rPr>
      </w:pPr>
      <w:r w:rsidRPr="004362F0">
        <w:rPr>
          <w:rStyle w:val="Refdenotaalpie"/>
          <w:rFonts w:ascii="Book Antiqua" w:hAnsi="Book Antiqua"/>
        </w:rPr>
        <w:footnoteRef/>
      </w:r>
      <w:r w:rsidRPr="004362F0">
        <w:rPr>
          <w:rFonts w:ascii="Book Antiqua" w:hAnsi="Book Antiqua"/>
          <w:lang w:val="es-ES_tradnl"/>
        </w:rPr>
        <w:t xml:space="preserve"> El Vocero. (2024, </w:t>
      </w:r>
      <w:proofErr w:type="gramStart"/>
      <w:r w:rsidRPr="004362F0">
        <w:rPr>
          <w:rFonts w:ascii="Book Antiqua" w:hAnsi="Book Antiqua"/>
          <w:lang w:val="es-ES_tradnl"/>
        </w:rPr>
        <w:t>Septiembre</w:t>
      </w:r>
      <w:proofErr w:type="gramEnd"/>
      <w:r w:rsidRPr="004362F0">
        <w:rPr>
          <w:rFonts w:ascii="Book Antiqua" w:hAnsi="Book Antiqua"/>
          <w:lang w:val="es-ES_tradnl"/>
        </w:rPr>
        <w:t xml:space="preserve"> 5). </w:t>
      </w:r>
      <w:r w:rsidRPr="004362F0">
        <w:rPr>
          <w:rFonts w:ascii="Book Antiqua" w:hAnsi="Book Antiqua"/>
          <w:i/>
          <w:iCs/>
          <w:lang w:val="es-ES_tradnl"/>
        </w:rPr>
        <w:t>Nuevo informe: Mujeres pueden ganar $4,000 menos que un hombre por las mismas tareas</w:t>
      </w:r>
      <w:r w:rsidRPr="004362F0">
        <w:rPr>
          <w:rFonts w:ascii="Book Antiqua" w:hAnsi="Book Antiqua"/>
          <w:lang w:val="es-ES_tradnl"/>
        </w:rPr>
        <w:t xml:space="preserve">.  Recuperado de </w:t>
      </w:r>
      <w:r w:rsidR="004362F0" w:rsidRPr="004362F0">
        <w:rPr>
          <w:rFonts w:ascii="Book Antiqua" w:hAnsi="Book Antiqua"/>
          <w:lang w:val="es-ES_tradnl"/>
        </w:rPr>
        <w:t>https://www.elvocero.com/economia/nuevo-informe-mujeres-pueden-ganar-4-000-menos-que-un-hombre-por-las-mismas-tareas/article_bb3c5766-6b98-11ef-9406-b38171f6563b.html.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C264B">
      <w:rPr>
        <w:rStyle w:val="Nmerodepgina"/>
        <w:noProof/>
      </w:rPr>
      <w:t>4</w:t>
    </w:r>
    <w:r>
      <w:rPr>
        <w:rStyle w:val="Nmerodepgina"/>
      </w:rPr>
      <w:fldChar w:fldCharType="end"/>
    </w:r>
  </w:p>
  <w:p w14:paraId="254A02A5" w14:textId="77777777" w:rsidR="00EA5D31" w:rsidRDefault="00EA5D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71086F"/>
    <w:multiLevelType w:val="hybridMultilevel"/>
    <w:tmpl w:val="60F4C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32C7FC6"/>
    <w:multiLevelType w:val="hybridMultilevel"/>
    <w:tmpl w:val="C30AE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161729">
    <w:abstractNumId w:val="14"/>
  </w:num>
  <w:num w:numId="2" w16cid:durableId="1274560353">
    <w:abstractNumId w:val="37"/>
  </w:num>
  <w:num w:numId="3" w16cid:durableId="1262490172">
    <w:abstractNumId w:val="27"/>
  </w:num>
  <w:num w:numId="4" w16cid:durableId="1651597552">
    <w:abstractNumId w:val="21"/>
  </w:num>
  <w:num w:numId="5" w16cid:durableId="378407330">
    <w:abstractNumId w:val="36"/>
  </w:num>
  <w:num w:numId="6" w16cid:durableId="526793475">
    <w:abstractNumId w:val="26"/>
  </w:num>
  <w:num w:numId="7" w16cid:durableId="1997489785">
    <w:abstractNumId w:val="16"/>
  </w:num>
  <w:num w:numId="8" w16cid:durableId="605775167">
    <w:abstractNumId w:val="12"/>
  </w:num>
  <w:num w:numId="9" w16cid:durableId="1492526451">
    <w:abstractNumId w:val="31"/>
  </w:num>
  <w:num w:numId="10" w16cid:durableId="121046979">
    <w:abstractNumId w:val="25"/>
  </w:num>
  <w:num w:numId="11" w16cid:durableId="1937514516">
    <w:abstractNumId w:val="5"/>
  </w:num>
  <w:num w:numId="12" w16cid:durableId="405030857">
    <w:abstractNumId w:val="19"/>
  </w:num>
  <w:num w:numId="13" w16cid:durableId="154224584">
    <w:abstractNumId w:val="32"/>
  </w:num>
  <w:num w:numId="14" w16cid:durableId="597064620">
    <w:abstractNumId w:val="20"/>
  </w:num>
  <w:num w:numId="15" w16cid:durableId="574434241">
    <w:abstractNumId w:val="33"/>
  </w:num>
  <w:num w:numId="16" w16cid:durableId="451099752">
    <w:abstractNumId w:val="17"/>
  </w:num>
  <w:num w:numId="17" w16cid:durableId="347026420">
    <w:abstractNumId w:val="7"/>
  </w:num>
  <w:num w:numId="18" w16cid:durableId="742459053">
    <w:abstractNumId w:val="18"/>
  </w:num>
  <w:num w:numId="19" w16cid:durableId="520046809">
    <w:abstractNumId w:val="28"/>
  </w:num>
  <w:num w:numId="20" w16cid:durableId="681853963">
    <w:abstractNumId w:val="34"/>
  </w:num>
  <w:num w:numId="21" w16cid:durableId="1646817781">
    <w:abstractNumId w:val="23"/>
  </w:num>
  <w:num w:numId="22" w16cid:durableId="1294292584">
    <w:abstractNumId w:val="1"/>
  </w:num>
  <w:num w:numId="23" w16cid:durableId="2116705325">
    <w:abstractNumId w:val="24"/>
  </w:num>
  <w:num w:numId="24" w16cid:durableId="23407155">
    <w:abstractNumId w:val="2"/>
  </w:num>
  <w:num w:numId="25" w16cid:durableId="291401352">
    <w:abstractNumId w:val="4"/>
  </w:num>
  <w:num w:numId="26" w16cid:durableId="1888298355">
    <w:abstractNumId w:val="0"/>
  </w:num>
  <w:num w:numId="27" w16cid:durableId="1395738317">
    <w:abstractNumId w:val="15"/>
  </w:num>
  <w:num w:numId="28" w16cid:durableId="1506939037">
    <w:abstractNumId w:val="35"/>
  </w:num>
  <w:num w:numId="29" w16cid:durableId="546187202">
    <w:abstractNumId w:val="10"/>
  </w:num>
  <w:num w:numId="30" w16cid:durableId="1308165964">
    <w:abstractNumId w:val="6"/>
  </w:num>
  <w:num w:numId="31" w16cid:durableId="483543413">
    <w:abstractNumId w:val="22"/>
  </w:num>
  <w:num w:numId="32" w16cid:durableId="1736932243">
    <w:abstractNumId w:val="13"/>
  </w:num>
  <w:num w:numId="33" w16cid:durableId="1028216630">
    <w:abstractNumId w:val="29"/>
  </w:num>
  <w:num w:numId="34" w16cid:durableId="82993386">
    <w:abstractNumId w:val="30"/>
  </w:num>
  <w:num w:numId="35" w16cid:durableId="1744404454">
    <w:abstractNumId w:val="11"/>
  </w:num>
  <w:num w:numId="36" w16cid:durableId="1556549840">
    <w:abstractNumId w:val="9"/>
  </w:num>
  <w:num w:numId="37" w16cid:durableId="1555047533">
    <w:abstractNumId w:val="8"/>
  </w:num>
  <w:num w:numId="38" w16cid:durableId="211886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0CC"/>
    <w:rsid w:val="00010DDA"/>
    <w:rsid w:val="000177C9"/>
    <w:rsid w:val="00017C54"/>
    <w:rsid w:val="00020AC7"/>
    <w:rsid w:val="0002125E"/>
    <w:rsid w:val="00025B2F"/>
    <w:rsid w:val="00027B9F"/>
    <w:rsid w:val="00034609"/>
    <w:rsid w:val="00036D38"/>
    <w:rsid w:val="00041FC4"/>
    <w:rsid w:val="0004551C"/>
    <w:rsid w:val="0005114E"/>
    <w:rsid w:val="000523EB"/>
    <w:rsid w:val="00056A91"/>
    <w:rsid w:val="00057F70"/>
    <w:rsid w:val="00061752"/>
    <w:rsid w:val="00061CA2"/>
    <w:rsid w:val="00062BE6"/>
    <w:rsid w:val="00064144"/>
    <w:rsid w:val="00067EFB"/>
    <w:rsid w:val="00075C7B"/>
    <w:rsid w:val="000776AD"/>
    <w:rsid w:val="00081008"/>
    <w:rsid w:val="000835FB"/>
    <w:rsid w:val="00095B38"/>
    <w:rsid w:val="00096B77"/>
    <w:rsid w:val="00096E0F"/>
    <w:rsid w:val="000A276C"/>
    <w:rsid w:val="000A3D82"/>
    <w:rsid w:val="000B2C62"/>
    <w:rsid w:val="000B30E0"/>
    <w:rsid w:val="000B465F"/>
    <w:rsid w:val="000C10F9"/>
    <w:rsid w:val="000C28D1"/>
    <w:rsid w:val="000C2D50"/>
    <w:rsid w:val="000C3D6A"/>
    <w:rsid w:val="000C4814"/>
    <w:rsid w:val="000C4E06"/>
    <w:rsid w:val="000C719D"/>
    <w:rsid w:val="000D2B20"/>
    <w:rsid w:val="000E036B"/>
    <w:rsid w:val="000E7507"/>
    <w:rsid w:val="000F181D"/>
    <w:rsid w:val="000F4C93"/>
    <w:rsid w:val="0010205F"/>
    <w:rsid w:val="00107710"/>
    <w:rsid w:val="00112BD6"/>
    <w:rsid w:val="00116216"/>
    <w:rsid w:val="001218F8"/>
    <w:rsid w:val="00121BC9"/>
    <w:rsid w:val="00121D33"/>
    <w:rsid w:val="00121DC1"/>
    <w:rsid w:val="0012328D"/>
    <w:rsid w:val="00132091"/>
    <w:rsid w:val="00137360"/>
    <w:rsid w:val="0013751D"/>
    <w:rsid w:val="00141FF5"/>
    <w:rsid w:val="0014676B"/>
    <w:rsid w:val="00147BA2"/>
    <w:rsid w:val="00153A2E"/>
    <w:rsid w:val="00156995"/>
    <w:rsid w:val="001600D4"/>
    <w:rsid w:val="00166CC9"/>
    <w:rsid w:val="00171A56"/>
    <w:rsid w:val="00175E97"/>
    <w:rsid w:val="00177B5A"/>
    <w:rsid w:val="00181889"/>
    <w:rsid w:val="00183762"/>
    <w:rsid w:val="0018584C"/>
    <w:rsid w:val="00185FF3"/>
    <w:rsid w:val="00186415"/>
    <w:rsid w:val="001A49BA"/>
    <w:rsid w:val="001B06EA"/>
    <w:rsid w:val="001B1F13"/>
    <w:rsid w:val="001B41FD"/>
    <w:rsid w:val="001B4BCB"/>
    <w:rsid w:val="001C2455"/>
    <w:rsid w:val="001C264B"/>
    <w:rsid w:val="001C3CDE"/>
    <w:rsid w:val="001C4685"/>
    <w:rsid w:val="001C4B3C"/>
    <w:rsid w:val="001C4B9F"/>
    <w:rsid w:val="001C4E6F"/>
    <w:rsid w:val="001D022F"/>
    <w:rsid w:val="001D5923"/>
    <w:rsid w:val="001E1BEE"/>
    <w:rsid w:val="001E1D93"/>
    <w:rsid w:val="001E32F3"/>
    <w:rsid w:val="001F6239"/>
    <w:rsid w:val="001F6BC5"/>
    <w:rsid w:val="00206F19"/>
    <w:rsid w:val="00212593"/>
    <w:rsid w:val="00215546"/>
    <w:rsid w:val="00215D4F"/>
    <w:rsid w:val="00215DA5"/>
    <w:rsid w:val="00217003"/>
    <w:rsid w:val="00223272"/>
    <w:rsid w:val="0022512B"/>
    <w:rsid w:val="002260E1"/>
    <w:rsid w:val="002277C7"/>
    <w:rsid w:val="00231B9D"/>
    <w:rsid w:val="002322C4"/>
    <w:rsid w:val="002332B3"/>
    <w:rsid w:val="0024348F"/>
    <w:rsid w:val="002436DB"/>
    <w:rsid w:val="00244EEB"/>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2F25D0"/>
    <w:rsid w:val="00300191"/>
    <w:rsid w:val="003020A6"/>
    <w:rsid w:val="003025C1"/>
    <w:rsid w:val="00302FAE"/>
    <w:rsid w:val="00307A25"/>
    <w:rsid w:val="003133A4"/>
    <w:rsid w:val="00314515"/>
    <w:rsid w:val="00316E72"/>
    <w:rsid w:val="00334C56"/>
    <w:rsid w:val="00336C51"/>
    <w:rsid w:val="00336E3C"/>
    <w:rsid w:val="003400C2"/>
    <w:rsid w:val="0034268F"/>
    <w:rsid w:val="00343F75"/>
    <w:rsid w:val="00344340"/>
    <w:rsid w:val="00345DD3"/>
    <w:rsid w:val="00351B54"/>
    <w:rsid w:val="003555DB"/>
    <w:rsid w:val="00360BAC"/>
    <w:rsid w:val="003665D9"/>
    <w:rsid w:val="00366E57"/>
    <w:rsid w:val="003741A4"/>
    <w:rsid w:val="0037455F"/>
    <w:rsid w:val="003752B1"/>
    <w:rsid w:val="00377378"/>
    <w:rsid w:val="003823F1"/>
    <w:rsid w:val="0038256A"/>
    <w:rsid w:val="0038325B"/>
    <w:rsid w:val="00383B22"/>
    <w:rsid w:val="00384BDA"/>
    <w:rsid w:val="00387671"/>
    <w:rsid w:val="003910A3"/>
    <w:rsid w:val="00396199"/>
    <w:rsid w:val="003A7121"/>
    <w:rsid w:val="003B031F"/>
    <w:rsid w:val="003B3664"/>
    <w:rsid w:val="003C0623"/>
    <w:rsid w:val="003C394D"/>
    <w:rsid w:val="003C7A67"/>
    <w:rsid w:val="003D1A47"/>
    <w:rsid w:val="003D1C28"/>
    <w:rsid w:val="003D2D7C"/>
    <w:rsid w:val="003D38EB"/>
    <w:rsid w:val="003D38F9"/>
    <w:rsid w:val="003D58C1"/>
    <w:rsid w:val="003E02DA"/>
    <w:rsid w:val="003E0D40"/>
    <w:rsid w:val="003E1AB8"/>
    <w:rsid w:val="003E1BBF"/>
    <w:rsid w:val="003E751D"/>
    <w:rsid w:val="003F085A"/>
    <w:rsid w:val="003F3495"/>
    <w:rsid w:val="003F6B84"/>
    <w:rsid w:val="003F7565"/>
    <w:rsid w:val="0040289E"/>
    <w:rsid w:val="00402A7F"/>
    <w:rsid w:val="00403BFC"/>
    <w:rsid w:val="0040597E"/>
    <w:rsid w:val="00406294"/>
    <w:rsid w:val="00407FB4"/>
    <w:rsid w:val="0042368D"/>
    <w:rsid w:val="004325A7"/>
    <w:rsid w:val="00432FA1"/>
    <w:rsid w:val="00434E08"/>
    <w:rsid w:val="004362F0"/>
    <w:rsid w:val="004365EB"/>
    <w:rsid w:val="004441AB"/>
    <w:rsid w:val="00447487"/>
    <w:rsid w:val="00455962"/>
    <w:rsid w:val="00456153"/>
    <w:rsid w:val="004606EB"/>
    <w:rsid w:val="0046151C"/>
    <w:rsid w:val="00463D02"/>
    <w:rsid w:val="00464686"/>
    <w:rsid w:val="004650D9"/>
    <w:rsid w:val="004658DB"/>
    <w:rsid w:val="004736DA"/>
    <w:rsid w:val="0047635B"/>
    <w:rsid w:val="00477CC9"/>
    <w:rsid w:val="00477E61"/>
    <w:rsid w:val="00482451"/>
    <w:rsid w:val="00482D3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F96"/>
    <w:rsid w:val="00520669"/>
    <w:rsid w:val="00525B0F"/>
    <w:rsid w:val="005336C1"/>
    <w:rsid w:val="00551FEF"/>
    <w:rsid w:val="00560177"/>
    <w:rsid w:val="00563389"/>
    <w:rsid w:val="00566685"/>
    <w:rsid w:val="00567B38"/>
    <w:rsid w:val="005703F4"/>
    <w:rsid w:val="00571A4A"/>
    <w:rsid w:val="005722BA"/>
    <w:rsid w:val="00575ABB"/>
    <w:rsid w:val="00576C85"/>
    <w:rsid w:val="00582638"/>
    <w:rsid w:val="005910C7"/>
    <w:rsid w:val="00596EA9"/>
    <w:rsid w:val="005A4D17"/>
    <w:rsid w:val="005A77C4"/>
    <w:rsid w:val="005B5514"/>
    <w:rsid w:val="005C051A"/>
    <w:rsid w:val="005C0855"/>
    <w:rsid w:val="005C0FD5"/>
    <w:rsid w:val="005C1AF4"/>
    <w:rsid w:val="005C28EE"/>
    <w:rsid w:val="005C3CB0"/>
    <w:rsid w:val="005C748A"/>
    <w:rsid w:val="005C75EA"/>
    <w:rsid w:val="005C7D40"/>
    <w:rsid w:val="005D5D53"/>
    <w:rsid w:val="005E11D4"/>
    <w:rsid w:val="005E38AE"/>
    <w:rsid w:val="005E7A39"/>
    <w:rsid w:val="005E7EAA"/>
    <w:rsid w:val="005F375D"/>
    <w:rsid w:val="005F56CB"/>
    <w:rsid w:val="0060122F"/>
    <w:rsid w:val="00601DB3"/>
    <w:rsid w:val="006031A0"/>
    <w:rsid w:val="00606891"/>
    <w:rsid w:val="0061051D"/>
    <w:rsid w:val="00620DAB"/>
    <w:rsid w:val="006352C6"/>
    <w:rsid w:val="006353C4"/>
    <w:rsid w:val="00642F2B"/>
    <w:rsid w:val="00650240"/>
    <w:rsid w:val="00651F81"/>
    <w:rsid w:val="006537FB"/>
    <w:rsid w:val="006562C7"/>
    <w:rsid w:val="006567CF"/>
    <w:rsid w:val="0065729B"/>
    <w:rsid w:val="0066135B"/>
    <w:rsid w:val="00665D12"/>
    <w:rsid w:val="00672325"/>
    <w:rsid w:val="0067311D"/>
    <w:rsid w:val="00677709"/>
    <w:rsid w:val="006853CB"/>
    <w:rsid w:val="006869B3"/>
    <w:rsid w:val="00696067"/>
    <w:rsid w:val="00697955"/>
    <w:rsid w:val="00697C9F"/>
    <w:rsid w:val="006A0FC1"/>
    <w:rsid w:val="006B3E46"/>
    <w:rsid w:val="006B4482"/>
    <w:rsid w:val="006B53B9"/>
    <w:rsid w:val="006C1842"/>
    <w:rsid w:val="006C6CBD"/>
    <w:rsid w:val="006E2832"/>
    <w:rsid w:val="006E3B2B"/>
    <w:rsid w:val="006E611A"/>
    <w:rsid w:val="006F3DF2"/>
    <w:rsid w:val="006F41E6"/>
    <w:rsid w:val="007036D0"/>
    <w:rsid w:val="00707FCE"/>
    <w:rsid w:val="0071153F"/>
    <w:rsid w:val="00711D37"/>
    <w:rsid w:val="007138C3"/>
    <w:rsid w:val="0071409E"/>
    <w:rsid w:val="0071749B"/>
    <w:rsid w:val="00722191"/>
    <w:rsid w:val="00722858"/>
    <w:rsid w:val="00722953"/>
    <w:rsid w:val="007239C3"/>
    <w:rsid w:val="00727054"/>
    <w:rsid w:val="0073057D"/>
    <w:rsid w:val="00731EFC"/>
    <w:rsid w:val="00733C76"/>
    <w:rsid w:val="00740D99"/>
    <w:rsid w:val="00742B87"/>
    <w:rsid w:val="00745C77"/>
    <w:rsid w:val="00750521"/>
    <w:rsid w:val="007510EE"/>
    <w:rsid w:val="007658BA"/>
    <w:rsid w:val="00767F72"/>
    <w:rsid w:val="007719B4"/>
    <w:rsid w:val="00772328"/>
    <w:rsid w:val="00772C8C"/>
    <w:rsid w:val="0077476E"/>
    <w:rsid w:val="007754D4"/>
    <w:rsid w:val="00783BB1"/>
    <w:rsid w:val="007931CC"/>
    <w:rsid w:val="00795CAE"/>
    <w:rsid w:val="007A4C2C"/>
    <w:rsid w:val="007B15FF"/>
    <w:rsid w:val="007B3861"/>
    <w:rsid w:val="007B7971"/>
    <w:rsid w:val="007C0EC2"/>
    <w:rsid w:val="007C3215"/>
    <w:rsid w:val="007C3E8E"/>
    <w:rsid w:val="007D3D34"/>
    <w:rsid w:val="007D7045"/>
    <w:rsid w:val="007E2C56"/>
    <w:rsid w:val="007E3CB7"/>
    <w:rsid w:val="007E3F4B"/>
    <w:rsid w:val="007E4271"/>
    <w:rsid w:val="007E6245"/>
    <w:rsid w:val="007F0F20"/>
    <w:rsid w:val="007F4EEC"/>
    <w:rsid w:val="008000CF"/>
    <w:rsid w:val="00803B84"/>
    <w:rsid w:val="008164AA"/>
    <w:rsid w:val="0081717C"/>
    <w:rsid w:val="00820375"/>
    <w:rsid w:val="008245F1"/>
    <w:rsid w:val="008302D2"/>
    <w:rsid w:val="0083097F"/>
    <w:rsid w:val="00830A5E"/>
    <w:rsid w:val="00832E72"/>
    <w:rsid w:val="008334DD"/>
    <w:rsid w:val="0083683B"/>
    <w:rsid w:val="00846A0E"/>
    <w:rsid w:val="00847E52"/>
    <w:rsid w:val="008503B7"/>
    <w:rsid w:val="00851A2C"/>
    <w:rsid w:val="0085490D"/>
    <w:rsid w:val="008620FB"/>
    <w:rsid w:val="00866639"/>
    <w:rsid w:val="00867D85"/>
    <w:rsid w:val="0087379A"/>
    <w:rsid w:val="00873ADE"/>
    <w:rsid w:val="0088219D"/>
    <w:rsid w:val="00882388"/>
    <w:rsid w:val="00883A66"/>
    <w:rsid w:val="00885ED9"/>
    <w:rsid w:val="008867F4"/>
    <w:rsid w:val="0089130B"/>
    <w:rsid w:val="0089195D"/>
    <w:rsid w:val="008928FB"/>
    <w:rsid w:val="008931D3"/>
    <w:rsid w:val="00896753"/>
    <w:rsid w:val="008A7DC1"/>
    <w:rsid w:val="008B1908"/>
    <w:rsid w:val="008B5329"/>
    <w:rsid w:val="008B58D1"/>
    <w:rsid w:val="008B6AFB"/>
    <w:rsid w:val="008C2B85"/>
    <w:rsid w:val="008C3B84"/>
    <w:rsid w:val="008D085F"/>
    <w:rsid w:val="008D0C81"/>
    <w:rsid w:val="008E2E78"/>
    <w:rsid w:val="008E673A"/>
    <w:rsid w:val="008E6787"/>
    <w:rsid w:val="008F34FE"/>
    <w:rsid w:val="008F3887"/>
    <w:rsid w:val="008F625C"/>
    <w:rsid w:val="008F69EB"/>
    <w:rsid w:val="00903F9F"/>
    <w:rsid w:val="0090405A"/>
    <w:rsid w:val="00904583"/>
    <w:rsid w:val="00905689"/>
    <w:rsid w:val="00907C6B"/>
    <w:rsid w:val="00914F5A"/>
    <w:rsid w:val="00915506"/>
    <w:rsid w:val="0093296C"/>
    <w:rsid w:val="00935A8D"/>
    <w:rsid w:val="00935DAF"/>
    <w:rsid w:val="0094183A"/>
    <w:rsid w:val="00942834"/>
    <w:rsid w:val="00942884"/>
    <w:rsid w:val="009509BF"/>
    <w:rsid w:val="00952098"/>
    <w:rsid w:val="00955591"/>
    <w:rsid w:val="00955752"/>
    <w:rsid w:val="009562FC"/>
    <w:rsid w:val="0096193F"/>
    <w:rsid w:val="00962408"/>
    <w:rsid w:val="00962B7F"/>
    <w:rsid w:val="0096300D"/>
    <w:rsid w:val="009674B6"/>
    <w:rsid w:val="0097036A"/>
    <w:rsid w:val="009712A0"/>
    <w:rsid w:val="009719CD"/>
    <w:rsid w:val="00975EC8"/>
    <w:rsid w:val="009907C0"/>
    <w:rsid w:val="00993209"/>
    <w:rsid w:val="00994B53"/>
    <w:rsid w:val="00994DD1"/>
    <w:rsid w:val="009A3EE0"/>
    <w:rsid w:val="009A6D62"/>
    <w:rsid w:val="009A7724"/>
    <w:rsid w:val="009A775F"/>
    <w:rsid w:val="009C018C"/>
    <w:rsid w:val="009C0937"/>
    <w:rsid w:val="009C0BA8"/>
    <w:rsid w:val="009C36F7"/>
    <w:rsid w:val="009C437B"/>
    <w:rsid w:val="009C76C0"/>
    <w:rsid w:val="009C796E"/>
    <w:rsid w:val="009D4197"/>
    <w:rsid w:val="009D5A42"/>
    <w:rsid w:val="009D671E"/>
    <w:rsid w:val="009D6D45"/>
    <w:rsid w:val="009F3DF9"/>
    <w:rsid w:val="00A00935"/>
    <w:rsid w:val="00A111DF"/>
    <w:rsid w:val="00A159EB"/>
    <w:rsid w:val="00A22CE8"/>
    <w:rsid w:val="00A23225"/>
    <w:rsid w:val="00A23459"/>
    <w:rsid w:val="00A26501"/>
    <w:rsid w:val="00A3096F"/>
    <w:rsid w:val="00A37109"/>
    <w:rsid w:val="00A44444"/>
    <w:rsid w:val="00A45D73"/>
    <w:rsid w:val="00A56EDE"/>
    <w:rsid w:val="00A579D0"/>
    <w:rsid w:val="00A60D36"/>
    <w:rsid w:val="00A64044"/>
    <w:rsid w:val="00A661FF"/>
    <w:rsid w:val="00A66715"/>
    <w:rsid w:val="00A66E79"/>
    <w:rsid w:val="00A70F29"/>
    <w:rsid w:val="00A7390A"/>
    <w:rsid w:val="00A74166"/>
    <w:rsid w:val="00A80567"/>
    <w:rsid w:val="00A82626"/>
    <w:rsid w:val="00A857AC"/>
    <w:rsid w:val="00A870D7"/>
    <w:rsid w:val="00A9012D"/>
    <w:rsid w:val="00A90400"/>
    <w:rsid w:val="00A91EF6"/>
    <w:rsid w:val="00A921EA"/>
    <w:rsid w:val="00A9549F"/>
    <w:rsid w:val="00AA4921"/>
    <w:rsid w:val="00AB1B33"/>
    <w:rsid w:val="00AB6BF1"/>
    <w:rsid w:val="00AC3B6A"/>
    <w:rsid w:val="00AC77F8"/>
    <w:rsid w:val="00AC7DAA"/>
    <w:rsid w:val="00AD0AF3"/>
    <w:rsid w:val="00AE2CD2"/>
    <w:rsid w:val="00AF2AB8"/>
    <w:rsid w:val="00AF4B1E"/>
    <w:rsid w:val="00AF6EED"/>
    <w:rsid w:val="00AF784D"/>
    <w:rsid w:val="00B023A5"/>
    <w:rsid w:val="00B0306A"/>
    <w:rsid w:val="00B046C9"/>
    <w:rsid w:val="00B04EC3"/>
    <w:rsid w:val="00B05729"/>
    <w:rsid w:val="00B06D7F"/>
    <w:rsid w:val="00B0719E"/>
    <w:rsid w:val="00B134A0"/>
    <w:rsid w:val="00B15B07"/>
    <w:rsid w:val="00B15DFC"/>
    <w:rsid w:val="00B17544"/>
    <w:rsid w:val="00B220A4"/>
    <w:rsid w:val="00B24A1C"/>
    <w:rsid w:val="00B254F0"/>
    <w:rsid w:val="00B257E8"/>
    <w:rsid w:val="00B25E9D"/>
    <w:rsid w:val="00B33FA0"/>
    <w:rsid w:val="00B3728B"/>
    <w:rsid w:val="00B40357"/>
    <w:rsid w:val="00B4198D"/>
    <w:rsid w:val="00B436D0"/>
    <w:rsid w:val="00B46291"/>
    <w:rsid w:val="00B46BC7"/>
    <w:rsid w:val="00B47E3E"/>
    <w:rsid w:val="00B516FD"/>
    <w:rsid w:val="00B51E7E"/>
    <w:rsid w:val="00B5332C"/>
    <w:rsid w:val="00B62BFF"/>
    <w:rsid w:val="00B70BBB"/>
    <w:rsid w:val="00B72B14"/>
    <w:rsid w:val="00B905A9"/>
    <w:rsid w:val="00B90E29"/>
    <w:rsid w:val="00B93A69"/>
    <w:rsid w:val="00BA35B9"/>
    <w:rsid w:val="00BB30C5"/>
    <w:rsid w:val="00BC5040"/>
    <w:rsid w:val="00BE0431"/>
    <w:rsid w:val="00BE3DF0"/>
    <w:rsid w:val="00BF0E40"/>
    <w:rsid w:val="00BF456F"/>
    <w:rsid w:val="00BF7539"/>
    <w:rsid w:val="00C02A46"/>
    <w:rsid w:val="00C031D8"/>
    <w:rsid w:val="00C05400"/>
    <w:rsid w:val="00C106A4"/>
    <w:rsid w:val="00C13B53"/>
    <w:rsid w:val="00C14599"/>
    <w:rsid w:val="00C15680"/>
    <w:rsid w:val="00C20607"/>
    <w:rsid w:val="00C20A2B"/>
    <w:rsid w:val="00C246D5"/>
    <w:rsid w:val="00C25057"/>
    <w:rsid w:val="00C25A8D"/>
    <w:rsid w:val="00C261E3"/>
    <w:rsid w:val="00C328C9"/>
    <w:rsid w:val="00C33FEA"/>
    <w:rsid w:val="00C36CC4"/>
    <w:rsid w:val="00C4033A"/>
    <w:rsid w:val="00C41C8B"/>
    <w:rsid w:val="00C42A3B"/>
    <w:rsid w:val="00C44198"/>
    <w:rsid w:val="00C474B3"/>
    <w:rsid w:val="00C47808"/>
    <w:rsid w:val="00C6085F"/>
    <w:rsid w:val="00C6155F"/>
    <w:rsid w:val="00C75856"/>
    <w:rsid w:val="00C80A5B"/>
    <w:rsid w:val="00C85017"/>
    <w:rsid w:val="00C9180C"/>
    <w:rsid w:val="00CA546A"/>
    <w:rsid w:val="00CB2559"/>
    <w:rsid w:val="00CB3884"/>
    <w:rsid w:val="00CB5EED"/>
    <w:rsid w:val="00CC4070"/>
    <w:rsid w:val="00CC5D84"/>
    <w:rsid w:val="00CD1D31"/>
    <w:rsid w:val="00CD24CF"/>
    <w:rsid w:val="00CE02DD"/>
    <w:rsid w:val="00CE0947"/>
    <w:rsid w:val="00CE14B4"/>
    <w:rsid w:val="00CF33B4"/>
    <w:rsid w:val="00CF4A00"/>
    <w:rsid w:val="00CF69E9"/>
    <w:rsid w:val="00D01B4F"/>
    <w:rsid w:val="00D02471"/>
    <w:rsid w:val="00D05C2F"/>
    <w:rsid w:val="00D07EA8"/>
    <w:rsid w:val="00D10F02"/>
    <w:rsid w:val="00D11673"/>
    <w:rsid w:val="00D11AB4"/>
    <w:rsid w:val="00D14864"/>
    <w:rsid w:val="00D15723"/>
    <w:rsid w:val="00D235BA"/>
    <w:rsid w:val="00D26D9C"/>
    <w:rsid w:val="00D36234"/>
    <w:rsid w:val="00D367E6"/>
    <w:rsid w:val="00D37937"/>
    <w:rsid w:val="00D44929"/>
    <w:rsid w:val="00D45194"/>
    <w:rsid w:val="00D51E07"/>
    <w:rsid w:val="00D54313"/>
    <w:rsid w:val="00D778D7"/>
    <w:rsid w:val="00D8371B"/>
    <w:rsid w:val="00D87333"/>
    <w:rsid w:val="00D87C30"/>
    <w:rsid w:val="00D91537"/>
    <w:rsid w:val="00D953F1"/>
    <w:rsid w:val="00D96C2B"/>
    <w:rsid w:val="00DA03E4"/>
    <w:rsid w:val="00DA298A"/>
    <w:rsid w:val="00DA4283"/>
    <w:rsid w:val="00DB3C04"/>
    <w:rsid w:val="00DB4A1F"/>
    <w:rsid w:val="00DB572C"/>
    <w:rsid w:val="00DB5919"/>
    <w:rsid w:val="00DC1AD3"/>
    <w:rsid w:val="00DC436D"/>
    <w:rsid w:val="00DD4BD4"/>
    <w:rsid w:val="00DD644B"/>
    <w:rsid w:val="00DE3AC1"/>
    <w:rsid w:val="00DE60B3"/>
    <w:rsid w:val="00DF1E05"/>
    <w:rsid w:val="00DF25BA"/>
    <w:rsid w:val="00E00A6E"/>
    <w:rsid w:val="00E01E1C"/>
    <w:rsid w:val="00E06A91"/>
    <w:rsid w:val="00E06BB9"/>
    <w:rsid w:val="00E11F98"/>
    <w:rsid w:val="00E122E5"/>
    <w:rsid w:val="00E17831"/>
    <w:rsid w:val="00E212C6"/>
    <w:rsid w:val="00E2308A"/>
    <w:rsid w:val="00E26D0B"/>
    <w:rsid w:val="00E363B5"/>
    <w:rsid w:val="00E37872"/>
    <w:rsid w:val="00E37C03"/>
    <w:rsid w:val="00E410A0"/>
    <w:rsid w:val="00E423C0"/>
    <w:rsid w:val="00E4322D"/>
    <w:rsid w:val="00E4453A"/>
    <w:rsid w:val="00E44DF3"/>
    <w:rsid w:val="00E4507A"/>
    <w:rsid w:val="00E50910"/>
    <w:rsid w:val="00E53BF8"/>
    <w:rsid w:val="00E60E5A"/>
    <w:rsid w:val="00E62BFD"/>
    <w:rsid w:val="00E6341C"/>
    <w:rsid w:val="00E659B0"/>
    <w:rsid w:val="00E6777B"/>
    <w:rsid w:val="00E713DD"/>
    <w:rsid w:val="00E72D53"/>
    <w:rsid w:val="00E72EB5"/>
    <w:rsid w:val="00E73451"/>
    <w:rsid w:val="00E92A0C"/>
    <w:rsid w:val="00E93050"/>
    <w:rsid w:val="00E94129"/>
    <w:rsid w:val="00EA02B0"/>
    <w:rsid w:val="00EA0C73"/>
    <w:rsid w:val="00EA4CCC"/>
    <w:rsid w:val="00EA56A3"/>
    <w:rsid w:val="00EA5D31"/>
    <w:rsid w:val="00EA657C"/>
    <w:rsid w:val="00EA6BFB"/>
    <w:rsid w:val="00EB2D15"/>
    <w:rsid w:val="00EB4368"/>
    <w:rsid w:val="00EB5120"/>
    <w:rsid w:val="00EB6A8F"/>
    <w:rsid w:val="00EB7706"/>
    <w:rsid w:val="00EB7C34"/>
    <w:rsid w:val="00EC0926"/>
    <w:rsid w:val="00EC1C93"/>
    <w:rsid w:val="00EC6016"/>
    <w:rsid w:val="00EC7B12"/>
    <w:rsid w:val="00ED0C6E"/>
    <w:rsid w:val="00ED24FA"/>
    <w:rsid w:val="00EE27FB"/>
    <w:rsid w:val="00EE2B04"/>
    <w:rsid w:val="00EE2DE9"/>
    <w:rsid w:val="00EF0CE0"/>
    <w:rsid w:val="00EF3162"/>
    <w:rsid w:val="00EF47C6"/>
    <w:rsid w:val="00EF54DA"/>
    <w:rsid w:val="00EF6662"/>
    <w:rsid w:val="00EF71AB"/>
    <w:rsid w:val="00F023DC"/>
    <w:rsid w:val="00F03C53"/>
    <w:rsid w:val="00F045C8"/>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03BC"/>
    <w:rsid w:val="00F44038"/>
    <w:rsid w:val="00F46F76"/>
    <w:rsid w:val="00F55601"/>
    <w:rsid w:val="00F607D7"/>
    <w:rsid w:val="00F65AB9"/>
    <w:rsid w:val="00F778E1"/>
    <w:rsid w:val="00F77DB9"/>
    <w:rsid w:val="00F900C2"/>
    <w:rsid w:val="00F91D8F"/>
    <w:rsid w:val="00F938CF"/>
    <w:rsid w:val="00F952CA"/>
    <w:rsid w:val="00F9624A"/>
    <w:rsid w:val="00FA0C10"/>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E2941596-B077-4C36-A2DB-2BCD37E3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 w:type="character" w:styleId="Mencinsinresolver">
    <w:name w:val="Unresolved Mention"/>
    <w:basedOn w:val="Fuentedeprrafopredeter"/>
    <w:uiPriority w:val="99"/>
    <w:semiHidden/>
    <w:unhideWhenUsed/>
    <w:rsid w:val="008D0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FE6D-6638-3F47-8598-4211AA70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3</cp:revision>
  <cp:lastPrinted>2025-02-10T13:26:00Z</cp:lastPrinted>
  <dcterms:created xsi:type="dcterms:W3CDTF">2025-02-07T18:46:00Z</dcterms:created>
  <dcterms:modified xsi:type="dcterms:W3CDTF">2025-02-10T13:26:00Z</dcterms:modified>
</cp:coreProperties>
</file>