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76675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6675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6675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76675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76675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66754">
        <w:rPr>
          <w:rFonts w:ascii="Book Antiqua" w:hAnsi="Book Antiqua"/>
          <w:szCs w:val="24"/>
          <w:lang w:val="es-ES_tradnl"/>
        </w:rPr>
        <w:t>20m</w:t>
      </w:r>
      <w:r w:rsidR="002670C1" w:rsidRPr="00766754">
        <w:rPr>
          <w:rFonts w:ascii="Book Antiqua" w:hAnsi="Book Antiqua"/>
          <w:szCs w:val="24"/>
          <w:lang w:val="es-ES_tradnl"/>
        </w:rPr>
        <w:t>a. Asamblea</w:t>
      </w:r>
      <w:r w:rsidR="002670C1" w:rsidRPr="0076675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6675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66754">
        <w:rPr>
          <w:rFonts w:ascii="Book Antiqua" w:hAnsi="Book Antiqua"/>
          <w:szCs w:val="24"/>
          <w:lang w:val="es-ES_tradnl"/>
        </w:rPr>
        <w:t xml:space="preserve">  </w:t>
      </w:r>
      <w:r w:rsidR="00445CFE" w:rsidRPr="00766754">
        <w:rPr>
          <w:rFonts w:ascii="Book Antiqua" w:hAnsi="Book Antiqua"/>
          <w:szCs w:val="24"/>
          <w:lang w:val="es-ES_tradnl"/>
        </w:rPr>
        <w:t>1r</w:t>
      </w:r>
      <w:r w:rsidR="002670C1" w:rsidRPr="0076675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76675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66754">
        <w:rPr>
          <w:rFonts w:ascii="Book Antiqua" w:hAnsi="Book Antiqua"/>
          <w:szCs w:val="24"/>
          <w:lang w:val="es-ES_tradnl"/>
        </w:rPr>
        <w:tab/>
        <w:t>Legislativa</w:t>
      </w:r>
      <w:r w:rsidRPr="0076675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66754">
        <w:rPr>
          <w:rFonts w:ascii="Book Antiqua" w:hAnsi="Book Antiqua"/>
          <w:szCs w:val="24"/>
          <w:lang w:val="es-ES_tradnl"/>
        </w:rPr>
        <w:t xml:space="preserve">       </w:t>
      </w:r>
      <w:r w:rsidRPr="00766754">
        <w:rPr>
          <w:rFonts w:ascii="Book Antiqua" w:hAnsi="Book Antiqua"/>
          <w:szCs w:val="24"/>
          <w:lang w:val="es-ES_tradnl"/>
        </w:rPr>
        <w:t xml:space="preserve"> </w:t>
      </w:r>
      <w:r w:rsidR="00632DBA" w:rsidRPr="00766754">
        <w:rPr>
          <w:rFonts w:ascii="Book Antiqua" w:hAnsi="Book Antiqua"/>
          <w:szCs w:val="24"/>
          <w:lang w:val="es-ES_tradnl"/>
        </w:rPr>
        <w:t xml:space="preserve"> </w:t>
      </w:r>
      <w:r w:rsidRPr="0076675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766754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76675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6675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76675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76675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BB538B2" w:rsidR="002670C1" w:rsidRPr="0076675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6675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E4619" w:rsidRPr="00766754">
        <w:rPr>
          <w:rFonts w:ascii="Book Antiqua" w:hAnsi="Book Antiqua" w:cs="Tahoma"/>
          <w:b/>
          <w:sz w:val="52"/>
          <w:szCs w:val="52"/>
          <w:lang w:val="es-ES_tradnl"/>
        </w:rPr>
        <w:t>152</w:t>
      </w:r>
    </w:p>
    <w:p w14:paraId="2AB71EBC" w14:textId="77777777" w:rsidR="001A14B6" w:rsidRPr="0076675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76675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6675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6675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76675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16AE4C4" w:rsidR="002670C1" w:rsidRPr="0076675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766754">
        <w:rPr>
          <w:rFonts w:ascii="Book Antiqua" w:hAnsi="Book Antiqua" w:cs="Tahoma"/>
          <w:lang w:val="es-ES_tradnl"/>
        </w:rPr>
        <w:t xml:space="preserve"> </w:t>
      </w:r>
      <w:r w:rsidR="006E4619" w:rsidRPr="00766754">
        <w:rPr>
          <w:rFonts w:ascii="Book Antiqua" w:hAnsi="Book Antiqua" w:cs="Tahoma"/>
          <w:lang w:val="es-ES_tradnl"/>
        </w:rPr>
        <w:t>2</w:t>
      </w:r>
      <w:r w:rsidRPr="00766754">
        <w:rPr>
          <w:rFonts w:ascii="Book Antiqua" w:hAnsi="Book Antiqua" w:cs="Tahoma"/>
          <w:lang w:val="es-ES_tradnl"/>
        </w:rPr>
        <w:t xml:space="preserve"> de </w:t>
      </w:r>
      <w:r w:rsidR="006E4619" w:rsidRPr="00766754">
        <w:rPr>
          <w:rFonts w:ascii="Book Antiqua" w:hAnsi="Book Antiqua" w:cs="Tahoma"/>
          <w:lang w:val="es-ES_tradnl"/>
        </w:rPr>
        <w:t>mayo</w:t>
      </w:r>
      <w:r w:rsidRPr="00766754">
        <w:rPr>
          <w:rFonts w:ascii="Book Antiqua" w:hAnsi="Book Antiqua" w:cs="Tahoma"/>
          <w:lang w:val="es-ES_tradnl"/>
        </w:rPr>
        <w:t xml:space="preserve"> de </w:t>
      </w:r>
      <w:r w:rsidR="00333864" w:rsidRPr="0076675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766754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766754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766754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66754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766754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C146A9A" w:rsidR="00682883" w:rsidRPr="00766754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766754">
        <w:rPr>
          <w:rFonts w:ascii="Book Antiqua" w:hAnsi="Book Antiqua" w:cs="Tahoma"/>
          <w:lang w:val="es-ES_tradnl"/>
        </w:rPr>
        <w:tab/>
      </w:r>
      <w:r w:rsidR="008A4022" w:rsidRPr="00766754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766754">
        <w:rPr>
          <w:rFonts w:ascii="Book Antiqua" w:hAnsi="Book Antiqua" w:cs="Tahoma"/>
          <w:lang w:val="es-ES_tradnl"/>
        </w:rPr>
        <w:t>sideración de la R. de la C.</w:t>
      </w:r>
      <w:r w:rsidR="006E4619" w:rsidRPr="00766754">
        <w:rPr>
          <w:rFonts w:ascii="Book Antiqua" w:hAnsi="Book Antiqua" w:cs="Tahoma"/>
          <w:lang w:val="es-ES_tradnl"/>
        </w:rPr>
        <w:t xml:space="preserve"> 152</w:t>
      </w:r>
      <w:r w:rsidR="00FA5F29" w:rsidRPr="00766754">
        <w:rPr>
          <w:rFonts w:ascii="Book Antiqua" w:hAnsi="Book Antiqua" w:cs="Tahoma"/>
          <w:lang w:val="es-ES_tradnl"/>
        </w:rPr>
        <w:t xml:space="preserve">, </w:t>
      </w:r>
      <w:r w:rsidR="00682883" w:rsidRPr="00766754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766754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766754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766754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3A33F84" w:rsidR="008D4A0A" w:rsidRPr="00766754" w:rsidRDefault="00BC1CB2" w:rsidP="006E4619">
      <w:pPr>
        <w:ind w:left="567" w:hanging="567"/>
        <w:jc w:val="both"/>
        <w:rPr>
          <w:rFonts w:ascii="Book Antiqua" w:hAnsi="Book Antiqua"/>
          <w:lang w:val="es-ES_tradnl"/>
        </w:rPr>
      </w:pPr>
      <w:r w:rsidRPr="00766754">
        <w:rPr>
          <w:rFonts w:ascii="Book Antiqua" w:hAnsi="Book Antiqua" w:cs="Tahoma"/>
          <w:lang w:val="es-ES_tradnl"/>
        </w:rPr>
        <w:t xml:space="preserve"> </w:t>
      </w:r>
      <w:r w:rsidR="00E86FF9" w:rsidRPr="00766754">
        <w:rPr>
          <w:rFonts w:ascii="Book Antiqua" w:hAnsi="Book Antiqua" w:cs="Tahoma"/>
          <w:lang w:val="es-ES_tradnl"/>
        </w:rPr>
        <w:t>“</w:t>
      </w:r>
      <w:r w:rsidR="00E86FF9" w:rsidRPr="00766754">
        <w:rPr>
          <w:rFonts w:ascii="Book Antiqua" w:hAnsi="Book Antiqua"/>
          <w:lang w:val="es-ES_tradnl"/>
        </w:rPr>
        <w:t>Para</w:t>
      </w:r>
      <w:r w:rsidR="00E86FF9" w:rsidRPr="0076675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766754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766754">
        <w:rPr>
          <w:rFonts w:ascii="Book Antiqua" w:hAnsi="Book Antiqua"/>
          <w:lang w:val="es-ES_tradnl"/>
        </w:rPr>
        <w:t xml:space="preserve">a la Comisión </w:t>
      </w:r>
      <w:r w:rsidR="00C321E8" w:rsidRPr="00766754">
        <w:rPr>
          <w:rFonts w:ascii="Book Antiqua" w:hAnsi="Book Antiqua"/>
          <w:lang w:val="es-ES_tradnl"/>
        </w:rPr>
        <w:t>de</w:t>
      </w:r>
      <w:r w:rsidR="00DF3E6F" w:rsidRPr="00766754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306FDF">
        <w:rPr>
          <w:rFonts w:ascii="Book Antiqua" w:hAnsi="Book Antiqua"/>
          <w:lang w:val="es-ES_tradnl"/>
        </w:rPr>
        <w:t xml:space="preserve">la Región Sur </w:t>
      </w:r>
      <w:r w:rsidR="006E4619" w:rsidRPr="00766754">
        <w:rPr>
          <w:rFonts w:ascii="Book Antiqua" w:hAnsi="Book Antiqua"/>
          <w:lang w:val="es-ES_tradnl"/>
        </w:rPr>
        <w:t xml:space="preserve">de la Cámara de Representantes de Puerto Rico realizar una investigación abarcadora sobre la viabilidad de integrar a los municipios de Cayey y Cidra en rutas de transporte colectivo hacia la zona metropolitana de San Juan, </w:t>
      </w:r>
      <w:r w:rsidR="006E4619" w:rsidRPr="00766754">
        <w:rPr>
          <w:rFonts w:ascii="Book Antiqua" w:hAnsi="Book Antiqua"/>
          <w:iCs/>
          <w:lang w:val="es-ES_tradnl"/>
        </w:rPr>
        <w:t>con el propósito de fomentar el desarrollo económico regional y optimizar las alternativas de transporte para sus residentes.</w:t>
      </w:r>
      <w:r w:rsidR="00FA5F29" w:rsidRPr="0076675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766754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76675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66754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76675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25EFB21" w14:textId="6F2361D8" w:rsidR="006E4619" w:rsidRPr="00766754" w:rsidRDefault="00DE02EB" w:rsidP="00ED2710">
      <w:pPr>
        <w:ind w:firstLine="708"/>
        <w:jc w:val="both"/>
        <w:rPr>
          <w:rFonts w:ascii="Book Antiqua" w:hAnsi="Book Antiqua"/>
          <w:lang w:val="es-ES_tradnl"/>
        </w:rPr>
      </w:pPr>
      <w:r w:rsidRPr="00766754">
        <w:rPr>
          <w:rFonts w:ascii="Book Antiqua" w:hAnsi="Book Antiqua"/>
          <w:lang w:val="es-ES_tradnl"/>
        </w:rPr>
        <w:t>La</w:t>
      </w:r>
      <w:r w:rsidR="00194744" w:rsidRPr="00766754">
        <w:rPr>
          <w:rFonts w:ascii="Book Antiqua" w:hAnsi="Book Antiqua"/>
          <w:lang w:val="es-ES_tradnl"/>
        </w:rPr>
        <w:t xml:space="preserve"> Resolución de la Cámara Núm.</w:t>
      </w:r>
      <w:r w:rsidR="000F1167" w:rsidRPr="00766754">
        <w:rPr>
          <w:rFonts w:ascii="Book Antiqua" w:hAnsi="Book Antiqua"/>
          <w:lang w:val="es-ES_tradnl"/>
        </w:rPr>
        <w:t xml:space="preserve"> </w:t>
      </w:r>
      <w:r w:rsidR="006E4619" w:rsidRPr="00766754">
        <w:rPr>
          <w:rFonts w:ascii="Book Antiqua" w:hAnsi="Book Antiqua"/>
          <w:lang w:val="es-ES_tradnl"/>
        </w:rPr>
        <w:t xml:space="preserve">152 </w:t>
      </w:r>
      <w:r w:rsidR="00DF3E6F" w:rsidRPr="00766754">
        <w:rPr>
          <w:rFonts w:ascii="Book Antiqua" w:hAnsi="Book Antiqua"/>
          <w:lang w:val="es-ES_tradnl"/>
        </w:rPr>
        <w:t xml:space="preserve">tiene el propósito de </w:t>
      </w:r>
      <w:r w:rsidR="006E4619" w:rsidRPr="00766754">
        <w:rPr>
          <w:rFonts w:ascii="Book Antiqua" w:hAnsi="Book Antiqua"/>
          <w:lang w:val="es-ES_tradnl"/>
        </w:rPr>
        <w:t>que la Comisión de Transportación e Infraestructura evalúe la posibilidad de extender las rutas de transporte colectivo hacia los municipios de Cayey y Cidra, con el fin de conectarlos con la zona metropolitana de San Juan.</w:t>
      </w:r>
    </w:p>
    <w:p w14:paraId="12342295" w14:textId="77777777" w:rsidR="006E4619" w:rsidRPr="00766754" w:rsidRDefault="006E4619" w:rsidP="006E4619">
      <w:pPr>
        <w:jc w:val="both"/>
        <w:rPr>
          <w:rFonts w:ascii="Book Antiqua" w:hAnsi="Book Antiqua"/>
          <w:lang w:val="es-ES_tradnl"/>
        </w:rPr>
      </w:pPr>
    </w:p>
    <w:p w14:paraId="20D4F0CA" w14:textId="08372DA3" w:rsidR="006E4619" w:rsidRPr="00766754" w:rsidRDefault="006E4619" w:rsidP="00ED2710">
      <w:pPr>
        <w:ind w:firstLine="708"/>
        <w:jc w:val="both"/>
        <w:rPr>
          <w:rFonts w:ascii="Book Antiqua" w:hAnsi="Book Antiqua"/>
          <w:lang w:val="es-ES_tradnl"/>
        </w:rPr>
      </w:pPr>
      <w:r w:rsidRPr="00766754">
        <w:rPr>
          <w:rFonts w:ascii="Book Antiqua" w:hAnsi="Book Antiqua"/>
          <w:lang w:val="es-ES_tradnl"/>
        </w:rPr>
        <w:t>En su Exposición de Motivos, se destaca la importancia del transporte colectivo como motor de desarrollo económico y de integración social, especialmente en regiones con alto potencial de crecimiento como la zona central del país. La medida reconoce el rezago en conectividad de Cayey y Cidra en comparación con otros municipios como Caguas, que ya cuenta con una ruta directa hacia la capital.</w:t>
      </w:r>
    </w:p>
    <w:p w14:paraId="05E78832" w14:textId="6C17D63C" w:rsidR="00DF3E6F" w:rsidRPr="00766754" w:rsidRDefault="006E4619" w:rsidP="00ED2710">
      <w:pPr>
        <w:ind w:firstLine="708"/>
        <w:jc w:val="both"/>
        <w:rPr>
          <w:rFonts w:ascii="Book Antiqua" w:hAnsi="Book Antiqua"/>
          <w:lang w:val="es-ES_tradnl"/>
        </w:rPr>
      </w:pPr>
      <w:r w:rsidRPr="00766754">
        <w:rPr>
          <w:rFonts w:ascii="Book Antiqua" w:hAnsi="Book Antiqua"/>
          <w:lang w:val="es-ES_tradnl"/>
        </w:rPr>
        <w:lastRenderedPageBreak/>
        <w:t>Además, la medida se enmarca en los esfuerzos de desarrollo regional y en la promoción de estrategias sostenibles para mejorar la movilidad ciudadana. Se resalta el respaldo de las autoridades municipales y la necesidad de identificar fuentes de financiamiento estatales y federales para posibles proyectos de transportación colectiva.</w:t>
      </w:r>
    </w:p>
    <w:p w14:paraId="68D01DEB" w14:textId="33C49CF6" w:rsidR="006150BB" w:rsidRPr="00766754" w:rsidRDefault="006150BB" w:rsidP="006E461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6675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4C9EEA5D" w:rsidR="006150BB" w:rsidRPr="00766754" w:rsidRDefault="006150BB" w:rsidP="00ED2710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766754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34703DCE" w14:textId="4F835EF0" w:rsidR="006150BB" w:rsidRPr="00766754" w:rsidRDefault="006150BB" w:rsidP="00ED2710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766754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2B623B" w:rsidRPr="00766754">
        <w:rPr>
          <w:rFonts w:ascii="Book Antiqua" w:hAnsi="Book Antiqua"/>
          <w:sz w:val="24"/>
          <w:szCs w:val="24"/>
          <w:lang w:val="es-ES_tradnl"/>
        </w:rPr>
        <w:t>152</w:t>
      </w:r>
      <w:r w:rsidR="00FC4A75" w:rsidRPr="00766754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76675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766754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766754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766754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76675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76675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76675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76675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76675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766754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766754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76675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76675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76675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766754">
        <w:rPr>
          <w:rFonts w:ascii="Book Antiqua" w:hAnsi="Book Antiqua" w:cs="Tahoma"/>
          <w:lang w:val="es-ES_tradnl"/>
        </w:rPr>
        <w:br/>
        <w:t>Presidente</w:t>
      </w:r>
      <w:r w:rsidRPr="0076675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76675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67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3920259">
    <w:abstractNumId w:val="6"/>
  </w:num>
  <w:num w:numId="2" w16cid:durableId="255789430">
    <w:abstractNumId w:val="12"/>
  </w:num>
  <w:num w:numId="3" w16cid:durableId="2059354148">
    <w:abstractNumId w:val="3"/>
  </w:num>
  <w:num w:numId="4" w16cid:durableId="1348366378">
    <w:abstractNumId w:val="1"/>
  </w:num>
  <w:num w:numId="5" w16cid:durableId="712071548">
    <w:abstractNumId w:val="7"/>
  </w:num>
  <w:num w:numId="6" w16cid:durableId="572085415">
    <w:abstractNumId w:val="4"/>
  </w:num>
  <w:num w:numId="7" w16cid:durableId="789930624">
    <w:abstractNumId w:val="5"/>
  </w:num>
  <w:num w:numId="8" w16cid:durableId="1843009053">
    <w:abstractNumId w:val="8"/>
  </w:num>
  <w:num w:numId="9" w16cid:durableId="1080566781">
    <w:abstractNumId w:val="9"/>
  </w:num>
  <w:num w:numId="10" w16cid:durableId="382022385">
    <w:abstractNumId w:val="0"/>
  </w:num>
  <w:num w:numId="11" w16cid:durableId="92669990">
    <w:abstractNumId w:val="2"/>
  </w:num>
  <w:num w:numId="12" w16cid:durableId="1345135328">
    <w:abstractNumId w:val="11"/>
  </w:num>
  <w:num w:numId="13" w16cid:durableId="17282635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B623B"/>
    <w:rsid w:val="002C39FD"/>
    <w:rsid w:val="002E3557"/>
    <w:rsid w:val="00306FDF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B0F83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6E4619"/>
    <w:rsid w:val="007106D1"/>
    <w:rsid w:val="00712D94"/>
    <w:rsid w:val="007156BD"/>
    <w:rsid w:val="00766754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2575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13B0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832A1"/>
    <w:rsid w:val="00DA3200"/>
    <w:rsid w:val="00DB261B"/>
    <w:rsid w:val="00DC4718"/>
    <w:rsid w:val="00DD5285"/>
    <w:rsid w:val="00DD725F"/>
    <w:rsid w:val="00DE02EB"/>
    <w:rsid w:val="00DE16BB"/>
    <w:rsid w:val="00DE1F3C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2710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1E3AB52-A22C-443B-BEE5-227C5AF9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2025-05-02T17:37:00Z</dcterms:created>
  <dcterms:modified xsi:type="dcterms:W3CDTF">2025-05-02T17:37:00Z</dcterms:modified>
</cp:coreProperties>
</file>