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606FDD" w14:textId="77777777" w:rsidR="002B53C5" w:rsidRPr="00DF7DC3" w:rsidRDefault="009E6186" w:rsidP="00FF1AD0">
      <w:pPr>
        <w:suppressLineNumbers/>
        <w:jc w:val="center"/>
        <w:rPr>
          <w:rFonts w:ascii="Book Antiqua" w:hAnsi="Book Antiqua" w:cs="Times New Roman"/>
          <w:sz w:val="28"/>
          <w:szCs w:val="28"/>
        </w:rPr>
      </w:pPr>
      <w:r w:rsidRPr="00DF7DC3">
        <w:rPr>
          <w:rFonts w:ascii="Book Antiqua" w:hAnsi="Book Antiqua" w:cs="Times New Roman"/>
          <w:sz w:val="28"/>
          <w:szCs w:val="28"/>
        </w:rPr>
        <w:t>GOBIERNO DE PUERTO RICO</w:t>
      </w:r>
    </w:p>
    <w:p w14:paraId="67B04B59" w14:textId="77777777" w:rsidR="009E6186" w:rsidRPr="00DF7DC3" w:rsidRDefault="009E6186" w:rsidP="00FF1AD0">
      <w:pPr>
        <w:suppressLineNumbers/>
        <w:rPr>
          <w:rFonts w:ascii="Book Antiqua" w:hAnsi="Book Antiqua" w:cs="Times New Roman"/>
        </w:rPr>
      </w:pPr>
    </w:p>
    <w:p w14:paraId="14677186" w14:textId="5F22A138" w:rsidR="00DF7DC3" w:rsidRPr="00DF7DC3" w:rsidRDefault="00DF7DC3" w:rsidP="00FF1AD0">
      <w:pPr>
        <w:suppressLineNumbers/>
        <w:rPr>
          <w:rFonts w:ascii="Book Antiqua" w:hAnsi="Book Antiqua" w:cs="Times New Roman"/>
        </w:rPr>
      </w:pPr>
      <w:r w:rsidRPr="00DF7DC3">
        <w:rPr>
          <w:rFonts w:ascii="Book Antiqua" w:hAnsi="Book Antiqua" w:cs="Times New Roman"/>
        </w:rPr>
        <w:t xml:space="preserve">20ma Asamblea </w:t>
      </w:r>
      <w:r>
        <w:rPr>
          <w:rFonts w:ascii="Book Antiqua" w:hAnsi="Book Antiqua" w:cs="Times New Roman"/>
        </w:rPr>
        <w:tab/>
      </w:r>
      <w:r>
        <w:rPr>
          <w:rFonts w:ascii="Book Antiqua" w:hAnsi="Book Antiqua" w:cs="Times New Roman"/>
        </w:rPr>
        <w:tab/>
      </w:r>
      <w:r>
        <w:rPr>
          <w:rFonts w:ascii="Book Antiqua" w:hAnsi="Book Antiqua" w:cs="Times New Roman"/>
        </w:rPr>
        <w:tab/>
      </w:r>
      <w:r>
        <w:rPr>
          <w:rFonts w:ascii="Book Antiqua" w:hAnsi="Book Antiqua" w:cs="Times New Roman"/>
        </w:rPr>
        <w:tab/>
      </w:r>
      <w:r>
        <w:rPr>
          <w:rFonts w:ascii="Book Antiqua" w:hAnsi="Book Antiqua" w:cs="Times New Roman"/>
        </w:rPr>
        <w:tab/>
      </w:r>
      <w:r>
        <w:rPr>
          <w:rFonts w:ascii="Book Antiqua" w:hAnsi="Book Antiqua" w:cs="Times New Roman"/>
        </w:rPr>
        <w:tab/>
      </w:r>
      <w:r>
        <w:rPr>
          <w:rFonts w:ascii="Book Antiqua" w:hAnsi="Book Antiqua" w:cs="Times New Roman"/>
        </w:rPr>
        <w:tab/>
      </w:r>
      <w:r>
        <w:rPr>
          <w:rFonts w:ascii="Book Antiqua" w:hAnsi="Book Antiqua" w:cs="Times New Roman"/>
        </w:rPr>
        <w:tab/>
      </w:r>
      <w:r>
        <w:rPr>
          <w:rFonts w:ascii="Book Antiqua" w:hAnsi="Book Antiqua" w:cs="Times New Roman"/>
        </w:rPr>
        <w:tab/>
      </w:r>
      <w:r w:rsidRPr="00DF7DC3">
        <w:rPr>
          <w:rFonts w:ascii="Book Antiqua" w:hAnsi="Book Antiqua" w:cs="Times New Roman"/>
        </w:rPr>
        <w:t>1ra Sesión</w:t>
      </w:r>
    </w:p>
    <w:p w14:paraId="49D3B313" w14:textId="6DB82130" w:rsidR="00DF7DC3" w:rsidRPr="00DF7DC3" w:rsidRDefault="00DF7DC3" w:rsidP="00FF1AD0">
      <w:pPr>
        <w:suppressLineNumbers/>
        <w:rPr>
          <w:rFonts w:ascii="Book Antiqua" w:hAnsi="Book Antiqua" w:cs="Times New Roman"/>
        </w:rPr>
      </w:pPr>
      <w:r w:rsidRPr="00DF7DC3">
        <w:rPr>
          <w:rFonts w:ascii="Book Antiqua" w:hAnsi="Book Antiqua" w:cs="Times New Roman"/>
        </w:rPr>
        <w:t xml:space="preserve">       </w:t>
      </w:r>
      <w:r>
        <w:rPr>
          <w:rFonts w:ascii="Book Antiqua" w:hAnsi="Book Antiqua" w:cs="Times New Roman"/>
        </w:rPr>
        <w:t xml:space="preserve">  </w:t>
      </w:r>
      <w:r w:rsidRPr="00DF7DC3">
        <w:rPr>
          <w:rFonts w:ascii="Book Antiqua" w:hAnsi="Book Antiqua" w:cs="Times New Roman"/>
        </w:rPr>
        <w:t xml:space="preserve"> Legislativa</w:t>
      </w:r>
      <w:r w:rsidRPr="00DF7DC3">
        <w:rPr>
          <w:rFonts w:ascii="Book Antiqua" w:hAnsi="Book Antiqua" w:cs="Times New Roman"/>
        </w:rPr>
        <w:tab/>
        <w:t xml:space="preserve">    </w:t>
      </w:r>
      <w:r>
        <w:rPr>
          <w:rFonts w:ascii="Book Antiqua" w:hAnsi="Book Antiqua" w:cs="Times New Roman"/>
        </w:rPr>
        <w:tab/>
      </w:r>
      <w:r>
        <w:rPr>
          <w:rFonts w:ascii="Book Antiqua" w:hAnsi="Book Antiqua" w:cs="Times New Roman"/>
        </w:rPr>
        <w:tab/>
      </w:r>
      <w:r>
        <w:rPr>
          <w:rFonts w:ascii="Book Antiqua" w:hAnsi="Book Antiqua" w:cs="Times New Roman"/>
        </w:rPr>
        <w:tab/>
      </w:r>
      <w:r>
        <w:rPr>
          <w:rFonts w:ascii="Book Antiqua" w:hAnsi="Book Antiqua" w:cs="Times New Roman"/>
        </w:rPr>
        <w:tab/>
      </w:r>
      <w:r>
        <w:rPr>
          <w:rFonts w:ascii="Book Antiqua" w:hAnsi="Book Antiqua" w:cs="Times New Roman"/>
        </w:rPr>
        <w:tab/>
      </w:r>
      <w:r>
        <w:rPr>
          <w:rFonts w:ascii="Book Antiqua" w:hAnsi="Book Antiqua" w:cs="Times New Roman"/>
        </w:rPr>
        <w:tab/>
      </w:r>
      <w:r>
        <w:rPr>
          <w:rFonts w:ascii="Book Antiqua" w:hAnsi="Book Antiqua" w:cs="Times New Roman"/>
        </w:rPr>
        <w:tab/>
      </w:r>
      <w:r>
        <w:rPr>
          <w:rFonts w:ascii="Book Antiqua" w:hAnsi="Book Antiqua" w:cs="Times New Roman"/>
        </w:rPr>
        <w:tab/>
        <w:t xml:space="preserve">      </w:t>
      </w:r>
      <w:r w:rsidRPr="00DF7DC3">
        <w:rPr>
          <w:rFonts w:ascii="Book Antiqua" w:hAnsi="Book Antiqua" w:cs="Times New Roman"/>
        </w:rPr>
        <w:t>Ordinaria</w:t>
      </w:r>
    </w:p>
    <w:p w14:paraId="5F7AE484" w14:textId="5989BE9C" w:rsidR="00DF7DC3" w:rsidRPr="00DF7DC3" w:rsidRDefault="00DF7DC3" w:rsidP="00FF1AD0">
      <w:pPr>
        <w:suppressLineNumbers/>
        <w:rPr>
          <w:rFonts w:ascii="Book Antiqua" w:hAnsi="Book Antiqua" w:cs="Times New Roman"/>
        </w:rPr>
      </w:pPr>
      <w:r w:rsidRPr="00DF7DC3">
        <w:rPr>
          <w:rFonts w:ascii="Book Antiqua" w:hAnsi="Book Antiqua" w:cs="Times New Roman"/>
        </w:rPr>
        <w:t xml:space="preserve">                                                 </w:t>
      </w:r>
    </w:p>
    <w:p w14:paraId="2F4DFE47" w14:textId="7CA9E85A" w:rsidR="009E6186" w:rsidRPr="00DF7DC3" w:rsidRDefault="00175AE5" w:rsidP="00FF1AD0">
      <w:pPr>
        <w:suppressLineNumbers/>
        <w:jc w:val="center"/>
        <w:rPr>
          <w:rFonts w:ascii="Book Antiqua" w:hAnsi="Book Antiqua" w:cs="Times New Roman"/>
          <w:b/>
          <w:bCs/>
          <w:sz w:val="36"/>
          <w:szCs w:val="36"/>
        </w:rPr>
      </w:pPr>
      <w:r w:rsidRPr="00DF7DC3">
        <w:rPr>
          <w:rFonts w:ascii="Book Antiqua" w:hAnsi="Book Antiqua" w:cs="Times New Roman"/>
          <w:b/>
          <w:bCs/>
          <w:sz w:val="36"/>
          <w:szCs w:val="36"/>
        </w:rPr>
        <w:t>CÁMARA DE REPRESENTANTES</w:t>
      </w:r>
    </w:p>
    <w:p w14:paraId="295A16E6" w14:textId="77777777" w:rsidR="009E6186" w:rsidRPr="00DF7DC3" w:rsidRDefault="009E6186" w:rsidP="00FF1AD0">
      <w:pPr>
        <w:suppressLineNumbers/>
        <w:rPr>
          <w:rFonts w:ascii="Book Antiqua" w:hAnsi="Book Antiqua" w:cs="Times New Roman"/>
        </w:rPr>
      </w:pPr>
    </w:p>
    <w:p w14:paraId="7973DB37" w14:textId="7C086B70" w:rsidR="00F304A6" w:rsidRPr="00DF7DC3" w:rsidRDefault="00175AE5" w:rsidP="00FF1AD0">
      <w:pPr>
        <w:suppressLineNumbers/>
        <w:jc w:val="center"/>
        <w:rPr>
          <w:rFonts w:ascii="Book Antiqua" w:hAnsi="Book Antiqua" w:cs="Times New Roman"/>
          <w:b/>
          <w:bCs/>
          <w:sz w:val="52"/>
          <w:szCs w:val="52"/>
        </w:rPr>
      </w:pPr>
      <w:r w:rsidRPr="00DF7DC3">
        <w:rPr>
          <w:rFonts w:ascii="Book Antiqua" w:hAnsi="Book Antiqua" w:cs="Times New Roman"/>
          <w:b/>
          <w:bCs/>
          <w:sz w:val="52"/>
          <w:szCs w:val="52"/>
        </w:rPr>
        <w:t>R. de la C.</w:t>
      </w:r>
      <w:r w:rsidR="00845D0E" w:rsidRPr="00DF7DC3">
        <w:rPr>
          <w:rFonts w:ascii="Book Antiqua" w:hAnsi="Book Antiqua" w:cs="Times New Roman"/>
          <w:b/>
          <w:bCs/>
          <w:sz w:val="52"/>
          <w:szCs w:val="52"/>
        </w:rPr>
        <w:t xml:space="preserve"> 153</w:t>
      </w:r>
    </w:p>
    <w:p w14:paraId="5FE75862" w14:textId="77777777" w:rsidR="00175AE5" w:rsidRPr="00DF7DC3" w:rsidRDefault="00175AE5" w:rsidP="00FF1AD0">
      <w:pPr>
        <w:suppressLineNumbers/>
        <w:jc w:val="center"/>
        <w:rPr>
          <w:rFonts w:ascii="Book Antiqua" w:hAnsi="Book Antiqua" w:cs="Times New Roman"/>
          <w:sz w:val="28"/>
          <w:szCs w:val="28"/>
        </w:rPr>
      </w:pPr>
    </w:p>
    <w:p w14:paraId="4E9A14FC" w14:textId="12C3FD9C" w:rsidR="00175AE5" w:rsidRPr="00DF7DC3" w:rsidRDefault="00DF7DC3" w:rsidP="00FF1AD0">
      <w:pPr>
        <w:suppressLineNumbers/>
        <w:jc w:val="center"/>
        <w:rPr>
          <w:rFonts w:ascii="Book Antiqua" w:hAnsi="Book Antiqua" w:cs="Times New Roman"/>
        </w:rPr>
      </w:pPr>
      <w:r w:rsidRPr="00DF7DC3">
        <w:rPr>
          <w:rFonts w:ascii="Book Antiqua" w:hAnsi="Book Antiqua" w:cs="Times New Roman"/>
        </w:rPr>
        <w:t>12 DE FEBRERO DE 2025</w:t>
      </w:r>
    </w:p>
    <w:p w14:paraId="602FC234" w14:textId="77777777" w:rsidR="009E6186" w:rsidRPr="00DF7DC3" w:rsidRDefault="009E6186" w:rsidP="00FF1AD0">
      <w:pPr>
        <w:suppressLineNumbers/>
        <w:rPr>
          <w:rFonts w:ascii="Book Antiqua" w:hAnsi="Book Antiqua" w:cs="Times New Roman"/>
        </w:rPr>
      </w:pPr>
    </w:p>
    <w:p w14:paraId="51ACE16E" w14:textId="0ABE2AB8" w:rsidR="009E6186" w:rsidRDefault="00175AE5" w:rsidP="00FF1AD0">
      <w:pPr>
        <w:suppressLineNumbers/>
        <w:jc w:val="center"/>
        <w:rPr>
          <w:rFonts w:ascii="Book Antiqua" w:hAnsi="Book Antiqua" w:cs="Times New Roman"/>
          <w:i/>
          <w:iCs/>
        </w:rPr>
      </w:pPr>
      <w:r w:rsidRPr="00DF7DC3">
        <w:rPr>
          <w:rFonts w:ascii="Book Antiqua" w:hAnsi="Book Antiqua" w:cs="Times New Roman"/>
        </w:rPr>
        <w:t xml:space="preserve">Presentada por el representante </w:t>
      </w:r>
      <w:proofErr w:type="spellStart"/>
      <w:r w:rsidRPr="00DF7DC3">
        <w:rPr>
          <w:rFonts w:ascii="Book Antiqua" w:hAnsi="Book Antiqua" w:cs="Times New Roman"/>
          <w:i/>
          <w:iCs/>
        </w:rPr>
        <w:t>Morey</w:t>
      </w:r>
      <w:proofErr w:type="spellEnd"/>
      <w:r w:rsidRPr="00DF7DC3">
        <w:rPr>
          <w:rFonts w:ascii="Book Antiqua" w:hAnsi="Book Antiqua" w:cs="Times New Roman"/>
          <w:i/>
          <w:iCs/>
        </w:rPr>
        <w:t xml:space="preserve"> Noble</w:t>
      </w:r>
    </w:p>
    <w:p w14:paraId="53EDC860" w14:textId="77777777" w:rsidR="00DF7DC3" w:rsidRDefault="00DF7DC3" w:rsidP="00FF1AD0">
      <w:pPr>
        <w:suppressLineNumbers/>
        <w:jc w:val="center"/>
        <w:rPr>
          <w:rFonts w:ascii="Book Antiqua" w:hAnsi="Book Antiqua" w:cs="Times New Roman"/>
          <w:i/>
          <w:iCs/>
        </w:rPr>
      </w:pPr>
    </w:p>
    <w:p w14:paraId="296EB0BB" w14:textId="6CD90028" w:rsidR="00DF7DC3" w:rsidRPr="00DF7DC3" w:rsidRDefault="00DF7DC3" w:rsidP="00FF1AD0">
      <w:pPr>
        <w:suppressLineNumbers/>
        <w:jc w:val="center"/>
        <w:rPr>
          <w:rFonts w:ascii="Book Antiqua" w:hAnsi="Book Antiqua" w:cs="Times New Roman"/>
        </w:rPr>
      </w:pPr>
      <w:r>
        <w:rPr>
          <w:rFonts w:ascii="Book Antiqua" w:hAnsi="Book Antiqua" w:cs="Times New Roman"/>
        </w:rPr>
        <w:t>Referida a la Comisión de Asuntos Internos</w:t>
      </w:r>
    </w:p>
    <w:p w14:paraId="2F550335" w14:textId="77777777" w:rsidR="00D95331" w:rsidRDefault="00D95331" w:rsidP="00FF1AD0">
      <w:pPr>
        <w:suppressLineNumbers/>
        <w:rPr>
          <w:rFonts w:ascii="Book Antiqua" w:hAnsi="Book Antiqua" w:cs="Times New Roman"/>
        </w:rPr>
      </w:pPr>
    </w:p>
    <w:p w14:paraId="1267EA75" w14:textId="3854DA2B" w:rsidR="00DF7DC3" w:rsidRPr="00DF7DC3" w:rsidRDefault="00DF7DC3" w:rsidP="00FF1AD0">
      <w:pPr>
        <w:suppressLineNumbers/>
        <w:jc w:val="center"/>
        <w:rPr>
          <w:rFonts w:ascii="Book Antiqua" w:hAnsi="Book Antiqua" w:cs="Times New Roman"/>
          <w:b/>
          <w:bCs/>
          <w:sz w:val="28"/>
          <w:szCs w:val="28"/>
        </w:rPr>
      </w:pPr>
      <w:r w:rsidRPr="00DF7DC3">
        <w:rPr>
          <w:rFonts w:ascii="Book Antiqua" w:hAnsi="Book Antiqua" w:cs="Times New Roman"/>
          <w:b/>
          <w:bCs/>
          <w:sz w:val="28"/>
          <w:szCs w:val="28"/>
        </w:rPr>
        <w:t>RESOLUCIÓN</w:t>
      </w:r>
    </w:p>
    <w:p w14:paraId="33039AF6" w14:textId="77777777" w:rsidR="00DF7DC3" w:rsidRPr="00DF7DC3" w:rsidRDefault="00DF7DC3" w:rsidP="00FF1AD0">
      <w:pPr>
        <w:suppressLineNumbers/>
        <w:jc w:val="center"/>
        <w:rPr>
          <w:rFonts w:ascii="Book Antiqua" w:hAnsi="Book Antiqua" w:cs="Times New Roman"/>
        </w:rPr>
      </w:pPr>
    </w:p>
    <w:p w14:paraId="0DF075FE" w14:textId="7CAAA2C6" w:rsidR="009E6186" w:rsidRPr="00DF7DC3" w:rsidRDefault="00175AE5" w:rsidP="00FF1AD0">
      <w:pPr>
        <w:suppressLineNumbers/>
        <w:ind w:left="720" w:hanging="720"/>
        <w:jc w:val="both"/>
        <w:rPr>
          <w:rFonts w:ascii="Book Antiqua" w:hAnsi="Book Antiqua" w:cs="Times New Roman"/>
        </w:rPr>
      </w:pPr>
      <w:r w:rsidRPr="00DF7DC3">
        <w:rPr>
          <w:rFonts w:ascii="Book Antiqua" w:hAnsi="Book Antiqua" w:cs="Times New Roman"/>
        </w:rPr>
        <w:t>Para ordenar al Departamento de Recursos Naturales y Ambientales del Gobierno de Puerto Rico a realizar un estudio y análisis de las condiciones actuales de las Estaciones de Bombeo (Casas de Bombas), localizadas en el Municipio Autónomo de Guaynabo, así como en el Municipio Autónomo de Cataño, y tomar acción inmediata para garantizar su mantenimiento, operación y funcionamiento</w:t>
      </w:r>
      <w:r w:rsidR="0004688F" w:rsidRPr="00DF7DC3">
        <w:rPr>
          <w:rFonts w:ascii="Book Antiqua" w:hAnsi="Book Antiqua" w:cs="Times New Roman"/>
        </w:rPr>
        <w:t xml:space="preserve">; De igual modo, </w:t>
      </w:r>
      <w:r w:rsidR="00D7443F" w:rsidRPr="00DF7DC3">
        <w:rPr>
          <w:rFonts w:ascii="Book Antiqua" w:hAnsi="Book Antiqua" w:cs="Times New Roman"/>
        </w:rPr>
        <w:t xml:space="preserve">ordenar al Departamento de Recursos Naturales y Ambientales del Gobierno de Puerto Rico entregar un informe respecto al estado de la remodelación y/o reconstrucción de las casas de bombas ubicadas en los municipios de Guaynabo y Cataño. </w:t>
      </w:r>
    </w:p>
    <w:p w14:paraId="0BDD6D29" w14:textId="77777777" w:rsidR="009E6186" w:rsidRPr="00DF7DC3" w:rsidRDefault="009E6186" w:rsidP="00DF7DC3">
      <w:pPr>
        <w:suppressLineNumbers/>
        <w:rPr>
          <w:rFonts w:ascii="Book Antiqua" w:hAnsi="Book Antiqua" w:cs="Times New Roman"/>
        </w:rPr>
      </w:pPr>
    </w:p>
    <w:p w14:paraId="36CCB102" w14:textId="24195182" w:rsidR="007C7C0C" w:rsidRPr="00DF7DC3" w:rsidRDefault="00DF7DC3" w:rsidP="00DF7DC3">
      <w:pPr>
        <w:suppressLineNumbers/>
        <w:jc w:val="center"/>
        <w:rPr>
          <w:rFonts w:ascii="Book Antiqua" w:hAnsi="Book Antiqua" w:cs="Times New Roman"/>
          <w:smallCaps/>
        </w:rPr>
      </w:pPr>
      <w:r w:rsidRPr="00DF7DC3">
        <w:rPr>
          <w:rFonts w:ascii="Book Antiqua" w:hAnsi="Book Antiqua" w:cs="Times New Roman"/>
          <w:smallCaps/>
        </w:rPr>
        <w:t>EXPOSICIÓN DE MOTIVOS</w:t>
      </w:r>
    </w:p>
    <w:p w14:paraId="07AA40D9" w14:textId="77777777" w:rsidR="007C7C0C" w:rsidRPr="00DF7DC3" w:rsidRDefault="007C7C0C" w:rsidP="00DF7DC3">
      <w:pPr>
        <w:suppressLineNumbers/>
        <w:rPr>
          <w:rFonts w:ascii="Book Antiqua" w:hAnsi="Book Antiqua" w:cs="Times New Roman"/>
        </w:rPr>
      </w:pPr>
    </w:p>
    <w:p w14:paraId="29B63E5C" w14:textId="29B1394F" w:rsidR="007C7C0C" w:rsidRPr="00DF7DC3" w:rsidRDefault="007C7C0C" w:rsidP="00DF7DC3">
      <w:pPr>
        <w:suppressLineNumbers/>
        <w:ind w:firstLine="720"/>
        <w:jc w:val="both"/>
        <w:rPr>
          <w:rFonts w:ascii="Book Antiqua" w:hAnsi="Book Antiqua" w:cs="Times New Roman"/>
        </w:rPr>
      </w:pPr>
      <w:r w:rsidRPr="00DF7DC3">
        <w:rPr>
          <w:rFonts w:ascii="Book Antiqua" w:hAnsi="Book Antiqua" w:cs="Times New Roman"/>
        </w:rPr>
        <w:t xml:space="preserve">Las estaciones de Bombeo (Casas de Bombas) fueron construidas para el control de inundaciones, por los que ubican dentro de zonas inundables, o propensas a inundaciones. </w:t>
      </w:r>
      <w:r w:rsidR="00F94200" w:rsidRPr="00DF7DC3">
        <w:rPr>
          <w:rFonts w:ascii="Book Antiqua" w:hAnsi="Book Antiqua" w:cs="Times New Roman"/>
        </w:rPr>
        <w:t xml:space="preserve">Cuentan con un sistema de bombeo que descarga a las lagunas o directamente al mar las aguas de </w:t>
      </w:r>
      <w:r w:rsidR="00880EE1" w:rsidRPr="00DF7DC3">
        <w:rPr>
          <w:rFonts w:ascii="Book Antiqua" w:hAnsi="Book Antiqua" w:cs="Times New Roman"/>
        </w:rPr>
        <w:t xml:space="preserve">escorrentías, a través de canales o tuberías. Además, se protegen las vidas y propiedades de los ciudadanos del sector al que sirvan. El Departamento de Recursos Naturales y Ambientales (DRNA) administra </w:t>
      </w:r>
      <w:r w:rsidR="00D95331" w:rsidRPr="00DF7DC3">
        <w:rPr>
          <w:rFonts w:ascii="Book Antiqua" w:hAnsi="Book Antiqua" w:cs="Times New Roman"/>
        </w:rPr>
        <w:t>1</w:t>
      </w:r>
      <w:r w:rsidR="00B4227B" w:rsidRPr="00DF7DC3">
        <w:rPr>
          <w:rFonts w:ascii="Book Antiqua" w:hAnsi="Book Antiqua" w:cs="Times New Roman"/>
        </w:rPr>
        <w:t>3</w:t>
      </w:r>
      <w:r w:rsidR="00D95331" w:rsidRPr="00DF7DC3">
        <w:rPr>
          <w:rFonts w:ascii="Book Antiqua" w:hAnsi="Book Antiqua" w:cs="Times New Roman"/>
        </w:rPr>
        <w:t xml:space="preserve"> casas de bombas que ubican en los municipios de Arecibo (1), Cataño (3), Guaynabo (2), Juana D</w:t>
      </w:r>
      <w:r w:rsidR="00F80E8A" w:rsidRPr="00DF7DC3">
        <w:rPr>
          <w:rFonts w:ascii="Book Antiqua" w:hAnsi="Book Antiqua" w:cs="Times New Roman"/>
        </w:rPr>
        <w:t>í</w:t>
      </w:r>
      <w:r w:rsidR="00D95331" w:rsidRPr="00DF7DC3">
        <w:rPr>
          <w:rFonts w:ascii="Book Antiqua" w:hAnsi="Book Antiqua" w:cs="Times New Roman"/>
        </w:rPr>
        <w:t xml:space="preserve">az (1), Salinas (4) y San Juan (3). Éstas se encuentran bajo la </w:t>
      </w:r>
      <w:r w:rsidR="00F80E8A" w:rsidRPr="00DF7DC3">
        <w:rPr>
          <w:rFonts w:ascii="Book Antiqua" w:hAnsi="Book Antiqua" w:cs="Times New Roman"/>
        </w:rPr>
        <w:t xml:space="preserve">jurisdicción de la División de Control de Inundaciones, de la Secretaría Auxiliar de Operaciones del DRNA. </w:t>
      </w:r>
    </w:p>
    <w:p w14:paraId="3DAC8847" w14:textId="77777777" w:rsidR="003D1A31" w:rsidRPr="00DF7DC3" w:rsidRDefault="003D1A31" w:rsidP="00DF7DC3">
      <w:pPr>
        <w:suppressLineNumbers/>
        <w:jc w:val="both"/>
        <w:rPr>
          <w:rFonts w:ascii="Book Antiqua" w:hAnsi="Book Antiqua" w:cs="Times New Roman"/>
        </w:rPr>
      </w:pPr>
    </w:p>
    <w:p w14:paraId="334872F7" w14:textId="566DBC80" w:rsidR="003D1A31" w:rsidRPr="00DF7DC3" w:rsidRDefault="003D1A31" w:rsidP="00DF7DC3">
      <w:pPr>
        <w:suppressLineNumbers/>
        <w:ind w:firstLine="720"/>
        <w:jc w:val="both"/>
        <w:rPr>
          <w:rFonts w:ascii="Book Antiqua" w:hAnsi="Book Antiqua" w:cs="Times New Roman"/>
        </w:rPr>
      </w:pPr>
      <w:r w:rsidRPr="00DF7DC3">
        <w:rPr>
          <w:rFonts w:ascii="Book Antiqua" w:hAnsi="Book Antiqua" w:cs="Times New Roman"/>
        </w:rPr>
        <w:t xml:space="preserve">El municipio de Guaynabo cuenta con dos casas bombas: (1) la Casa de Bombas Sabana, la cual recoge las aguas del sistema de alcantarillado pluvial del barrio Sabana y </w:t>
      </w:r>
      <w:r w:rsidRPr="00DF7DC3">
        <w:rPr>
          <w:rFonts w:ascii="Book Antiqua" w:hAnsi="Book Antiqua" w:cs="Times New Roman"/>
        </w:rPr>
        <w:lastRenderedPageBreak/>
        <w:t xml:space="preserve">parte del barrio Amelia, sirviendo a una población aproximada de </w:t>
      </w:r>
      <w:r w:rsidR="00F304A6" w:rsidRPr="00DF7DC3">
        <w:rPr>
          <w:rFonts w:ascii="Book Antiqua" w:hAnsi="Book Antiqua" w:cs="Times New Roman"/>
        </w:rPr>
        <w:t>diez</w:t>
      </w:r>
      <w:r w:rsidRPr="00DF7DC3">
        <w:rPr>
          <w:rFonts w:ascii="Book Antiqua" w:hAnsi="Book Antiqua" w:cs="Times New Roman"/>
        </w:rPr>
        <w:t xml:space="preserve"> mil (</w:t>
      </w:r>
      <w:r w:rsidR="00F304A6" w:rsidRPr="00DF7DC3">
        <w:rPr>
          <w:rFonts w:ascii="Book Antiqua" w:hAnsi="Book Antiqua" w:cs="Times New Roman"/>
        </w:rPr>
        <w:t>10</w:t>
      </w:r>
      <w:r w:rsidRPr="00DF7DC3">
        <w:rPr>
          <w:rFonts w:ascii="Book Antiqua" w:hAnsi="Book Antiqua" w:cs="Times New Roman"/>
        </w:rPr>
        <w:t xml:space="preserve">,000.00) habitantes, y (2) </w:t>
      </w:r>
      <w:r w:rsidR="00C016E2" w:rsidRPr="00DF7DC3">
        <w:rPr>
          <w:rFonts w:ascii="Book Antiqua" w:hAnsi="Book Antiqua" w:cs="Times New Roman"/>
        </w:rPr>
        <w:t xml:space="preserve">la Casa de Bombas de San Fernando, que recoge las escorrentías que incluye el sistema de alcantarillado pluvial de sectores de la barriada vietnam, parte del barrio Sabana, y de sectores del propio pueblo de Cataño, y sirve una población aproximada de quince mil (15,000) habitantes. </w:t>
      </w:r>
    </w:p>
    <w:p w14:paraId="26089BF9" w14:textId="77777777" w:rsidR="00C016E2" w:rsidRPr="00DF7DC3" w:rsidRDefault="00C016E2" w:rsidP="00DF7DC3">
      <w:pPr>
        <w:suppressLineNumbers/>
        <w:jc w:val="both"/>
        <w:rPr>
          <w:rFonts w:ascii="Book Antiqua" w:hAnsi="Book Antiqua" w:cs="Times New Roman"/>
        </w:rPr>
      </w:pPr>
    </w:p>
    <w:p w14:paraId="465FFC97" w14:textId="7459CAAE" w:rsidR="00C016E2" w:rsidRPr="00DF7DC3" w:rsidRDefault="00C016E2" w:rsidP="00DF7DC3">
      <w:pPr>
        <w:suppressLineNumbers/>
        <w:ind w:firstLine="720"/>
        <w:jc w:val="both"/>
        <w:rPr>
          <w:rFonts w:ascii="Book Antiqua" w:hAnsi="Book Antiqua" w:cs="Times New Roman"/>
        </w:rPr>
      </w:pPr>
      <w:r w:rsidRPr="00DF7DC3">
        <w:rPr>
          <w:rFonts w:ascii="Book Antiqua" w:hAnsi="Book Antiqua" w:cs="Times New Roman"/>
        </w:rPr>
        <w:t>Por otra parte, el Municipio de Cataño cuenta</w:t>
      </w:r>
      <w:r w:rsidR="0004688F" w:rsidRPr="00DF7DC3">
        <w:rPr>
          <w:rFonts w:ascii="Book Antiqua" w:hAnsi="Book Antiqua" w:cs="Times New Roman"/>
        </w:rPr>
        <w:t xml:space="preserve"> alrededor de 23,536 habitantes que se benefician, directa o indirectamente, de las tres casas bombas ubicadas en dicho municipio, a saber: (1) San Fernando, (2) La Malaria, y (3) Juana Matos.</w:t>
      </w:r>
    </w:p>
    <w:p w14:paraId="48B168D4" w14:textId="77777777" w:rsidR="009E6186" w:rsidRPr="00DF7DC3" w:rsidRDefault="009E6186" w:rsidP="00DF7DC3">
      <w:pPr>
        <w:suppressLineNumbers/>
        <w:rPr>
          <w:rFonts w:ascii="Book Antiqua" w:hAnsi="Book Antiqua" w:cs="Times New Roman"/>
        </w:rPr>
      </w:pPr>
    </w:p>
    <w:p w14:paraId="590F69ED" w14:textId="0E8CB76B" w:rsidR="009E6186" w:rsidRPr="00DF7DC3" w:rsidRDefault="0004688F" w:rsidP="00DF7DC3">
      <w:pPr>
        <w:suppressLineNumbers/>
        <w:ind w:firstLine="720"/>
        <w:jc w:val="both"/>
        <w:rPr>
          <w:rFonts w:ascii="Book Antiqua" w:hAnsi="Book Antiqua" w:cs="Times New Roman"/>
        </w:rPr>
      </w:pPr>
      <w:r w:rsidRPr="00DF7DC3">
        <w:rPr>
          <w:rFonts w:ascii="Book Antiqua" w:hAnsi="Book Antiqua" w:cs="Times New Roman"/>
        </w:rPr>
        <w:t>El servicio y funcionamiento de dichas estaciones de bombeo es esencial para la prevenci</w:t>
      </w:r>
      <w:r w:rsidR="00F57DE8" w:rsidRPr="00DF7DC3">
        <w:rPr>
          <w:rFonts w:ascii="Book Antiqua" w:eastAsia="MingLiU-ExtB" w:hAnsi="Book Antiqua" w:cs="Times New Roman"/>
        </w:rPr>
        <w:t>ó</w:t>
      </w:r>
      <w:r w:rsidRPr="00DF7DC3">
        <w:rPr>
          <w:rFonts w:ascii="Book Antiqua" w:hAnsi="Book Antiqua" w:cs="Times New Roman"/>
        </w:rPr>
        <w:t>n de inundaciones y conservación</w:t>
      </w:r>
      <w:r w:rsidR="00F57DE8" w:rsidRPr="00DF7DC3">
        <w:rPr>
          <w:rFonts w:ascii="Book Antiqua" w:hAnsi="Book Antiqua" w:cs="Times New Roman"/>
        </w:rPr>
        <w:t xml:space="preserve"> de la seguridad, propiedad y vida de los habitantes de Guaynabo y Cataño. Dichas casas bombas se encuentran en un estado de deterioro debido a la falta de mantenimiento, el tiempo y la paulatina obsolescencia de éstas. Por ejemplo, hay turbinas de bombas inoperantes, o funcionando a una menor capacidad -ya sea por su diseño o la realidad poblacional actual-, la estructura física</w:t>
      </w:r>
      <w:r w:rsidR="00BA04CC" w:rsidRPr="00DF7DC3">
        <w:rPr>
          <w:rFonts w:ascii="Book Antiqua" w:hAnsi="Book Antiqua" w:cs="Times New Roman"/>
        </w:rPr>
        <w:t xml:space="preserve"> de las casas de bomba está en deterioro, y en ocasiones no tienen operadores para activar y manejar las bombas de extracción. Esta situación de deterioro y falta de mantenimiento es preocupante para los residentes de Guaynabo y Cataño, por lo que amerita ser estudiada, para evaluar posibles opciones que garanticen su mantenimiento y función en caso de inundaciones, huracanes o fuertes lluvias. </w:t>
      </w:r>
    </w:p>
    <w:p w14:paraId="0F4BA28E" w14:textId="77777777" w:rsidR="00BA04CC" w:rsidRPr="00DF7DC3" w:rsidRDefault="00BA04CC" w:rsidP="00DF7DC3">
      <w:pPr>
        <w:suppressLineNumbers/>
        <w:jc w:val="both"/>
        <w:rPr>
          <w:rFonts w:ascii="Book Antiqua" w:hAnsi="Book Antiqua" w:cs="Times New Roman"/>
        </w:rPr>
      </w:pPr>
    </w:p>
    <w:p w14:paraId="3FE6760B" w14:textId="6AD131E5" w:rsidR="00BA04CC" w:rsidRPr="00DF7DC3" w:rsidRDefault="00DF7DC3" w:rsidP="00F44CBA">
      <w:pPr>
        <w:suppressLineNumbers/>
        <w:spacing w:line="480" w:lineRule="auto"/>
        <w:jc w:val="both"/>
        <w:rPr>
          <w:rFonts w:ascii="Book Antiqua" w:hAnsi="Book Antiqua" w:cs="Times New Roman"/>
        </w:rPr>
      </w:pPr>
      <w:r w:rsidRPr="00F44CBA">
        <w:rPr>
          <w:rFonts w:ascii="Book Antiqua" w:hAnsi="Book Antiqua" w:cs="Times New Roman"/>
          <w:i/>
          <w:iCs/>
          <w:smallCaps/>
        </w:rPr>
        <w:t>RESUÉLVASE POR LA ASAMBLEA LEGISLATIVA DE PUERTO RICO</w:t>
      </w:r>
      <w:r w:rsidR="00F44CBA">
        <w:rPr>
          <w:rFonts w:ascii="Book Antiqua" w:hAnsi="Book Antiqua" w:cs="Times New Roman"/>
          <w:i/>
          <w:iCs/>
          <w:smallCaps/>
        </w:rPr>
        <w:t>:</w:t>
      </w:r>
    </w:p>
    <w:p w14:paraId="6E61EEAF" w14:textId="143AD111" w:rsidR="00BA04CC" w:rsidRPr="00DF7DC3" w:rsidRDefault="00BA04CC" w:rsidP="00223EE6">
      <w:pPr>
        <w:spacing w:line="480" w:lineRule="auto"/>
        <w:ind w:firstLine="720"/>
        <w:jc w:val="both"/>
        <w:rPr>
          <w:rFonts w:ascii="Book Antiqua" w:hAnsi="Book Antiqua" w:cs="Times New Roman"/>
        </w:rPr>
      </w:pPr>
      <w:r w:rsidRPr="00DF7DC3">
        <w:rPr>
          <w:rFonts w:ascii="Book Antiqua" w:hAnsi="Book Antiqua" w:cs="Times New Roman"/>
        </w:rPr>
        <w:t>Sección 1.- Se ordena al Departamento de Recursos Naturales y Ambientales de Puerto Rico realiza</w:t>
      </w:r>
      <w:r w:rsidR="00223EE6" w:rsidRPr="00DF7DC3">
        <w:rPr>
          <w:rFonts w:ascii="Book Antiqua" w:hAnsi="Book Antiqua" w:cs="Times New Roman"/>
        </w:rPr>
        <w:t xml:space="preserve">r </w:t>
      </w:r>
      <w:r w:rsidRPr="00DF7DC3">
        <w:rPr>
          <w:rFonts w:ascii="Book Antiqua" w:hAnsi="Book Antiqua" w:cs="Times New Roman"/>
        </w:rPr>
        <w:t>un estudio y análisis de las condiciones actuales de las Estaciones de Bombeo (Casas de Bombas) localizadas en los municipio</w:t>
      </w:r>
      <w:r w:rsidR="00BA482D" w:rsidRPr="00DF7DC3">
        <w:rPr>
          <w:rFonts w:ascii="Book Antiqua" w:hAnsi="Book Antiqua" w:cs="Times New Roman"/>
        </w:rPr>
        <w:t>s</w:t>
      </w:r>
      <w:r w:rsidRPr="00DF7DC3">
        <w:rPr>
          <w:rFonts w:ascii="Book Antiqua" w:hAnsi="Book Antiqua" w:cs="Times New Roman"/>
        </w:rPr>
        <w:t xml:space="preserve"> de Guaynabo y Cataño con el propósito de identificar alternativas para garantizar su mantenimiento, operación y </w:t>
      </w:r>
      <w:r w:rsidR="00223EE6" w:rsidRPr="00DF7DC3">
        <w:rPr>
          <w:rFonts w:ascii="Book Antiqua" w:hAnsi="Book Antiqua" w:cs="Times New Roman"/>
        </w:rPr>
        <w:t xml:space="preserve">continuo </w:t>
      </w:r>
      <w:r w:rsidRPr="00DF7DC3">
        <w:rPr>
          <w:rFonts w:ascii="Book Antiqua" w:hAnsi="Book Antiqua" w:cs="Times New Roman"/>
        </w:rPr>
        <w:t xml:space="preserve">funcionamiento. </w:t>
      </w:r>
    </w:p>
    <w:p w14:paraId="4B4C0F43" w14:textId="2B23B15B" w:rsidR="00BA04CC" w:rsidRPr="00DF7DC3" w:rsidRDefault="00BA04CC" w:rsidP="00223EE6">
      <w:pPr>
        <w:spacing w:line="480" w:lineRule="auto"/>
        <w:ind w:firstLine="720"/>
        <w:jc w:val="both"/>
        <w:rPr>
          <w:rFonts w:ascii="Book Antiqua" w:hAnsi="Book Antiqua" w:cs="Times New Roman"/>
        </w:rPr>
      </w:pPr>
      <w:r w:rsidRPr="00DF7DC3">
        <w:rPr>
          <w:rFonts w:ascii="Book Antiqua" w:hAnsi="Book Antiqua" w:cs="Times New Roman"/>
        </w:rPr>
        <w:t>Sección 2.- Se ordena al Departamento de Recursos Naturales y Ambientales efectuar un informe respecto al estado de la remodelación y/o reconstrucción de las casas de bombas ubicadas en los municipios de Guaynabo y Cataño</w:t>
      </w:r>
      <w:r w:rsidR="00223EE6" w:rsidRPr="00DF7DC3">
        <w:rPr>
          <w:rFonts w:ascii="Book Antiqua" w:hAnsi="Book Antiqua" w:cs="Times New Roman"/>
        </w:rPr>
        <w:t>.</w:t>
      </w:r>
    </w:p>
    <w:p w14:paraId="4FB3D185" w14:textId="737ED896" w:rsidR="00BA482D" w:rsidRPr="00DF7DC3" w:rsidRDefault="00BA04CC" w:rsidP="00223EE6">
      <w:pPr>
        <w:spacing w:line="480" w:lineRule="auto"/>
        <w:ind w:firstLine="720"/>
        <w:jc w:val="both"/>
        <w:rPr>
          <w:rFonts w:ascii="Book Antiqua" w:hAnsi="Book Antiqua" w:cs="Times New Roman"/>
        </w:rPr>
      </w:pPr>
      <w:r w:rsidRPr="00DF7DC3">
        <w:rPr>
          <w:rFonts w:ascii="Book Antiqua" w:hAnsi="Book Antiqua" w:cs="Times New Roman"/>
        </w:rPr>
        <w:t>Sección 3.-</w:t>
      </w:r>
      <w:r w:rsidR="00BA482D" w:rsidRPr="00DF7DC3">
        <w:rPr>
          <w:rFonts w:ascii="Book Antiqua" w:hAnsi="Book Antiqua" w:cs="Times New Roman"/>
        </w:rPr>
        <w:t xml:space="preserve"> La realización del estudio y análisis</w:t>
      </w:r>
      <w:r w:rsidR="00223EE6" w:rsidRPr="00DF7DC3">
        <w:rPr>
          <w:rFonts w:ascii="Book Antiqua" w:hAnsi="Book Antiqua" w:cs="Times New Roman"/>
        </w:rPr>
        <w:t>, así como el informe,</w:t>
      </w:r>
      <w:r w:rsidR="00BA482D" w:rsidRPr="00DF7DC3">
        <w:rPr>
          <w:rFonts w:ascii="Book Antiqua" w:hAnsi="Book Antiqua" w:cs="Times New Roman"/>
        </w:rPr>
        <w:t xml:space="preserve"> requerido al Departamento de Recursos </w:t>
      </w:r>
      <w:r w:rsidR="00223EE6" w:rsidRPr="00DF7DC3">
        <w:rPr>
          <w:rFonts w:ascii="Book Antiqua" w:hAnsi="Book Antiqua" w:cs="Times New Roman"/>
        </w:rPr>
        <w:t>N</w:t>
      </w:r>
      <w:r w:rsidR="00BA482D" w:rsidRPr="00DF7DC3">
        <w:rPr>
          <w:rFonts w:ascii="Book Antiqua" w:hAnsi="Book Antiqua" w:cs="Times New Roman"/>
        </w:rPr>
        <w:t xml:space="preserve">aturales y Ambientales, por medio de esta Resolución </w:t>
      </w:r>
      <w:r w:rsidR="00F304A6" w:rsidRPr="00DF7DC3">
        <w:rPr>
          <w:rFonts w:ascii="Book Antiqua" w:hAnsi="Book Antiqua" w:cs="Times New Roman"/>
        </w:rPr>
        <w:t xml:space="preserve">de la </w:t>
      </w:r>
      <w:r w:rsidR="00F304A6" w:rsidRPr="00DF7DC3">
        <w:rPr>
          <w:rFonts w:ascii="Book Antiqua" w:hAnsi="Book Antiqua" w:cs="Times New Roman"/>
        </w:rPr>
        <w:lastRenderedPageBreak/>
        <w:t>Cámara</w:t>
      </w:r>
      <w:r w:rsidR="00BA482D" w:rsidRPr="00DF7DC3">
        <w:rPr>
          <w:rFonts w:ascii="Book Antiqua" w:hAnsi="Book Antiqua" w:cs="Times New Roman"/>
        </w:rPr>
        <w:t xml:space="preserve">, lo entregarán en un término que no excederá de ciento veinte (120) días luego de aprobada la misma. </w:t>
      </w:r>
    </w:p>
    <w:p w14:paraId="7B8D9E19" w14:textId="06475451" w:rsidR="00BA482D" w:rsidRPr="00DF7DC3" w:rsidRDefault="00BA482D" w:rsidP="00223EE6">
      <w:pPr>
        <w:spacing w:line="480" w:lineRule="auto"/>
        <w:ind w:firstLine="720"/>
        <w:jc w:val="both"/>
        <w:rPr>
          <w:rFonts w:ascii="Book Antiqua" w:hAnsi="Book Antiqua" w:cs="Times New Roman"/>
        </w:rPr>
      </w:pPr>
      <w:r w:rsidRPr="00DF7DC3">
        <w:rPr>
          <w:rFonts w:ascii="Book Antiqua" w:hAnsi="Book Antiqua" w:cs="Times New Roman"/>
        </w:rPr>
        <w:t xml:space="preserve">Sección 4.- Se autoriza al Departamento de Recursos Naturales y Ambientales de Puerto Rico a promulgar aquellas normas internas que estimen pertinente, para lograr los propósitos de esta </w:t>
      </w:r>
      <w:r w:rsidR="00F304A6" w:rsidRPr="00DF7DC3">
        <w:rPr>
          <w:rFonts w:ascii="Book Antiqua" w:hAnsi="Book Antiqua" w:cs="Times New Roman"/>
        </w:rPr>
        <w:t>Resolución de la Cámara</w:t>
      </w:r>
      <w:r w:rsidRPr="00DF7DC3">
        <w:rPr>
          <w:rFonts w:ascii="Book Antiqua" w:hAnsi="Book Antiqua" w:cs="Times New Roman"/>
        </w:rPr>
        <w:t xml:space="preserve">. </w:t>
      </w:r>
    </w:p>
    <w:p w14:paraId="6D089CB6" w14:textId="341EB001" w:rsidR="00BA482D" w:rsidRPr="00DF7DC3" w:rsidRDefault="00BA482D" w:rsidP="00223EE6">
      <w:pPr>
        <w:spacing w:line="480" w:lineRule="auto"/>
        <w:ind w:firstLine="720"/>
        <w:jc w:val="both"/>
        <w:rPr>
          <w:rFonts w:ascii="Book Antiqua" w:eastAsia="Segoe UI Symbol" w:hAnsi="Book Antiqua" w:cs="Times New Roman"/>
        </w:rPr>
      </w:pPr>
      <w:r w:rsidRPr="00DF7DC3">
        <w:rPr>
          <w:rFonts w:ascii="Book Antiqua" w:hAnsi="Book Antiqua" w:cs="Times New Roman"/>
        </w:rPr>
        <w:t>Sección</w:t>
      </w:r>
      <w:r w:rsidR="00F304A6" w:rsidRPr="00DF7DC3">
        <w:rPr>
          <w:rFonts w:ascii="Book Antiqua" w:hAnsi="Book Antiqua" w:cs="Times New Roman"/>
        </w:rPr>
        <w:t xml:space="preserve"> </w:t>
      </w:r>
      <w:r w:rsidRPr="00DF7DC3">
        <w:rPr>
          <w:rFonts w:ascii="Book Antiqua" w:hAnsi="Book Antiqua" w:cs="Times New Roman"/>
        </w:rPr>
        <w:t xml:space="preserve">5.- Se faculta al Departamento de Recursos naturales y Ambientales de Puerto Rico a aceptar donaciones de cualquier persona, natural o jurídica, y de cualquier otro departamento, agencia, instrumentalidad, municipio, corporación púbica o subsidiaria de </w:t>
      </w:r>
      <w:r w:rsidRPr="00DF7DC3">
        <w:rPr>
          <w:rFonts w:ascii="Book Antiqua" w:eastAsia="Segoe UI Symbol" w:hAnsi="Book Antiqua" w:cs="Times New Roman"/>
        </w:rPr>
        <w:t xml:space="preserve">éstas del Gobierno de Puerto Rico o del Gobierno de los Estados Unidos de América, o cualquiera de los Estados de los Estados unidos de América, para ser utilizados en los propósitos de esta </w:t>
      </w:r>
      <w:r w:rsidR="00F304A6" w:rsidRPr="00DF7DC3">
        <w:rPr>
          <w:rFonts w:ascii="Book Antiqua" w:hAnsi="Book Antiqua" w:cs="Times New Roman"/>
        </w:rPr>
        <w:t>Resolución de la Cámara</w:t>
      </w:r>
      <w:r w:rsidRPr="00DF7DC3">
        <w:rPr>
          <w:rFonts w:ascii="Book Antiqua" w:eastAsia="Segoe UI Symbol" w:hAnsi="Book Antiqua" w:cs="Times New Roman"/>
        </w:rPr>
        <w:t xml:space="preserve">, así como a parear fondos, de ser necesario. </w:t>
      </w:r>
    </w:p>
    <w:p w14:paraId="5C88E251" w14:textId="64C93344" w:rsidR="00BA482D" w:rsidRPr="00DF7DC3" w:rsidRDefault="00BA482D" w:rsidP="00223EE6">
      <w:pPr>
        <w:spacing w:line="480" w:lineRule="auto"/>
        <w:ind w:firstLine="720"/>
        <w:jc w:val="both"/>
        <w:rPr>
          <w:rFonts w:ascii="Book Antiqua" w:eastAsia="Segoe UI Symbol" w:hAnsi="Book Antiqua" w:cs="Times New Roman"/>
        </w:rPr>
      </w:pPr>
      <w:r w:rsidRPr="00DF7DC3">
        <w:rPr>
          <w:rFonts w:ascii="Book Antiqua" w:eastAsia="Segoe UI Symbol" w:hAnsi="Book Antiqua" w:cs="Times New Roman"/>
        </w:rPr>
        <w:t>Sección</w:t>
      </w:r>
      <w:r w:rsidR="00223EE6" w:rsidRPr="00DF7DC3">
        <w:rPr>
          <w:rFonts w:ascii="Book Antiqua" w:eastAsia="Segoe UI Symbol" w:hAnsi="Book Antiqua" w:cs="Times New Roman"/>
        </w:rPr>
        <w:t xml:space="preserve"> </w:t>
      </w:r>
      <w:r w:rsidRPr="00DF7DC3">
        <w:rPr>
          <w:rFonts w:ascii="Book Antiqua" w:eastAsia="Segoe UI Symbol" w:hAnsi="Book Antiqua" w:cs="Times New Roman"/>
        </w:rPr>
        <w:t xml:space="preserve">6.-Culminado el estudio y el informe requerido, el Departamento de Recursos Naturales y Ambientales notificará a la asamblea legislativa de Puerto Rico sus resultados, y las medidas a tomarse por dicho Departamento. </w:t>
      </w:r>
    </w:p>
    <w:p w14:paraId="4B5D4BE7" w14:textId="401647B0" w:rsidR="009E6186" w:rsidRPr="00DF7DC3" w:rsidRDefault="00BA482D" w:rsidP="00223EE6">
      <w:pPr>
        <w:spacing w:line="480" w:lineRule="auto"/>
        <w:ind w:firstLine="720"/>
        <w:jc w:val="both"/>
        <w:rPr>
          <w:rFonts w:ascii="Book Antiqua" w:eastAsia="Segoe UI Symbol" w:hAnsi="Book Antiqua" w:cs="Times New Roman"/>
          <w:lang w:eastAsia="ja-JP"/>
        </w:rPr>
      </w:pPr>
      <w:r w:rsidRPr="00DF7DC3">
        <w:rPr>
          <w:rFonts w:ascii="Book Antiqua" w:eastAsia="Segoe UI Symbol" w:hAnsi="Book Antiqua" w:cs="Times New Roman"/>
        </w:rPr>
        <w:t xml:space="preserve">Sección7.- Esta </w:t>
      </w:r>
      <w:r w:rsidR="00F304A6" w:rsidRPr="00DF7DC3">
        <w:rPr>
          <w:rFonts w:ascii="Book Antiqua" w:hAnsi="Book Antiqua" w:cs="Times New Roman"/>
        </w:rPr>
        <w:t>Resolución de la Cámara</w:t>
      </w:r>
      <w:r w:rsidR="00F304A6" w:rsidRPr="00DF7DC3">
        <w:rPr>
          <w:rFonts w:ascii="Book Antiqua" w:eastAsia="Segoe UI Symbol" w:hAnsi="Book Antiqua" w:cs="Times New Roman"/>
        </w:rPr>
        <w:t xml:space="preserve"> </w:t>
      </w:r>
      <w:r w:rsidRPr="00DF7DC3">
        <w:rPr>
          <w:rFonts w:ascii="Book Antiqua" w:eastAsia="Segoe UI Symbol" w:hAnsi="Book Antiqua" w:cs="Times New Roman"/>
        </w:rPr>
        <w:t>comenzará a regir</w:t>
      </w:r>
      <w:r w:rsidR="00F304A6" w:rsidRPr="00DF7DC3">
        <w:rPr>
          <w:rFonts w:ascii="Book Antiqua" w:eastAsia="Segoe UI Symbol" w:hAnsi="Book Antiqua" w:cs="Times New Roman"/>
        </w:rPr>
        <w:t xml:space="preserve"> inmediatamente</w:t>
      </w:r>
      <w:r w:rsidRPr="00DF7DC3">
        <w:rPr>
          <w:rFonts w:ascii="Book Antiqua" w:eastAsia="Segoe UI Symbol" w:hAnsi="Book Antiqua" w:cs="Times New Roman"/>
        </w:rPr>
        <w:t xml:space="preserve"> después de su aprobación.</w:t>
      </w:r>
    </w:p>
    <w:sectPr w:rsidR="009E6186" w:rsidRPr="00DF7DC3" w:rsidSect="00FF1AD0">
      <w:headerReference w:type="default" r:id="rId7"/>
      <w:footerReference w:type="default" r:id="rId8"/>
      <w:pgSz w:w="12240" w:h="15840"/>
      <w:pgMar w:top="1440" w:right="1440" w:bottom="1440" w:left="1440" w:header="708" w:footer="708" w:gutter="0"/>
      <w:lnNumType w:countBy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B5AD13" w14:textId="77777777" w:rsidR="00E968C6" w:rsidRDefault="00E968C6" w:rsidP="00223EE6">
      <w:r>
        <w:separator/>
      </w:r>
    </w:p>
  </w:endnote>
  <w:endnote w:type="continuationSeparator" w:id="0">
    <w:p w14:paraId="7A53C476" w14:textId="77777777" w:rsidR="00E968C6" w:rsidRDefault="00E968C6" w:rsidP="00223E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ingLiU-ExtB">
    <w:panose1 w:val="02020500000000000000"/>
    <w:charset w:val="88"/>
    <w:family w:val="roman"/>
    <w:pitch w:val="variable"/>
    <w:sig w:usb0="8000002F" w:usb1="0A080008" w:usb2="00000010" w:usb3="00000000" w:csb0="001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929990" w14:textId="572C7E6F" w:rsidR="00223EE6" w:rsidRDefault="00223EE6">
    <w:pPr>
      <w:pStyle w:val="Footer"/>
      <w:jc w:val="center"/>
    </w:pPr>
  </w:p>
  <w:p w14:paraId="091CE8DC" w14:textId="77777777" w:rsidR="00223EE6" w:rsidRDefault="00223EE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944BE3" w14:textId="77777777" w:rsidR="00E968C6" w:rsidRDefault="00E968C6" w:rsidP="00223EE6">
      <w:r>
        <w:separator/>
      </w:r>
    </w:p>
  </w:footnote>
  <w:footnote w:type="continuationSeparator" w:id="0">
    <w:p w14:paraId="5A0C8016" w14:textId="77777777" w:rsidR="00E968C6" w:rsidRDefault="00E968C6" w:rsidP="00223E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2901730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69428B4" w14:textId="2AED9C3B" w:rsidR="00F44CBA" w:rsidRDefault="00F44CBA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B313235" w14:textId="77777777" w:rsidR="00F44CBA" w:rsidRDefault="00F44CB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6186"/>
    <w:rsid w:val="00025855"/>
    <w:rsid w:val="000425EF"/>
    <w:rsid w:val="0004688F"/>
    <w:rsid w:val="00092EDA"/>
    <w:rsid w:val="000D60EF"/>
    <w:rsid w:val="00175AE5"/>
    <w:rsid w:val="00191489"/>
    <w:rsid w:val="001A3FEC"/>
    <w:rsid w:val="001C0F41"/>
    <w:rsid w:val="001E0C28"/>
    <w:rsid w:val="00223EE6"/>
    <w:rsid w:val="00227001"/>
    <w:rsid w:val="002561DE"/>
    <w:rsid w:val="002B441B"/>
    <w:rsid w:val="002B53C5"/>
    <w:rsid w:val="003014AC"/>
    <w:rsid w:val="00314D77"/>
    <w:rsid w:val="0037533E"/>
    <w:rsid w:val="00386C7E"/>
    <w:rsid w:val="003B4301"/>
    <w:rsid w:val="003D1A31"/>
    <w:rsid w:val="003E20DC"/>
    <w:rsid w:val="003F3D93"/>
    <w:rsid w:val="00464010"/>
    <w:rsid w:val="004760AC"/>
    <w:rsid w:val="004B08FE"/>
    <w:rsid w:val="004B2349"/>
    <w:rsid w:val="004E3D45"/>
    <w:rsid w:val="004F12BC"/>
    <w:rsid w:val="005100E5"/>
    <w:rsid w:val="00545735"/>
    <w:rsid w:val="0055706B"/>
    <w:rsid w:val="00585DD4"/>
    <w:rsid w:val="005A0051"/>
    <w:rsid w:val="005C3C4D"/>
    <w:rsid w:val="00616A42"/>
    <w:rsid w:val="00617AE0"/>
    <w:rsid w:val="00651890"/>
    <w:rsid w:val="006A1BD0"/>
    <w:rsid w:val="00706965"/>
    <w:rsid w:val="00717F9A"/>
    <w:rsid w:val="007563B6"/>
    <w:rsid w:val="00765FB1"/>
    <w:rsid w:val="00767419"/>
    <w:rsid w:val="007A211B"/>
    <w:rsid w:val="007C02D1"/>
    <w:rsid w:val="007C7C0C"/>
    <w:rsid w:val="00805EF4"/>
    <w:rsid w:val="00817556"/>
    <w:rsid w:val="00845D0E"/>
    <w:rsid w:val="00880EE1"/>
    <w:rsid w:val="00885F34"/>
    <w:rsid w:val="008944A9"/>
    <w:rsid w:val="00911C1D"/>
    <w:rsid w:val="00937C83"/>
    <w:rsid w:val="009854E2"/>
    <w:rsid w:val="009D72F5"/>
    <w:rsid w:val="009E6186"/>
    <w:rsid w:val="00A0360B"/>
    <w:rsid w:val="00A80C43"/>
    <w:rsid w:val="00AD2982"/>
    <w:rsid w:val="00AD2B3B"/>
    <w:rsid w:val="00B03359"/>
    <w:rsid w:val="00B4227B"/>
    <w:rsid w:val="00B47E6D"/>
    <w:rsid w:val="00B5005F"/>
    <w:rsid w:val="00B64F68"/>
    <w:rsid w:val="00BA04CC"/>
    <w:rsid w:val="00BA482D"/>
    <w:rsid w:val="00BF2CB2"/>
    <w:rsid w:val="00C016E2"/>
    <w:rsid w:val="00CB6527"/>
    <w:rsid w:val="00CC0B4E"/>
    <w:rsid w:val="00D23BEC"/>
    <w:rsid w:val="00D63C48"/>
    <w:rsid w:val="00D712BC"/>
    <w:rsid w:val="00D7443F"/>
    <w:rsid w:val="00D95331"/>
    <w:rsid w:val="00DC6094"/>
    <w:rsid w:val="00DD41BF"/>
    <w:rsid w:val="00DD5FE1"/>
    <w:rsid w:val="00DF7DC3"/>
    <w:rsid w:val="00E47026"/>
    <w:rsid w:val="00E968C6"/>
    <w:rsid w:val="00EA1C69"/>
    <w:rsid w:val="00EB59F5"/>
    <w:rsid w:val="00F05171"/>
    <w:rsid w:val="00F0663F"/>
    <w:rsid w:val="00F304A6"/>
    <w:rsid w:val="00F44CBA"/>
    <w:rsid w:val="00F57DE8"/>
    <w:rsid w:val="00F80E8A"/>
    <w:rsid w:val="00F94200"/>
    <w:rsid w:val="00FB20EE"/>
    <w:rsid w:val="00FF1AD0"/>
    <w:rsid w:val="00FF1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AAA250"/>
  <w14:defaultImageDpi w14:val="32767"/>
  <w15:chartTrackingRefBased/>
  <w15:docId w15:val="{2D46A9F5-2C9A-154A-BC2F-989E43EE2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MS Mincho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"/>
    </w:rPr>
  </w:style>
  <w:style w:type="paragraph" w:styleId="Heading1">
    <w:name w:val="heading 1"/>
    <w:basedOn w:val="Normal"/>
    <w:next w:val="Normal"/>
    <w:link w:val="Heading1Char"/>
    <w:uiPriority w:val="9"/>
    <w:qFormat/>
    <w:rsid w:val="009E61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E61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E618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E618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E618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E618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E618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618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618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E6186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es-E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E618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s-E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E6186"/>
    <w:rPr>
      <w:rFonts w:eastAsiaTheme="majorEastAsia" w:cstheme="majorBidi"/>
      <w:color w:val="2F5496" w:themeColor="accent1" w:themeShade="BF"/>
      <w:sz w:val="28"/>
      <w:szCs w:val="28"/>
      <w:lang w:val="es-E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E6186"/>
    <w:rPr>
      <w:rFonts w:eastAsiaTheme="majorEastAsia" w:cstheme="majorBidi"/>
      <w:i/>
      <w:iCs/>
      <w:color w:val="2F5496" w:themeColor="accent1" w:themeShade="BF"/>
      <w:lang w:val="es-E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E6186"/>
    <w:rPr>
      <w:rFonts w:eastAsiaTheme="majorEastAsia" w:cstheme="majorBidi"/>
      <w:color w:val="2F5496" w:themeColor="accent1" w:themeShade="BF"/>
      <w:lang w:val="es-E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E6186"/>
    <w:rPr>
      <w:rFonts w:eastAsiaTheme="majorEastAsia" w:cstheme="majorBidi"/>
      <w:i/>
      <w:iCs/>
      <w:color w:val="595959" w:themeColor="text1" w:themeTint="A6"/>
      <w:lang w:val="es-E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E6186"/>
    <w:rPr>
      <w:rFonts w:eastAsiaTheme="majorEastAsia" w:cstheme="majorBidi"/>
      <w:color w:val="595959" w:themeColor="text1" w:themeTint="A6"/>
      <w:lang w:val="es-E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6186"/>
    <w:rPr>
      <w:rFonts w:eastAsiaTheme="majorEastAsia" w:cstheme="majorBidi"/>
      <w:i/>
      <w:iCs/>
      <w:color w:val="272727" w:themeColor="text1" w:themeTint="D8"/>
      <w:lang w:val="es-E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6186"/>
    <w:rPr>
      <w:rFonts w:eastAsiaTheme="majorEastAsia" w:cstheme="majorBidi"/>
      <w:color w:val="272727" w:themeColor="text1" w:themeTint="D8"/>
      <w:lang w:val="es-ES"/>
    </w:rPr>
  </w:style>
  <w:style w:type="paragraph" w:styleId="Title">
    <w:name w:val="Title"/>
    <w:basedOn w:val="Normal"/>
    <w:next w:val="Normal"/>
    <w:link w:val="TitleChar"/>
    <w:uiPriority w:val="10"/>
    <w:qFormat/>
    <w:rsid w:val="009E618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E6186"/>
    <w:rPr>
      <w:rFonts w:asciiTheme="majorHAnsi" w:eastAsiaTheme="majorEastAsia" w:hAnsiTheme="majorHAnsi" w:cstheme="majorBidi"/>
      <w:spacing w:val="-10"/>
      <w:kern w:val="28"/>
      <w:sz w:val="56"/>
      <w:szCs w:val="56"/>
      <w:lang w:val="es-ES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618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E6186"/>
    <w:rPr>
      <w:rFonts w:eastAsiaTheme="majorEastAsia" w:cstheme="majorBidi"/>
      <w:color w:val="595959" w:themeColor="text1" w:themeTint="A6"/>
      <w:spacing w:val="15"/>
      <w:sz w:val="28"/>
      <w:szCs w:val="28"/>
      <w:lang w:val="es-ES"/>
    </w:rPr>
  </w:style>
  <w:style w:type="paragraph" w:styleId="Quote">
    <w:name w:val="Quote"/>
    <w:basedOn w:val="Normal"/>
    <w:next w:val="Normal"/>
    <w:link w:val="QuoteChar"/>
    <w:uiPriority w:val="29"/>
    <w:qFormat/>
    <w:rsid w:val="009E618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E6186"/>
    <w:rPr>
      <w:i/>
      <w:iCs/>
      <w:color w:val="404040" w:themeColor="text1" w:themeTint="BF"/>
      <w:lang w:val="es-ES"/>
    </w:rPr>
  </w:style>
  <w:style w:type="paragraph" w:styleId="ListParagraph">
    <w:name w:val="List Paragraph"/>
    <w:basedOn w:val="Normal"/>
    <w:uiPriority w:val="34"/>
    <w:qFormat/>
    <w:rsid w:val="009E618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E6186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618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6186"/>
    <w:rPr>
      <w:i/>
      <w:iCs/>
      <w:color w:val="2F5496" w:themeColor="accent1" w:themeShade="BF"/>
      <w:lang w:val="es-ES"/>
    </w:rPr>
  </w:style>
  <w:style w:type="character" w:styleId="IntenseReference">
    <w:name w:val="Intense Reference"/>
    <w:basedOn w:val="DefaultParagraphFont"/>
    <w:uiPriority w:val="32"/>
    <w:qFormat/>
    <w:rsid w:val="009E6186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9E61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uiPriority w:val="99"/>
    <w:semiHidden/>
    <w:unhideWhenUsed/>
    <w:rsid w:val="00223EE6"/>
  </w:style>
  <w:style w:type="paragraph" w:styleId="Header">
    <w:name w:val="header"/>
    <w:basedOn w:val="Normal"/>
    <w:link w:val="HeaderChar"/>
    <w:uiPriority w:val="99"/>
    <w:unhideWhenUsed/>
    <w:rsid w:val="00223EE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23EE6"/>
    <w:rPr>
      <w:lang w:val="es-ES"/>
    </w:rPr>
  </w:style>
  <w:style w:type="paragraph" w:styleId="Footer">
    <w:name w:val="footer"/>
    <w:basedOn w:val="Normal"/>
    <w:link w:val="FooterChar"/>
    <w:uiPriority w:val="99"/>
    <w:unhideWhenUsed/>
    <w:rsid w:val="00223EE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23EE6"/>
    <w:rPr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C390A3-E8AF-4F25-9B42-938F0A25B4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806</Words>
  <Characters>4597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Rafael E Gonzalez Ramos</dc:creator>
  <cp:keywords/>
  <dc:description/>
  <cp:lastModifiedBy>Gladys J. Burgos Torres</cp:lastModifiedBy>
  <cp:revision>4</cp:revision>
  <cp:lastPrinted>2025-02-10T13:55:00Z</cp:lastPrinted>
  <dcterms:created xsi:type="dcterms:W3CDTF">2025-02-12T19:48:00Z</dcterms:created>
  <dcterms:modified xsi:type="dcterms:W3CDTF">2025-02-13T12:42:00Z</dcterms:modified>
</cp:coreProperties>
</file>