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840CA" w14:textId="77777777" w:rsidR="006A629C" w:rsidRPr="00851E49" w:rsidRDefault="006A629C" w:rsidP="006A629C">
      <w:pPr>
        <w:tabs>
          <w:tab w:val="center" w:pos="4680"/>
        </w:tabs>
        <w:jc w:val="center"/>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GOBIERNO DE PUERTO RICO</w:t>
      </w:r>
    </w:p>
    <w:p w14:paraId="194A831D" w14:textId="77777777" w:rsidR="006A629C" w:rsidRPr="00851E49" w:rsidRDefault="006A629C" w:rsidP="006A629C">
      <w:pPr>
        <w:tabs>
          <w:tab w:val="center" w:pos="4680"/>
        </w:tabs>
        <w:rPr>
          <w:rFonts w:ascii="Book Antiqua" w:eastAsia="Book Antiqua" w:hAnsi="Book Antiqua" w:cs="Book Antiqua"/>
          <w:sz w:val="28"/>
          <w:szCs w:val="28"/>
          <w:lang w:val="es-ES"/>
        </w:rPr>
      </w:pPr>
    </w:p>
    <w:p w14:paraId="5A94C195" w14:textId="77777777" w:rsidR="006A629C" w:rsidRPr="00851E49" w:rsidRDefault="006A629C" w:rsidP="006A629C">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Asamblea</w:t>
      </w:r>
      <w:r w:rsidRPr="00851E49">
        <w:rPr>
          <w:rFonts w:ascii="Book Antiqua" w:eastAsia="Book Antiqua" w:hAnsi="Book Antiqua" w:cs="Book Antiqua"/>
          <w:lang w:val="es-ES"/>
        </w:rPr>
        <w:tab/>
      </w:r>
      <w:r>
        <w:rPr>
          <w:rFonts w:ascii="Book Antiqua" w:eastAsia="Book Antiqua" w:hAnsi="Book Antiqua" w:cs="Book Antiqua"/>
          <w:lang w:val="es-ES"/>
        </w:rPr>
        <w:t>2</w:t>
      </w:r>
      <w:r>
        <w:rPr>
          <w:rFonts w:ascii="Book Antiqua" w:eastAsia="Book Antiqua" w:hAnsi="Book Antiqua" w:cs="Book Antiqua"/>
          <w:vertAlign w:val="superscript"/>
          <w:lang w:val="es-ES"/>
        </w:rPr>
        <w:t>da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Sesión</w:t>
      </w:r>
    </w:p>
    <w:p w14:paraId="17D34700" w14:textId="77777777" w:rsidR="006A629C" w:rsidRDefault="006A629C" w:rsidP="006A629C">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t xml:space="preserve">                                    </w:t>
      </w:r>
      <w:r>
        <w:rPr>
          <w:rFonts w:ascii="Book Antiqua" w:eastAsia="Book Antiqua" w:hAnsi="Book Antiqua" w:cs="Book Antiqua"/>
          <w:lang w:val="es-ES"/>
        </w:rPr>
        <w:t xml:space="preserve">           </w:t>
      </w:r>
      <w:r w:rsidRPr="00851E49">
        <w:rPr>
          <w:rFonts w:ascii="Book Antiqua" w:eastAsia="Book Antiqua" w:hAnsi="Book Antiqua" w:cs="Book Antiqua"/>
          <w:lang w:val="es-ES"/>
        </w:rPr>
        <w:t xml:space="preserve"> </w:t>
      </w:r>
      <w:r>
        <w:rPr>
          <w:rFonts w:ascii="Book Antiqua" w:eastAsia="Book Antiqua" w:hAnsi="Book Antiqua" w:cs="Book Antiqua"/>
          <w:lang w:val="es-ES"/>
        </w:rPr>
        <w:t xml:space="preserve"> </w:t>
      </w:r>
      <w:r w:rsidRPr="00851E49">
        <w:rPr>
          <w:rFonts w:ascii="Book Antiqua" w:eastAsia="Book Antiqua" w:hAnsi="Book Antiqua" w:cs="Book Antiqua"/>
          <w:lang w:val="es-ES"/>
        </w:rPr>
        <w:t>Ordinaria</w:t>
      </w:r>
    </w:p>
    <w:p w14:paraId="1F57849F" w14:textId="77777777" w:rsidR="006A629C" w:rsidRPr="00946299" w:rsidRDefault="006A629C" w:rsidP="006A629C">
      <w:pPr>
        <w:tabs>
          <w:tab w:val="left" w:pos="720"/>
          <w:tab w:val="left" w:pos="4215"/>
          <w:tab w:val="left" w:pos="5160"/>
          <w:tab w:val="left" w:pos="8100"/>
        </w:tabs>
        <w:rPr>
          <w:rFonts w:ascii="Book Antiqua" w:eastAsia="Book Antiqua" w:hAnsi="Book Antiqua" w:cs="Book Antiqua"/>
          <w:lang w:val="es-ES"/>
        </w:rPr>
      </w:pPr>
    </w:p>
    <w:p w14:paraId="7B879562" w14:textId="77777777" w:rsidR="006A629C" w:rsidRPr="00851E49" w:rsidRDefault="006A629C" w:rsidP="006A629C">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1B7AD7B3" w14:textId="77777777" w:rsidR="006A629C" w:rsidRPr="00851E49" w:rsidRDefault="006A629C" w:rsidP="006A629C">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Pr="00FF7BEC">
        <w:rPr>
          <w:rFonts w:ascii="Book Antiqua" w:eastAsia="Book Antiqua" w:hAnsi="Book Antiqua" w:cs="Book Antiqua"/>
          <w:b/>
          <w:sz w:val="52"/>
          <w:szCs w:val="52"/>
          <w:lang w:val="es-ES"/>
        </w:rPr>
        <w:t xml:space="preserve">. de la C. </w:t>
      </w:r>
      <w:r>
        <w:rPr>
          <w:rFonts w:ascii="Book Antiqua" w:eastAsia="Book Antiqua" w:hAnsi="Book Antiqua" w:cs="Book Antiqua"/>
          <w:b/>
          <w:sz w:val="52"/>
          <w:szCs w:val="52"/>
          <w:lang w:val="es-ES"/>
        </w:rPr>
        <w:t>138</w:t>
      </w:r>
    </w:p>
    <w:p w14:paraId="52B1B4AF" w14:textId="1DAD2081" w:rsidR="006A629C" w:rsidRPr="00851E49" w:rsidRDefault="00A65E6F" w:rsidP="006A629C">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 xml:space="preserve">SEGUNDO </w:t>
      </w:r>
      <w:r w:rsidR="006A629C" w:rsidRPr="00A65E6F">
        <w:rPr>
          <w:rFonts w:ascii="Book Antiqua" w:eastAsia="Book Antiqua" w:hAnsi="Book Antiqua" w:cs="Book Antiqua"/>
          <w:b/>
          <w:sz w:val="28"/>
          <w:szCs w:val="28"/>
          <w:lang w:val="es-ES"/>
        </w:rPr>
        <w:t xml:space="preserve">INFORME </w:t>
      </w:r>
      <w:r w:rsidR="00F62903" w:rsidRPr="00A65E6F">
        <w:rPr>
          <w:rFonts w:ascii="Book Antiqua" w:eastAsia="Book Antiqua" w:hAnsi="Book Antiqua" w:cs="Book Antiqua"/>
          <w:b/>
          <w:sz w:val="28"/>
          <w:szCs w:val="28"/>
          <w:lang w:val="es-ES"/>
        </w:rPr>
        <w:t xml:space="preserve">PARCIAL </w:t>
      </w:r>
      <w:r w:rsidR="006A629C">
        <w:rPr>
          <w:rFonts w:ascii="Book Antiqua" w:eastAsia="Book Antiqua" w:hAnsi="Book Antiqua" w:cs="Book Antiqua"/>
          <w:b/>
          <w:sz w:val="28"/>
          <w:szCs w:val="28"/>
          <w:lang w:val="es-ES"/>
        </w:rPr>
        <w:t xml:space="preserve">  </w:t>
      </w:r>
      <w:r w:rsidR="006A629C" w:rsidRPr="00851E49">
        <w:rPr>
          <w:rFonts w:ascii="Book Antiqua" w:eastAsia="Book Antiqua" w:hAnsi="Book Antiqua" w:cs="Book Antiqua"/>
          <w:b/>
          <w:sz w:val="28"/>
          <w:szCs w:val="28"/>
          <w:lang w:val="es-ES"/>
        </w:rPr>
        <w:t xml:space="preserve"> </w:t>
      </w:r>
    </w:p>
    <w:p w14:paraId="066D826E" w14:textId="1BCE620D" w:rsidR="006A629C" w:rsidRDefault="00615593" w:rsidP="006A629C">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25 </w:t>
      </w:r>
      <w:r w:rsidR="006A629C" w:rsidRPr="00851E49">
        <w:rPr>
          <w:rFonts w:ascii="Book Antiqua" w:eastAsia="Book Antiqua" w:hAnsi="Book Antiqua" w:cs="Book Antiqua"/>
          <w:lang w:val="es-ES"/>
        </w:rPr>
        <w:t xml:space="preserve">de </w:t>
      </w:r>
      <w:r w:rsidR="00573BEB">
        <w:rPr>
          <w:rFonts w:ascii="Book Antiqua" w:eastAsia="Book Antiqua" w:hAnsi="Book Antiqua" w:cs="Book Antiqua"/>
          <w:lang w:val="es-ES"/>
        </w:rPr>
        <w:t>septiembre</w:t>
      </w:r>
      <w:r w:rsidR="006A629C">
        <w:rPr>
          <w:rFonts w:ascii="Book Antiqua" w:eastAsia="Book Antiqua" w:hAnsi="Book Antiqua" w:cs="Book Antiqua"/>
          <w:lang w:val="es-ES"/>
        </w:rPr>
        <w:t xml:space="preserve"> </w:t>
      </w:r>
      <w:r w:rsidR="006A629C" w:rsidRPr="00851E49">
        <w:rPr>
          <w:rFonts w:ascii="Book Antiqua" w:eastAsia="Book Antiqua" w:hAnsi="Book Antiqua" w:cs="Book Antiqua"/>
          <w:lang w:val="es-ES"/>
        </w:rPr>
        <w:t>de 2025</w:t>
      </w:r>
    </w:p>
    <w:p w14:paraId="32317C2B" w14:textId="77777777" w:rsidR="006A629C" w:rsidRDefault="006A629C" w:rsidP="006A629C">
      <w:pPr>
        <w:rPr>
          <w:rFonts w:ascii="Book Antiqua" w:eastAsia="Book Antiqua" w:hAnsi="Book Antiqua" w:cs="Book Antiqua"/>
          <w:b/>
          <w:lang w:val="es-ES"/>
        </w:rPr>
      </w:pPr>
    </w:p>
    <w:p w14:paraId="2F755F07" w14:textId="77777777" w:rsidR="006A629C" w:rsidRPr="00851E49" w:rsidRDefault="006A629C" w:rsidP="006A629C">
      <w:pP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Pr>
          <w:rFonts w:ascii="Book Antiqua" w:eastAsia="Book Antiqua" w:hAnsi="Book Antiqua" w:cs="Book Antiqua"/>
          <w:b/>
          <w:lang w:val="es-ES"/>
        </w:rPr>
        <w:t>:</w:t>
      </w:r>
    </w:p>
    <w:p w14:paraId="44CB6E7A" w14:textId="77777777" w:rsidR="006A629C" w:rsidRDefault="006A629C" w:rsidP="006A629C">
      <w:pPr>
        <w:rPr>
          <w:rFonts w:ascii="Book Antiqua" w:eastAsia="Book Antiqua" w:hAnsi="Book Antiqua" w:cs="Book Antiqua"/>
          <w:lang w:val="es-ES"/>
        </w:rPr>
      </w:pPr>
    </w:p>
    <w:p w14:paraId="7A7D35B8" w14:textId="77777777" w:rsidR="00FE7E8F" w:rsidRDefault="00FE7E8F" w:rsidP="006A629C">
      <w:pPr>
        <w:ind w:firstLine="720"/>
        <w:jc w:val="both"/>
        <w:rPr>
          <w:rFonts w:ascii="Book Antiqua" w:hAnsi="Book Antiqua" w:cs="Arial"/>
          <w:lang w:val="es-PR"/>
        </w:rPr>
      </w:pPr>
    </w:p>
    <w:p w14:paraId="6E06E942" w14:textId="2E93E07D" w:rsidR="00F33CEA" w:rsidRPr="00EC4A83" w:rsidRDefault="00F33CEA" w:rsidP="00F33CEA">
      <w:pPr>
        <w:ind w:firstLine="708"/>
        <w:jc w:val="both"/>
        <w:rPr>
          <w:rFonts w:ascii="Book Antiqua" w:hAnsi="Book Antiqua" w:cs="Tahoma"/>
          <w:color w:val="000000" w:themeColor="text1"/>
          <w:szCs w:val="24"/>
          <w:lang w:val="es-ES"/>
        </w:rPr>
      </w:pPr>
      <w:r w:rsidRPr="00EC4A83">
        <w:rPr>
          <w:rFonts w:ascii="Book Antiqua" w:hAnsi="Book Antiqua"/>
          <w:color w:val="000000" w:themeColor="text1"/>
          <w:szCs w:val="24"/>
          <w:lang w:val="es-ES"/>
        </w:rPr>
        <w:t xml:space="preserve">La Comisión de Asuntos de la Mujer de la Cámara de Representantes del Gobierno de Puerto Rico, previo estudio, investigación y consideración de la Resolución de la Cámara 138, tiene a bien someter este </w:t>
      </w:r>
      <w:r w:rsidR="00CB3FE1" w:rsidRPr="00EC4A83">
        <w:rPr>
          <w:rFonts w:ascii="Book Antiqua" w:hAnsi="Book Antiqua"/>
          <w:color w:val="000000" w:themeColor="text1"/>
          <w:szCs w:val="24"/>
          <w:lang w:val="es-ES"/>
        </w:rPr>
        <w:t>Segundo</w:t>
      </w:r>
      <w:r w:rsidRPr="00EC4A83">
        <w:rPr>
          <w:rFonts w:ascii="Book Antiqua" w:hAnsi="Book Antiqua"/>
          <w:color w:val="000000" w:themeColor="text1"/>
          <w:szCs w:val="24"/>
          <w:lang w:val="es-ES"/>
        </w:rPr>
        <w:t xml:space="preserve"> Informe Parcial con sus hallazgos, recomendaciones y conclusiones. </w:t>
      </w:r>
    </w:p>
    <w:p w14:paraId="45ABE1EC" w14:textId="77777777" w:rsidR="00F33CEA" w:rsidRPr="00F33CEA" w:rsidRDefault="00F33CEA" w:rsidP="006A629C">
      <w:pPr>
        <w:ind w:firstLine="720"/>
        <w:jc w:val="both"/>
        <w:rPr>
          <w:rFonts w:ascii="Book Antiqua" w:hAnsi="Book Antiqua" w:cs="Arial"/>
          <w:lang w:val="es-ES"/>
        </w:rPr>
      </w:pPr>
    </w:p>
    <w:p w14:paraId="6C86284D" w14:textId="77777777" w:rsidR="006A629C" w:rsidRPr="00F33CEA" w:rsidRDefault="006A629C" w:rsidP="006A629C">
      <w:pPr>
        <w:jc w:val="center"/>
        <w:rPr>
          <w:rFonts w:ascii="Book Antiqua" w:eastAsia="Book Antiqua" w:hAnsi="Book Antiqua"/>
          <w:b/>
          <w:bCs/>
          <w:szCs w:val="24"/>
          <w:lang w:val="es-PR"/>
        </w:rPr>
      </w:pPr>
    </w:p>
    <w:p w14:paraId="71C4FACB" w14:textId="77777777" w:rsidR="006A629C" w:rsidRPr="0011474E" w:rsidRDefault="006A629C" w:rsidP="006A629C">
      <w:pPr>
        <w:jc w:val="center"/>
        <w:rPr>
          <w:rFonts w:ascii="Book Antiqua" w:eastAsia="Book Antiqua" w:hAnsi="Book Antiqua"/>
          <w:b/>
          <w:bCs/>
          <w:szCs w:val="24"/>
          <w:lang w:val="es-ES"/>
        </w:rPr>
      </w:pPr>
      <w:r w:rsidRPr="0011474E">
        <w:rPr>
          <w:rFonts w:ascii="Book Antiqua" w:eastAsia="Book Antiqua" w:hAnsi="Book Antiqua"/>
          <w:b/>
          <w:bCs/>
          <w:szCs w:val="24"/>
          <w:lang w:val="es-ES"/>
        </w:rPr>
        <w:t>ALCANCE DE LA MEDIDA</w:t>
      </w:r>
    </w:p>
    <w:p w14:paraId="2CD64272" w14:textId="77777777" w:rsidR="006A629C" w:rsidRPr="0011474E" w:rsidRDefault="006A629C" w:rsidP="006A629C">
      <w:pPr>
        <w:jc w:val="both"/>
        <w:rPr>
          <w:rFonts w:ascii="Book Antiqua" w:eastAsia="Book Antiqua" w:hAnsi="Book Antiqua"/>
          <w:szCs w:val="24"/>
          <w:lang w:val="es-ES"/>
        </w:rPr>
      </w:pPr>
    </w:p>
    <w:p w14:paraId="32BFDD44" w14:textId="35AB9592" w:rsidR="006A629C" w:rsidRPr="000A5144" w:rsidRDefault="006A629C" w:rsidP="006A629C">
      <w:pPr>
        <w:ind w:firstLine="720"/>
        <w:jc w:val="both"/>
        <w:rPr>
          <w:rFonts w:ascii="Book Antiqua" w:hAnsi="Book Antiqua"/>
          <w:lang w:val="es-ES"/>
        </w:rPr>
      </w:pPr>
      <w:r w:rsidRPr="0092092D">
        <w:rPr>
          <w:rFonts w:ascii="Book Antiqua" w:hAnsi="Book Antiqua"/>
        </w:rPr>
        <w:t>La Resoluci</w:t>
      </w:r>
      <w:r>
        <w:rPr>
          <w:rFonts w:ascii="Book Antiqua" w:hAnsi="Book Antiqua"/>
        </w:rPr>
        <w:t>ó</w:t>
      </w:r>
      <w:r w:rsidRPr="0092092D">
        <w:rPr>
          <w:rFonts w:ascii="Book Antiqua" w:hAnsi="Book Antiqua"/>
        </w:rPr>
        <w:t xml:space="preserve">n de la Cámara Núm. </w:t>
      </w:r>
      <w:r>
        <w:rPr>
          <w:rFonts w:ascii="Book Antiqua" w:hAnsi="Book Antiqua"/>
        </w:rPr>
        <w:t xml:space="preserve">138, </w:t>
      </w:r>
      <w:r w:rsidRPr="00EC4A83">
        <w:rPr>
          <w:rFonts w:ascii="Book Antiqua" w:hAnsi="Book Antiqua"/>
        </w:rPr>
        <w:t>p</w:t>
      </w:r>
      <w:r w:rsidRPr="00EC4A83">
        <w:rPr>
          <w:rFonts w:ascii="Book Antiqua" w:hAnsi="Book Antiqua"/>
          <w:lang w:val="es-ES"/>
        </w:rPr>
        <w:t>ara</w:t>
      </w:r>
      <w:r w:rsidRPr="00EC4A83">
        <w:rPr>
          <w:lang w:val="es-ES"/>
        </w:rPr>
        <w:t xml:space="preserve"> </w:t>
      </w:r>
      <w:r w:rsidRPr="00EC4A83">
        <w:rPr>
          <w:rFonts w:ascii="Book Antiqua" w:hAnsi="Book Antiqua"/>
          <w:lang w:val="es-ES"/>
        </w:rPr>
        <w:t>ordenar</w:t>
      </w:r>
      <w:r w:rsidRPr="2E1F472C">
        <w:rPr>
          <w:rFonts w:ascii="Book Antiqua" w:hAnsi="Book Antiqua"/>
          <w:lang w:val="es-ES"/>
        </w:rPr>
        <w:t xml:space="preserve"> a la Comisión de Asuntos de la Mujer de la Cámara de</w:t>
      </w:r>
      <w:r>
        <w:rPr>
          <w:rFonts w:ascii="Book Antiqua" w:hAnsi="Book Antiqua"/>
          <w:lang w:val="es-ES"/>
        </w:rPr>
        <w:t xml:space="preserve"> </w:t>
      </w:r>
      <w:r w:rsidRPr="2E1F472C">
        <w:rPr>
          <w:rFonts w:ascii="Book Antiqua" w:hAnsi="Book Antiqua"/>
          <w:lang w:val="es-ES"/>
        </w:rPr>
        <w:t>Representantes de</w:t>
      </w:r>
      <w:r>
        <w:rPr>
          <w:rFonts w:ascii="Book Antiqua" w:hAnsi="Book Antiqua"/>
          <w:lang w:val="es-ES"/>
        </w:rPr>
        <w:t xml:space="preserve"> </w:t>
      </w:r>
      <w:r w:rsidRPr="000A5144">
        <w:rPr>
          <w:rFonts w:ascii="Book Antiqua" w:hAnsi="Book Antiqua"/>
          <w:lang w:val="es-ES"/>
        </w:rPr>
        <w:t xml:space="preserve">Puerto Rico realizar una investigación sobre todo asunto relacionado al desarrollo pleno de la mujer en la sociedad, </w:t>
      </w:r>
      <w:r w:rsidRPr="000A5144">
        <w:rPr>
          <w:rFonts w:ascii="Book Antiqua" w:hAnsi="Book Antiqua"/>
          <w:iCs/>
          <w:lang w:val="es-ES"/>
        </w:rPr>
        <w:t>orientada a garantizar y ampliar</w:t>
      </w:r>
      <w:r w:rsidRPr="000A5144">
        <w:rPr>
          <w:rFonts w:ascii="Book Antiqua" w:hAnsi="Book Antiqua"/>
          <w:lang w:val="es-ES"/>
        </w:rPr>
        <w:t xml:space="preserve"> las oportunidades para que las mujeres tengan acceso a los procesos de formación y capacitación personal, ocupacional y profesional; </w:t>
      </w:r>
      <w:r w:rsidRPr="000A5144">
        <w:rPr>
          <w:rFonts w:ascii="Book Antiqua" w:hAnsi="Book Antiqua"/>
          <w:iCs/>
          <w:lang w:val="es-ES"/>
        </w:rPr>
        <w:t>promover acciones concretas dirigidas a mejorar significativamente las condiciones de vida de las mujeres en sus comunidades;</w:t>
      </w:r>
      <w:r w:rsidRPr="000A5144">
        <w:rPr>
          <w:rFonts w:ascii="Book Antiqua" w:hAnsi="Book Antiqua"/>
          <w:lang w:val="es-ES"/>
        </w:rPr>
        <w:t xml:space="preserve"> alcanzar una verdadera igualdad, al impulsar, divulgar y ejecutar una política pública de verdadera equidad de género; los derechos legales y constitucionales de la mujer y su situación o estado en la sociedad en los aspectos jurídicos, económicos, políticos y sociales; el discrimen contra la mujer o posible violación de sus derechos legales y constitucionales; feminicidios; las necesidades de las madres solteras y sus familias, de las jóvenes que por razones de violencia, embarazos prematuros o circunstancias económicas, entre otras, optan por abandonar sus estudios, de las mujeres que por maltrato o divorcio requieren de un techo seguro, de las profesionales que requieren apoyo gubernamental para el cuido de sus hijos e hijas y acceso a oportunidades de empleo y actividades empresariales y de las que requieren </w:t>
      </w:r>
      <w:r w:rsidRPr="000A5144">
        <w:rPr>
          <w:rFonts w:ascii="Book Antiqua" w:hAnsi="Book Antiqua"/>
          <w:lang w:val="es-ES"/>
        </w:rPr>
        <w:lastRenderedPageBreak/>
        <w:t xml:space="preserve">acceso adecuado a servicios de salud sexual y reproductiva, prenatales, de parto y </w:t>
      </w:r>
      <w:r w:rsidR="00A65E6F" w:rsidRPr="000A5144">
        <w:rPr>
          <w:rFonts w:ascii="Book Antiqua" w:hAnsi="Book Antiqua"/>
          <w:lang w:val="es-ES"/>
        </w:rPr>
        <w:t>postparto</w:t>
      </w:r>
      <w:r w:rsidRPr="000A5144">
        <w:rPr>
          <w:rFonts w:ascii="Book Antiqua" w:hAnsi="Book Antiqua"/>
          <w:lang w:val="es-ES"/>
        </w:rPr>
        <w:t>; y para otros fines relacionados.</w:t>
      </w:r>
    </w:p>
    <w:p w14:paraId="059848FB" w14:textId="77777777" w:rsidR="006A629C" w:rsidRDefault="006A629C" w:rsidP="006A629C">
      <w:pPr>
        <w:rPr>
          <w:rFonts w:ascii="Book Antiqua" w:eastAsia="Book Antiqua" w:hAnsi="Book Antiqua"/>
          <w:b/>
          <w:bCs/>
          <w:szCs w:val="24"/>
          <w:lang w:val="es-ES"/>
        </w:rPr>
      </w:pPr>
    </w:p>
    <w:p w14:paraId="3E347F67" w14:textId="04509164" w:rsidR="006A629C" w:rsidRPr="00F33CEA" w:rsidRDefault="00F33CEA" w:rsidP="00F33CEA">
      <w:pPr>
        <w:jc w:val="both"/>
        <w:rPr>
          <w:rFonts w:ascii="Book Antiqua" w:eastAsia="Book Antiqua" w:hAnsi="Book Antiqua"/>
          <w:color w:val="EE0000"/>
          <w:szCs w:val="24"/>
          <w:lang w:val="es-ES"/>
        </w:rPr>
      </w:pPr>
      <w:r>
        <w:rPr>
          <w:rFonts w:ascii="Book Antiqua" w:eastAsia="Book Antiqua" w:hAnsi="Book Antiqua"/>
          <w:b/>
          <w:bCs/>
          <w:szCs w:val="24"/>
          <w:lang w:val="es-ES"/>
        </w:rPr>
        <w:tab/>
      </w:r>
      <w:r w:rsidRPr="00EC4A83">
        <w:rPr>
          <w:rFonts w:ascii="Book Antiqua" w:eastAsia="Book Antiqua" w:hAnsi="Book Antiqua"/>
          <w:color w:val="000000" w:themeColor="text1"/>
          <w:szCs w:val="24"/>
          <w:lang w:val="es-ES"/>
        </w:rPr>
        <w:t xml:space="preserve">Este Segundo Informe Parcial se ha enfocado en el aspecto específico de la relación entre la salud mental y la violencia domestica contra las mujeres.  A continuación, presentamos los hallazgos, recomendaciones y conclusiones sobre este particular.  </w:t>
      </w:r>
    </w:p>
    <w:p w14:paraId="2CD49A25" w14:textId="77777777" w:rsidR="00F33CEA" w:rsidRPr="00F33CEA" w:rsidRDefault="00F33CEA" w:rsidP="006A629C">
      <w:pPr>
        <w:rPr>
          <w:rFonts w:ascii="Book Antiqua" w:eastAsia="Book Antiqua" w:hAnsi="Book Antiqua"/>
          <w:b/>
          <w:bCs/>
          <w:szCs w:val="24"/>
          <w:lang w:val="es-ES"/>
        </w:rPr>
      </w:pPr>
    </w:p>
    <w:p w14:paraId="7F08716C" w14:textId="77777777" w:rsidR="006A629C" w:rsidRPr="0011474E" w:rsidRDefault="006A629C" w:rsidP="006A629C">
      <w:pPr>
        <w:jc w:val="center"/>
        <w:rPr>
          <w:rFonts w:ascii="Book Antiqua" w:eastAsia="Book Antiqua" w:hAnsi="Book Antiqua"/>
          <w:b/>
          <w:bCs/>
          <w:szCs w:val="24"/>
          <w:lang w:val="es-ES"/>
        </w:rPr>
      </w:pPr>
      <w:r w:rsidRPr="0011474E">
        <w:rPr>
          <w:rFonts w:ascii="Book Antiqua" w:eastAsia="Book Antiqua" w:hAnsi="Book Antiqua"/>
          <w:b/>
          <w:bCs/>
          <w:szCs w:val="24"/>
          <w:lang w:val="es-ES"/>
        </w:rPr>
        <w:t>ANÁLISIS DE LA MEDIDA</w:t>
      </w:r>
    </w:p>
    <w:p w14:paraId="01F448BB" w14:textId="77777777" w:rsidR="006A629C" w:rsidRPr="0011474E" w:rsidRDefault="006A629C" w:rsidP="006A629C">
      <w:pPr>
        <w:jc w:val="both"/>
        <w:rPr>
          <w:rFonts w:ascii="Book Antiqua" w:hAnsi="Book Antiqua"/>
          <w:color w:val="000000"/>
          <w:szCs w:val="24"/>
          <w:lang w:val="es-PR"/>
        </w:rPr>
      </w:pPr>
    </w:p>
    <w:p w14:paraId="1396D13A" w14:textId="26F37C12" w:rsidR="006A629C" w:rsidRDefault="006A629C" w:rsidP="006A629C">
      <w:pPr>
        <w:ind w:firstLine="720"/>
        <w:jc w:val="both"/>
        <w:rPr>
          <w:rFonts w:ascii="Book Antiqua" w:eastAsia="Book Antiqua" w:hAnsi="Book Antiqua"/>
          <w:szCs w:val="24"/>
          <w:lang w:val="es-ES"/>
        </w:rPr>
      </w:pPr>
      <w:r w:rsidRPr="00A94150">
        <w:rPr>
          <w:rFonts w:ascii="Book Antiqua" w:eastAsia="MS Mincho" w:hAnsi="Book Antiqua"/>
          <w:color w:val="000000"/>
          <w:szCs w:val="24"/>
          <w:lang w:val="es-PR"/>
        </w:rPr>
        <w:t>Para el análisis</w:t>
      </w:r>
      <w:r>
        <w:rPr>
          <w:rFonts w:ascii="Book Antiqua" w:eastAsia="MS Mincho" w:hAnsi="Book Antiqua"/>
          <w:color w:val="000000"/>
          <w:szCs w:val="24"/>
          <w:lang w:val="es-PR"/>
        </w:rPr>
        <w:t xml:space="preserve"> y dar </w:t>
      </w:r>
      <w:r w:rsidRPr="00A94150">
        <w:rPr>
          <w:rFonts w:ascii="Book Antiqua" w:hAnsi="Book Antiqua"/>
          <w:szCs w:val="24"/>
        </w:rPr>
        <w:t xml:space="preserve">cumplimiento a las disposiciones de la </w:t>
      </w:r>
      <w:r w:rsidRPr="00EC4A83">
        <w:rPr>
          <w:rFonts w:ascii="Book Antiqua" w:hAnsi="Book Antiqua"/>
          <w:szCs w:val="24"/>
        </w:rPr>
        <w:t xml:space="preserve">R. </w:t>
      </w:r>
      <w:r w:rsidR="00EC4A83" w:rsidRPr="00EC4A83">
        <w:rPr>
          <w:rFonts w:ascii="Book Antiqua" w:hAnsi="Book Antiqua"/>
          <w:szCs w:val="24"/>
        </w:rPr>
        <w:t>d</w:t>
      </w:r>
      <w:r w:rsidRPr="00EC4A83">
        <w:rPr>
          <w:rFonts w:ascii="Book Antiqua" w:hAnsi="Book Antiqua"/>
          <w:szCs w:val="24"/>
        </w:rPr>
        <w:t>e la C. 138</w:t>
      </w:r>
      <w:r>
        <w:rPr>
          <w:rFonts w:ascii="Book Antiqua" w:hAnsi="Book Antiqua"/>
          <w:szCs w:val="24"/>
        </w:rPr>
        <w:t xml:space="preserve"> </w:t>
      </w:r>
      <w:r>
        <w:rPr>
          <w:rFonts w:ascii="Book Antiqua" w:eastAsia="Book Antiqua" w:hAnsi="Book Antiqua"/>
          <w:szCs w:val="24"/>
          <w:lang w:val="es-ES"/>
        </w:rPr>
        <w:t xml:space="preserve">solicitamos a: Instituto de </w:t>
      </w:r>
      <w:r w:rsidR="00225FD4">
        <w:rPr>
          <w:rFonts w:ascii="Book Antiqua" w:eastAsia="Book Antiqua" w:hAnsi="Book Antiqua"/>
          <w:szCs w:val="24"/>
          <w:lang w:val="es-ES"/>
        </w:rPr>
        <w:t>E</w:t>
      </w:r>
      <w:r>
        <w:rPr>
          <w:rFonts w:ascii="Book Antiqua" w:eastAsia="Book Antiqua" w:hAnsi="Book Antiqua"/>
          <w:szCs w:val="24"/>
          <w:lang w:val="es-ES"/>
        </w:rPr>
        <w:t xml:space="preserve">stadísticas de PR, Oficina de la Procuradora de las Mujeres, </w:t>
      </w:r>
      <w:r w:rsidR="00AC4F20">
        <w:rPr>
          <w:rFonts w:ascii="Book Antiqua" w:eastAsia="Book Antiqua" w:hAnsi="Book Antiqua"/>
          <w:szCs w:val="24"/>
          <w:lang w:val="es-ES"/>
        </w:rPr>
        <w:t>a la</w:t>
      </w:r>
      <w:r>
        <w:rPr>
          <w:rFonts w:ascii="Book Antiqua" w:eastAsia="Book Antiqua" w:hAnsi="Book Antiqua"/>
          <w:szCs w:val="24"/>
          <w:lang w:val="es-ES"/>
        </w:rPr>
        <w:t xml:space="preserve"> Administración de Servicios de Salud Mental y contra la Adicción (ASSMCA) información relacionada a la relación entre la salud mental y la violencia doméstica en contra de las mujeres. </w:t>
      </w:r>
      <w:r w:rsidRPr="0011474E">
        <w:rPr>
          <w:rFonts w:ascii="Book Antiqua" w:eastAsia="Book Antiqua" w:hAnsi="Book Antiqua"/>
          <w:szCs w:val="24"/>
          <w:lang w:val="es-ES"/>
        </w:rPr>
        <w:t xml:space="preserve"> </w:t>
      </w:r>
    </w:p>
    <w:p w14:paraId="1BE566C1" w14:textId="77777777" w:rsidR="006A629C" w:rsidRPr="004D4ADA" w:rsidRDefault="006A629C" w:rsidP="006A629C">
      <w:pPr>
        <w:ind w:firstLine="720"/>
        <w:jc w:val="both"/>
        <w:rPr>
          <w:rFonts w:ascii="Book Antiqua" w:eastAsia="Book Antiqua" w:hAnsi="Book Antiqua"/>
          <w:szCs w:val="24"/>
          <w:lang w:val="es-ES"/>
        </w:rPr>
      </w:pPr>
    </w:p>
    <w:p w14:paraId="7931460C" w14:textId="69A16DCA" w:rsidR="006A629C" w:rsidRPr="00F62903" w:rsidRDefault="006A629C" w:rsidP="006A629C">
      <w:pPr>
        <w:ind w:firstLine="720"/>
        <w:jc w:val="both"/>
        <w:rPr>
          <w:rFonts w:ascii="Book Antiqua" w:hAnsi="Book Antiqua" w:cs="Arial"/>
          <w:lang w:val="es-PR"/>
        </w:rPr>
      </w:pPr>
      <w:r w:rsidRPr="00F62903">
        <w:rPr>
          <w:rFonts w:ascii="Book Antiqua" w:hAnsi="Book Antiqua" w:cs="Arial"/>
          <w:lang w:val="es-PR"/>
        </w:rPr>
        <w:t xml:space="preserve">El Instituto de Estadísticas de Puerto </w:t>
      </w:r>
      <w:r w:rsidR="00F62903" w:rsidRPr="00F62903">
        <w:rPr>
          <w:rFonts w:ascii="Book Antiqua" w:hAnsi="Book Antiqua" w:cs="Arial"/>
          <w:lang w:val="es-PR"/>
        </w:rPr>
        <w:t>Rico, en contestación al requerimiento de i</w:t>
      </w:r>
      <w:r w:rsidRPr="00F62903">
        <w:rPr>
          <w:rFonts w:ascii="Book Antiqua" w:hAnsi="Book Antiqua" w:cs="Arial"/>
          <w:lang w:val="es-PR"/>
        </w:rPr>
        <w:t xml:space="preserve">nformación por la Comisión de Asuntos de la Mujer basada en la Resolución de la Cámara 138, nos informa que la violencia contra las mujeres y su impacto en la salud mental es un problema global que requiere atención urgente y soluciones integrales. </w:t>
      </w:r>
    </w:p>
    <w:p w14:paraId="72593696" w14:textId="52268225" w:rsidR="006A629C" w:rsidRPr="00F62903" w:rsidRDefault="006A629C" w:rsidP="006A629C">
      <w:pPr>
        <w:pStyle w:val="ListParagraph"/>
        <w:numPr>
          <w:ilvl w:val="0"/>
          <w:numId w:val="5"/>
        </w:numPr>
        <w:spacing w:after="160" w:line="278" w:lineRule="auto"/>
        <w:jc w:val="both"/>
        <w:rPr>
          <w:rFonts w:ascii="Book Antiqua" w:hAnsi="Book Antiqua" w:cs="Arial"/>
          <w:lang w:val="es-PR"/>
        </w:rPr>
      </w:pPr>
      <w:r w:rsidRPr="00F62903">
        <w:rPr>
          <w:rFonts w:ascii="Book Antiqua" w:hAnsi="Book Antiqua" w:cs="Arial"/>
          <w:b/>
          <w:bCs/>
          <w:lang w:val="es-PR"/>
        </w:rPr>
        <w:t>Trastornos mentales</w:t>
      </w:r>
      <w:r w:rsidRPr="00F62903">
        <w:rPr>
          <w:rFonts w:ascii="Book Antiqua" w:hAnsi="Book Antiqua" w:cs="Arial"/>
          <w:lang w:val="es-PR"/>
        </w:rPr>
        <w:t xml:space="preserve">: Las mujeres víctimas de violencia tienen </w:t>
      </w:r>
      <w:r w:rsidR="00F62903" w:rsidRPr="00F62903">
        <w:rPr>
          <w:rFonts w:ascii="Book Antiqua" w:hAnsi="Book Antiqua" w:cs="Arial"/>
          <w:lang w:val="es-PR"/>
        </w:rPr>
        <w:t>más</w:t>
      </w:r>
      <w:r w:rsidRPr="00F62903">
        <w:rPr>
          <w:rFonts w:ascii="Book Antiqua" w:hAnsi="Book Antiqua" w:cs="Arial"/>
          <w:lang w:val="es-PR"/>
        </w:rPr>
        <w:t xml:space="preserve"> probabilidades de sufrir depresión, ansiedad trastorno de estrés postraumático (TEPT), ideación suicida y consumo problemático de sustancias. </w:t>
      </w:r>
    </w:p>
    <w:p w14:paraId="63901EFD" w14:textId="1714692D" w:rsidR="006A629C" w:rsidRPr="00F62903" w:rsidRDefault="006A629C" w:rsidP="006A629C">
      <w:pPr>
        <w:pStyle w:val="ListParagraph"/>
        <w:numPr>
          <w:ilvl w:val="0"/>
          <w:numId w:val="5"/>
        </w:numPr>
        <w:spacing w:after="160" w:line="278" w:lineRule="auto"/>
        <w:jc w:val="both"/>
        <w:rPr>
          <w:rFonts w:ascii="Book Antiqua" w:hAnsi="Book Antiqua" w:cs="Arial"/>
          <w:lang w:val="es-PR"/>
        </w:rPr>
      </w:pPr>
      <w:r w:rsidRPr="00F62903">
        <w:rPr>
          <w:rFonts w:ascii="Book Antiqua" w:hAnsi="Book Antiqua" w:cs="Arial"/>
          <w:b/>
          <w:bCs/>
          <w:lang w:val="es-PR"/>
        </w:rPr>
        <w:t>Tipo de Violencia</w:t>
      </w:r>
      <w:r w:rsidRPr="00F62903">
        <w:rPr>
          <w:rFonts w:ascii="Book Antiqua" w:hAnsi="Book Antiqua" w:cs="Arial"/>
          <w:lang w:val="es-PR"/>
        </w:rPr>
        <w:t xml:space="preserve">: La violencia física, sexual, psicológica y económica produce efectos adversos en la salud mental. La violencia psicológica puede ser tan perjudicial como la física, y el abuso de económico </w:t>
      </w:r>
      <w:r w:rsidR="00F62903" w:rsidRPr="00F62903">
        <w:rPr>
          <w:rFonts w:ascii="Book Antiqua" w:hAnsi="Book Antiqua" w:cs="Arial"/>
          <w:lang w:val="es-PR"/>
        </w:rPr>
        <w:t>está</w:t>
      </w:r>
      <w:r w:rsidRPr="00F62903">
        <w:rPr>
          <w:rFonts w:ascii="Book Antiqua" w:hAnsi="Book Antiqua" w:cs="Arial"/>
          <w:lang w:val="es-PR"/>
        </w:rPr>
        <w:t xml:space="preserve"> relacionado con pensamientos suicidas y angustia psicológica. </w:t>
      </w:r>
    </w:p>
    <w:p w14:paraId="2B01AB8D" w14:textId="77777777" w:rsidR="006A629C" w:rsidRPr="00F62903" w:rsidRDefault="006A629C" w:rsidP="006A629C">
      <w:pPr>
        <w:jc w:val="both"/>
        <w:rPr>
          <w:rFonts w:ascii="Book Antiqua" w:hAnsi="Book Antiqua" w:cs="Arial"/>
          <w:lang w:val="es-PR"/>
        </w:rPr>
      </w:pPr>
      <w:r w:rsidRPr="00F62903">
        <w:rPr>
          <w:rFonts w:ascii="Book Antiqua" w:hAnsi="Book Antiqua" w:cs="Arial"/>
          <w:lang w:val="es-PR"/>
        </w:rPr>
        <w:t>Estadísticas Globales</w:t>
      </w:r>
    </w:p>
    <w:p w14:paraId="7A1EF951" w14:textId="77777777" w:rsidR="006A629C" w:rsidRPr="00F62903" w:rsidRDefault="006A629C" w:rsidP="006A629C">
      <w:pPr>
        <w:pStyle w:val="ListParagraph"/>
        <w:numPr>
          <w:ilvl w:val="0"/>
          <w:numId w:val="6"/>
        </w:numPr>
        <w:spacing w:after="160" w:line="278" w:lineRule="auto"/>
        <w:jc w:val="both"/>
        <w:rPr>
          <w:rFonts w:ascii="Book Antiqua" w:hAnsi="Book Antiqua" w:cs="Arial"/>
          <w:lang w:val="es-PR"/>
        </w:rPr>
      </w:pPr>
      <w:r w:rsidRPr="00F62903">
        <w:rPr>
          <w:rFonts w:ascii="Book Antiqua" w:hAnsi="Book Antiqua" w:cs="Arial"/>
          <w:lang w:val="es-PR"/>
        </w:rPr>
        <w:t xml:space="preserve">Prevalencia: Una de cada tres mujeres en el mundo ha sido víctima de violencia física o sexual. </w:t>
      </w:r>
    </w:p>
    <w:p w14:paraId="114F8201" w14:textId="77777777" w:rsidR="006A629C" w:rsidRPr="00F62903" w:rsidRDefault="006A629C" w:rsidP="006A629C">
      <w:pPr>
        <w:pStyle w:val="ListParagraph"/>
        <w:numPr>
          <w:ilvl w:val="0"/>
          <w:numId w:val="6"/>
        </w:numPr>
        <w:spacing w:after="160" w:line="278" w:lineRule="auto"/>
        <w:jc w:val="both"/>
        <w:rPr>
          <w:rFonts w:ascii="Book Antiqua" w:hAnsi="Book Antiqua" w:cs="Arial"/>
          <w:lang w:val="es-PR"/>
        </w:rPr>
      </w:pPr>
      <w:r w:rsidRPr="00F62903">
        <w:rPr>
          <w:rFonts w:ascii="Book Antiqua" w:hAnsi="Book Antiqua" w:cs="Arial"/>
          <w:lang w:val="es-PR"/>
        </w:rPr>
        <w:t xml:space="preserve">Casos Específicos: </w:t>
      </w:r>
    </w:p>
    <w:p w14:paraId="323B114B" w14:textId="5F61E94B" w:rsidR="006A629C" w:rsidRPr="00F62903" w:rsidRDefault="006A629C" w:rsidP="006A629C">
      <w:pPr>
        <w:pStyle w:val="ListParagraph"/>
        <w:numPr>
          <w:ilvl w:val="1"/>
          <w:numId w:val="6"/>
        </w:numPr>
        <w:spacing w:after="160" w:line="278" w:lineRule="auto"/>
        <w:jc w:val="both"/>
        <w:rPr>
          <w:rFonts w:ascii="Book Antiqua" w:hAnsi="Book Antiqua" w:cs="Arial"/>
          <w:lang w:val="es-PR"/>
        </w:rPr>
      </w:pPr>
      <w:r w:rsidRPr="00F62903">
        <w:rPr>
          <w:rFonts w:ascii="Book Antiqua" w:hAnsi="Book Antiqua" w:cs="Arial"/>
          <w:lang w:val="es-PR"/>
        </w:rPr>
        <w:t xml:space="preserve">Estados Unidos </w:t>
      </w:r>
      <w:r w:rsidR="00F62903" w:rsidRPr="00F62903">
        <w:rPr>
          <w:rFonts w:ascii="Book Antiqua" w:hAnsi="Book Antiqua" w:cs="Arial"/>
          <w:lang w:val="es-PR"/>
        </w:rPr>
        <w:t>más</w:t>
      </w:r>
      <w:r w:rsidRPr="00F62903">
        <w:rPr>
          <w:rFonts w:ascii="Book Antiqua" w:hAnsi="Book Antiqua" w:cs="Arial"/>
          <w:lang w:val="es-PR"/>
        </w:rPr>
        <w:t xml:space="preserve"> del 50% de las mujeres </w:t>
      </w:r>
      <w:r w:rsidR="00F62903" w:rsidRPr="00F62903">
        <w:rPr>
          <w:rFonts w:ascii="Book Antiqua" w:hAnsi="Book Antiqua" w:cs="Arial"/>
          <w:lang w:val="es-PR"/>
        </w:rPr>
        <w:t>víctimas</w:t>
      </w:r>
      <w:r w:rsidRPr="00F62903">
        <w:rPr>
          <w:rFonts w:ascii="Book Antiqua" w:hAnsi="Book Antiqua" w:cs="Arial"/>
          <w:lang w:val="es-PR"/>
        </w:rPr>
        <w:t xml:space="preserve"> de violencia domestica cumplían criterios para depresión y TEPT (Nathanson et al., 2012)</w:t>
      </w:r>
    </w:p>
    <w:p w14:paraId="1F13352D" w14:textId="77777777" w:rsidR="006A629C" w:rsidRPr="00F62903" w:rsidRDefault="006A629C" w:rsidP="006A629C">
      <w:pPr>
        <w:pStyle w:val="ListParagraph"/>
        <w:numPr>
          <w:ilvl w:val="1"/>
          <w:numId w:val="6"/>
        </w:numPr>
        <w:spacing w:after="160" w:line="278" w:lineRule="auto"/>
        <w:jc w:val="both"/>
        <w:rPr>
          <w:rFonts w:ascii="Book Antiqua" w:hAnsi="Book Antiqua" w:cs="Arial"/>
          <w:lang w:val="es-PR"/>
        </w:rPr>
      </w:pPr>
      <w:r w:rsidRPr="00F62903">
        <w:rPr>
          <w:rFonts w:ascii="Book Antiqua" w:hAnsi="Book Antiqua" w:cs="Arial"/>
          <w:lang w:val="es-PR"/>
        </w:rPr>
        <w:t xml:space="preserve">Puerto Rico, aunque es limitada la disponibilidad de estadísticas específicas sobre la intersección entre violencia y salud mental, los patronos identificados en otras jurisdicciones sugieren que el fenómeno tiene similares repercusiones.   </w:t>
      </w:r>
    </w:p>
    <w:p w14:paraId="3EEBCB66" w14:textId="77777777" w:rsidR="006A629C" w:rsidRPr="00F62903" w:rsidRDefault="006A629C" w:rsidP="006A629C">
      <w:pPr>
        <w:jc w:val="both"/>
        <w:rPr>
          <w:rFonts w:ascii="Book Antiqua" w:hAnsi="Book Antiqua" w:cs="Arial"/>
          <w:lang w:val="es-PR"/>
        </w:rPr>
      </w:pPr>
      <w:r w:rsidRPr="00F62903">
        <w:rPr>
          <w:rFonts w:ascii="Book Antiqua" w:hAnsi="Book Antiqua" w:cs="Arial"/>
          <w:lang w:val="es-PR"/>
        </w:rPr>
        <w:t xml:space="preserve">Mujeres Víctimas de Violencia con Condiciones de Salud Mental </w:t>
      </w:r>
    </w:p>
    <w:p w14:paraId="76E6EFE7" w14:textId="5EE687C9" w:rsidR="006A629C" w:rsidRPr="00F62903" w:rsidRDefault="006A629C" w:rsidP="006A629C">
      <w:pPr>
        <w:pStyle w:val="ListParagraph"/>
        <w:numPr>
          <w:ilvl w:val="0"/>
          <w:numId w:val="7"/>
        </w:numPr>
        <w:spacing w:after="160" w:line="278" w:lineRule="auto"/>
        <w:jc w:val="both"/>
        <w:rPr>
          <w:rFonts w:ascii="Book Antiqua" w:hAnsi="Book Antiqua" w:cs="Arial"/>
          <w:lang w:val="es-PR"/>
        </w:rPr>
      </w:pPr>
      <w:r w:rsidRPr="00F62903">
        <w:rPr>
          <w:rFonts w:ascii="Book Antiqua" w:hAnsi="Book Antiqua" w:cs="Arial"/>
          <w:lang w:val="es-PR"/>
        </w:rPr>
        <w:lastRenderedPageBreak/>
        <w:t xml:space="preserve">Prevalencia: la prevalencia de depresión mayor y TEPT es significativamente </w:t>
      </w:r>
      <w:r w:rsidR="00F62903" w:rsidRPr="00F62903">
        <w:rPr>
          <w:rFonts w:ascii="Book Antiqua" w:hAnsi="Book Antiqua" w:cs="Arial"/>
          <w:lang w:val="es-PR"/>
        </w:rPr>
        <w:t>más</w:t>
      </w:r>
      <w:r w:rsidRPr="00F62903">
        <w:rPr>
          <w:rFonts w:ascii="Book Antiqua" w:hAnsi="Book Antiqua" w:cs="Arial"/>
          <w:lang w:val="es-PR"/>
        </w:rPr>
        <w:t xml:space="preserve"> alta en mujeres víctimas de violencia que en la población general. </w:t>
      </w:r>
    </w:p>
    <w:p w14:paraId="148E67AF" w14:textId="77777777" w:rsidR="006A629C" w:rsidRPr="00F62903" w:rsidRDefault="006A629C" w:rsidP="006A629C">
      <w:pPr>
        <w:pStyle w:val="ListParagraph"/>
        <w:numPr>
          <w:ilvl w:val="0"/>
          <w:numId w:val="7"/>
        </w:numPr>
        <w:spacing w:after="160" w:line="278" w:lineRule="auto"/>
        <w:jc w:val="both"/>
        <w:rPr>
          <w:rFonts w:ascii="Book Antiqua" w:hAnsi="Book Antiqua" w:cs="Arial"/>
          <w:lang w:val="es-PR"/>
        </w:rPr>
      </w:pPr>
      <w:r w:rsidRPr="00F62903">
        <w:rPr>
          <w:rFonts w:ascii="Book Antiqua" w:hAnsi="Book Antiqua" w:cs="Arial"/>
          <w:lang w:val="es-PR"/>
        </w:rPr>
        <w:t>Riesgo de suicidio: el riesgo de suicidio puede triplicarse entre estas mujeres.</w:t>
      </w:r>
    </w:p>
    <w:p w14:paraId="362C544E" w14:textId="77777777" w:rsidR="006A629C" w:rsidRPr="00F62903" w:rsidRDefault="006A629C" w:rsidP="006A629C">
      <w:pPr>
        <w:pStyle w:val="ListParagraph"/>
        <w:numPr>
          <w:ilvl w:val="0"/>
          <w:numId w:val="7"/>
        </w:numPr>
        <w:spacing w:after="160" w:line="278" w:lineRule="auto"/>
        <w:jc w:val="both"/>
        <w:rPr>
          <w:rFonts w:ascii="Book Antiqua" w:hAnsi="Book Antiqua" w:cs="Arial"/>
          <w:lang w:val="es-PR"/>
        </w:rPr>
      </w:pPr>
      <w:r w:rsidRPr="00F62903">
        <w:rPr>
          <w:rFonts w:ascii="Book Antiqua" w:hAnsi="Book Antiqua" w:cs="Arial"/>
          <w:lang w:val="es-PR"/>
        </w:rPr>
        <w:t xml:space="preserve">Necesidad de Apoyo: las mujeres que buscan ayuda institucional ya presentan niveles altos de síntomas depresivos, ansiedad y abuso de sustancias, destacando la necesidad de incluir apoyo psicológico en los servicios de respuesta. La necesidad de sanar emocionalmente y a su vez puedan en un futuro establecer en su entorno relaciones saludables. </w:t>
      </w:r>
    </w:p>
    <w:p w14:paraId="5DAB02DC" w14:textId="77777777" w:rsidR="006A629C" w:rsidRPr="00F62903" w:rsidRDefault="006A629C" w:rsidP="006A629C">
      <w:pPr>
        <w:jc w:val="both"/>
        <w:rPr>
          <w:rFonts w:ascii="Book Antiqua" w:hAnsi="Book Antiqua" w:cs="Arial"/>
          <w:lang w:val="es-PR"/>
        </w:rPr>
      </w:pPr>
    </w:p>
    <w:p w14:paraId="0499998D" w14:textId="48226225" w:rsidR="006A629C" w:rsidRPr="00F62903" w:rsidRDefault="006A629C" w:rsidP="006A629C">
      <w:pPr>
        <w:jc w:val="both"/>
        <w:rPr>
          <w:rFonts w:ascii="Book Antiqua" w:hAnsi="Book Antiqua" w:cs="Arial"/>
          <w:lang w:val="es-PR"/>
        </w:rPr>
      </w:pPr>
      <w:r w:rsidRPr="00F62903">
        <w:rPr>
          <w:rFonts w:ascii="Book Antiqua" w:hAnsi="Book Antiqua" w:cs="Arial"/>
          <w:lang w:val="es-PR"/>
        </w:rPr>
        <w:t xml:space="preserve">Sugieren que es esencial que las políticas públicas relacionadas con la equidad de </w:t>
      </w:r>
      <w:r w:rsidR="00F62903" w:rsidRPr="00F62903">
        <w:rPr>
          <w:rFonts w:ascii="Book Antiqua" w:hAnsi="Book Antiqua" w:cs="Arial"/>
          <w:lang w:val="es-PR"/>
        </w:rPr>
        <w:t>género</w:t>
      </w:r>
      <w:r w:rsidRPr="00F62903">
        <w:rPr>
          <w:rFonts w:ascii="Book Antiqua" w:hAnsi="Book Antiqua" w:cs="Arial"/>
          <w:lang w:val="es-PR"/>
        </w:rPr>
        <w:t xml:space="preserve"> incorporen la salud mental como un componente fundamental. Se recomienda el desarrollo de intervenciones que reconozcan y atiendan la relación entre violencia y salud mental de manera holística y efectiva.  Destacan la gravedad del problema y la necesidad de acciones concretas para abordar la violencia contra las mujeres y su impacto en la salud mental. </w:t>
      </w:r>
    </w:p>
    <w:p w14:paraId="13A471B8" w14:textId="77777777" w:rsidR="006A629C" w:rsidRDefault="006A629C" w:rsidP="006A629C">
      <w:pPr>
        <w:jc w:val="both"/>
        <w:rPr>
          <w:rFonts w:ascii="Arial" w:hAnsi="Arial" w:cs="Arial"/>
          <w:lang w:val="es-PR"/>
        </w:rPr>
      </w:pPr>
    </w:p>
    <w:p w14:paraId="26AB5BDD" w14:textId="3ED929DB" w:rsidR="006A629C" w:rsidRPr="00521C62" w:rsidRDefault="006A629C" w:rsidP="00521C62">
      <w:pPr>
        <w:ind w:firstLine="720"/>
        <w:jc w:val="both"/>
        <w:rPr>
          <w:rFonts w:ascii="Book Antiqua" w:hAnsi="Book Antiqua" w:cs="Arial"/>
          <w:lang w:val="es-PR"/>
        </w:rPr>
      </w:pPr>
      <w:r w:rsidRPr="00521C62">
        <w:rPr>
          <w:rFonts w:ascii="Book Antiqua" w:hAnsi="Book Antiqua" w:cs="Arial"/>
          <w:lang w:val="es-PR"/>
        </w:rPr>
        <w:t xml:space="preserve">La Oficina de la Procuradora de las Mujeres (OPM), </w:t>
      </w:r>
      <w:r w:rsidR="00521C62" w:rsidRPr="00521C62">
        <w:rPr>
          <w:rFonts w:ascii="Book Antiqua" w:hAnsi="Book Antiqua" w:cs="Arial"/>
          <w:lang w:val="es-PR"/>
        </w:rPr>
        <w:t xml:space="preserve">en atención al requerimiento contenido en la Resolución de la Cámara 138, presentaron, en resumen: </w:t>
      </w:r>
    </w:p>
    <w:p w14:paraId="0EAF4BD2" w14:textId="77777777" w:rsidR="00521C62" w:rsidRPr="00521C62" w:rsidRDefault="00521C62" w:rsidP="006A629C">
      <w:pPr>
        <w:jc w:val="both"/>
        <w:rPr>
          <w:rFonts w:ascii="Book Antiqua" w:hAnsi="Book Antiqua" w:cs="Arial"/>
          <w:b/>
          <w:bCs/>
          <w:lang w:val="es-PR"/>
        </w:rPr>
      </w:pPr>
    </w:p>
    <w:p w14:paraId="0E65A9CC" w14:textId="492F4868" w:rsidR="006A629C" w:rsidRPr="00521C62" w:rsidRDefault="006A629C" w:rsidP="006A629C">
      <w:pPr>
        <w:pStyle w:val="ListParagraph"/>
        <w:numPr>
          <w:ilvl w:val="0"/>
          <w:numId w:val="8"/>
        </w:numPr>
        <w:spacing w:after="160" w:line="278" w:lineRule="auto"/>
        <w:jc w:val="both"/>
        <w:rPr>
          <w:rFonts w:ascii="Book Antiqua" w:hAnsi="Book Antiqua" w:cs="Arial"/>
          <w:lang w:val="es-PR"/>
        </w:rPr>
      </w:pPr>
      <w:r w:rsidRPr="00521C62">
        <w:rPr>
          <w:rFonts w:ascii="Book Antiqua" w:hAnsi="Book Antiqua" w:cs="Arial"/>
          <w:lang w:val="es-PR"/>
        </w:rPr>
        <w:t xml:space="preserve">Investigaciones sobre la correlación entre violencia hacia las mujeres y salud mental; la OPM reconoce la relación sustancial entre violencia y salud mental, manifestada en trastornos como ansiedad, síntomas de trauma complejo e ideaciones suicidas. Aunque no tienen estudios sistemáticos, esta documentación </w:t>
      </w:r>
      <w:r w:rsidR="008A6B5B">
        <w:rPr>
          <w:rFonts w:ascii="Book Antiqua" w:hAnsi="Book Antiqua" w:cs="Arial"/>
          <w:lang w:val="es-PR"/>
        </w:rPr>
        <w:t xml:space="preserve">se encuentra </w:t>
      </w:r>
      <w:r w:rsidRPr="00521C62">
        <w:rPr>
          <w:rFonts w:ascii="Book Antiqua" w:hAnsi="Book Antiqua" w:cs="Arial"/>
          <w:lang w:val="es-PR"/>
        </w:rPr>
        <w:t xml:space="preserve">documentada en literatura externa. </w:t>
      </w:r>
    </w:p>
    <w:p w14:paraId="6D2FA351" w14:textId="77777777" w:rsidR="006A629C" w:rsidRPr="00521C62" w:rsidRDefault="006A629C" w:rsidP="006A629C">
      <w:pPr>
        <w:pStyle w:val="ListParagraph"/>
        <w:numPr>
          <w:ilvl w:val="0"/>
          <w:numId w:val="8"/>
        </w:numPr>
        <w:spacing w:after="160" w:line="278" w:lineRule="auto"/>
        <w:jc w:val="both"/>
        <w:rPr>
          <w:rFonts w:ascii="Book Antiqua" w:hAnsi="Book Antiqua" w:cs="Arial"/>
          <w:lang w:val="es-PR"/>
        </w:rPr>
      </w:pPr>
      <w:r w:rsidRPr="00521C62">
        <w:rPr>
          <w:rFonts w:ascii="Book Antiqua" w:hAnsi="Book Antiqua" w:cs="Arial"/>
          <w:lang w:val="es-PR"/>
        </w:rPr>
        <w:t>Estadísticas internas: No cuentan con estadísticas internas consolidadas que establezcan una correlación cuantitativa entre violencia y salud mental. En 2024, atendieron a 329 mujeres, muchas de las cuales presentaban síntomas emocionales derivados de la violencia. Están trabajando en mejorar la recopilación de datos.</w:t>
      </w:r>
    </w:p>
    <w:p w14:paraId="57993AB5" w14:textId="4E3A0B7D" w:rsidR="006A629C" w:rsidRPr="00521C62" w:rsidRDefault="006A629C" w:rsidP="006A629C">
      <w:pPr>
        <w:pStyle w:val="ListParagraph"/>
        <w:numPr>
          <w:ilvl w:val="0"/>
          <w:numId w:val="8"/>
        </w:numPr>
        <w:spacing w:after="160" w:line="278" w:lineRule="auto"/>
        <w:jc w:val="both"/>
        <w:rPr>
          <w:rFonts w:ascii="Book Antiqua" w:hAnsi="Book Antiqua" w:cs="Arial"/>
          <w:lang w:val="es-PR"/>
        </w:rPr>
      </w:pPr>
      <w:r w:rsidRPr="00521C62">
        <w:rPr>
          <w:rFonts w:ascii="Book Antiqua" w:hAnsi="Book Antiqua" w:cs="Arial"/>
          <w:lang w:val="es-PR"/>
        </w:rPr>
        <w:t xml:space="preserve">Condiciones de salud mental en </w:t>
      </w:r>
      <w:r w:rsidR="00521C62" w:rsidRPr="00521C62">
        <w:rPr>
          <w:rFonts w:ascii="Book Antiqua" w:hAnsi="Book Antiqua" w:cs="Arial"/>
          <w:lang w:val="es-PR"/>
        </w:rPr>
        <w:t>víctimas</w:t>
      </w:r>
      <w:r w:rsidRPr="00521C62">
        <w:rPr>
          <w:rFonts w:ascii="Book Antiqua" w:hAnsi="Book Antiqua" w:cs="Arial"/>
          <w:lang w:val="es-PR"/>
        </w:rPr>
        <w:t xml:space="preserve"> de violencia: no tienen investigaciones formales sobre las condiciones de salud mental diagnosticadas. Sin embargo, cualitativamente han identificado patrones de ansiedad, depresión, estrés postraumático, insomnio somatización y dificultad para establecer relaciones afectivas saludables. </w:t>
      </w:r>
    </w:p>
    <w:p w14:paraId="2C6E1B54" w14:textId="07F78122" w:rsidR="006A629C" w:rsidRPr="00521C62" w:rsidRDefault="006A629C" w:rsidP="006A629C">
      <w:pPr>
        <w:pStyle w:val="ListParagraph"/>
        <w:numPr>
          <w:ilvl w:val="0"/>
          <w:numId w:val="8"/>
        </w:numPr>
        <w:spacing w:after="160" w:line="278" w:lineRule="auto"/>
        <w:jc w:val="both"/>
        <w:rPr>
          <w:rFonts w:ascii="Book Antiqua" w:hAnsi="Book Antiqua" w:cs="Arial"/>
          <w:lang w:val="es-PR"/>
        </w:rPr>
      </w:pPr>
      <w:r w:rsidRPr="00521C62">
        <w:rPr>
          <w:rFonts w:ascii="Book Antiqua" w:hAnsi="Book Antiqua" w:cs="Arial"/>
          <w:lang w:val="es-PR"/>
        </w:rPr>
        <w:t xml:space="preserve">Programas de Apoyo: La OPM ofrece apoyo emocional, orientación y acompañamiento a mujeres </w:t>
      </w:r>
      <w:r w:rsidR="00521C62" w:rsidRPr="00521C62">
        <w:rPr>
          <w:rFonts w:ascii="Book Antiqua" w:hAnsi="Book Antiqua" w:cs="Arial"/>
          <w:lang w:val="es-PR"/>
        </w:rPr>
        <w:t>víctimas</w:t>
      </w:r>
      <w:r w:rsidRPr="00521C62">
        <w:rPr>
          <w:rFonts w:ascii="Book Antiqua" w:hAnsi="Book Antiqua" w:cs="Arial"/>
          <w:lang w:val="es-PR"/>
        </w:rPr>
        <w:t xml:space="preserve"> de violencia a través de su División de </w:t>
      </w:r>
      <w:r w:rsidRPr="00521C62">
        <w:rPr>
          <w:rFonts w:ascii="Book Antiqua" w:hAnsi="Book Antiqua" w:cs="Arial"/>
          <w:lang w:val="es-PR"/>
        </w:rPr>
        <w:lastRenderedPageBreak/>
        <w:t xml:space="preserve">Psicología. Las funciones incluyen intervención breve, educación sobre síntomas relacionados t referidos a tratamiento externo. </w:t>
      </w:r>
    </w:p>
    <w:p w14:paraId="171B3CBC" w14:textId="77777777" w:rsidR="006A629C" w:rsidRPr="00521C62" w:rsidRDefault="006A629C" w:rsidP="006A629C">
      <w:pPr>
        <w:pStyle w:val="ListParagraph"/>
        <w:numPr>
          <w:ilvl w:val="0"/>
          <w:numId w:val="8"/>
        </w:numPr>
        <w:spacing w:after="160" w:line="278" w:lineRule="auto"/>
        <w:jc w:val="both"/>
        <w:rPr>
          <w:rFonts w:ascii="Book Antiqua" w:hAnsi="Book Antiqua" w:cs="Arial"/>
          <w:lang w:val="es-PR"/>
        </w:rPr>
      </w:pPr>
      <w:r w:rsidRPr="00521C62">
        <w:rPr>
          <w:rFonts w:ascii="Book Antiqua" w:hAnsi="Book Antiqua" w:cs="Arial"/>
          <w:lang w:val="es-PR"/>
        </w:rPr>
        <w:t>Estadísticas y documentación: No tienen información específica documentada, la correlación entre violencia y salud mental, pero están desarrollando mecanismos para recopilar y sistematizar datos relacionados.</w:t>
      </w:r>
    </w:p>
    <w:p w14:paraId="0AF5BC43" w14:textId="77777777" w:rsidR="006A629C" w:rsidRPr="00521C62" w:rsidRDefault="006A629C" w:rsidP="006A629C">
      <w:pPr>
        <w:jc w:val="both"/>
        <w:rPr>
          <w:rFonts w:ascii="Book Antiqua" w:hAnsi="Book Antiqua" w:cs="Arial"/>
          <w:lang w:val="es-PR"/>
        </w:rPr>
      </w:pPr>
      <w:r w:rsidRPr="00521C62">
        <w:rPr>
          <w:rFonts w:ascii="Book Antiqua" w:hAnsi="Book Antiqua" w:cs="Arial"/>
          <w:lang w:val="es-PR"/>
        </w:rPr>
        <w:t xml:space="preserve">La OPM reconoce la importancia de la intersección entre violencia y salud mental en el proceso de recuperación de las víctimas. Están en gestiones para establecer acuerdos colaborativos que permitan avanzar en esta área y mejorar la atención integral. </w:t>
      </w:r>
    </w:p>
    <w:p w14:paraId="69450DBC" w14:textId="77777777" w:rsidR="002E0339" w:rsidRDefault="002E0339" w:rsidP="002E0339">
      <w:pPr>
        <w:jc w:val="both"/>
        <w:rPr>
          <w:rFonts w:ascii="Book Antiqua" w:hAnsi="Book Antiqua" w:cs="Arial"/>
          <w:lang w:val="es-PR"/>
        </w:rPr>
      </w:pPr>
    </w:p>
    <w:p w14:paraId="2436F9EA" w14:textId="08C784FA" w:rsidR="00F62903" w:rsidRPr="00F62903" w:rsidRDefault="00F62903" w:rsidP="002E0339">
      <w:pPr>
        <w:ind w:firstLine="720"/>
        <w:jc w:val="both"/>
        <w:rPr>
          <w:rFonts w:ascii="Book Antiqua" w:hAnsi="Book Antiqua" w:cs="Arial"/>
          <w:lang w:val="es-PR"/>
        </w:rPr>
      </w:pPr>
      <w:r w:rsidRPr="00F62903">
        <w:rPr>
          <w:rFonts w:ascii="Book Antiqua" w:hAnsi="Book Antiqua" w:cs="Arial"/>
          <w:lang w:val="es-PR"/>
        </w:rPr>
        <w:t xml:space="preserve">La </w:t>
      </w:r>
      <w:r w:rsidR="006A629C" w:rsidRPr="00F62903">
        <w:rPr>
          <w:rFonts w:ascii="Book Antiqua" w:hAnsi="Book Antiqua" w:cs="Arial"/>
          <w:lang w:val="es-PR"/>
        </w:rPr>
        <w:t>Administración de Servicios de Salud Mental y Contra la Adicción (ASSMCA)</w:t>
      </w:r>
      <w:r w:rsidRPr="00F62903">
        <w:rPr>
          <w:rFonts w:ascii="Book Antiqua" w:hAnsi="Book Antiqua" w:cs="Arial"/>
          <w:lang w:val="es-PR"/>
        </w:rPr>
        <w:t xml:space="preserve">, a través del escrito en contestación al requerimiento informa que de la evidencia recopilada en el informe demuestra de forma inequívoca que la violencia hacia la mujer y la salud, metal están estrechamente interrelacionadas, involucrando no solo a las secuelas psicológicas de las víctimas, sino también factores asociados a muchos agresores. </w:t>
      </w:r>
    </w:p>
    <w:p w14:paraId="1BC69948" w14:textId="2F53281F" w:rsidR="006A629C" w:rsidRPr="00F62903" w:rsidRDefault="00F62903" w:rsidP="00F62903">
      <w:pPr>
        <w:jc w:val="both"/>
        <w:rPr>
          <w:rFonts w:ascii="Book Antiqua" w:hAnsi="Book Antiqua" w:cs="Arial"/>
          <w:b/>
          <w:bCs/>
          <w:lang w:val="es-PR"/>
        </w:rPr>
      </w:pPr>
      <w:r w:rsidRPr="00F62903">
        <w:rPr>
          <w:rFonts w:ascii="Book Antiqua" w:hAnsi="Book Antiqua" w:cs="Arial"/>
          <w:b/>
          <w:bCs/>
          <w:lang w:val="es-PR"/>
        </w:rPr>
        <w:t xml:space="preserve"> </w:t>
      </w:r>
    </w:p>
    <w:p w14:paraId="2CF33314" w14:textId="15DE2199" w:rsidR="006A629C" w:rsidRPr="00F62903" w:rsidRDefault="006A629C" w:rsidP="00F62903">
      <w:pPr>
        <w:jc w:val="both"/>
        <w:rPr>
          <w:rFonts w:ascii="Book Antiqua" w:hAnsi="Book Antiqua" w:cs="Arial"/>
          <w:lang w:val="es-PR"/>
        </w:rPr>
      </w:pPr>
      <w:r w:rsidRPr="00F62903">
        <w:rPr>
          <w:rFonts w:ascii="Book Antiqua" w:hAnsi="Book Antiqua" w:cs="Arial"/>
          <w:lang w:val="es-PR"/>
        </w:rPr>
        <w:t>La ASMMCA reconoce que la violencia contra las mujeres es un grave problema de salud pública en Puerto Rico.</w:t>
      </w:r>
    </w:p>
    <w:p w14:paraId="08FB4A87" w14:textId="77777777" w:rsidR="006A629C" w:rsidRPr="00F62903" w:rsidRDefault="006A629C" w:rsidP="00F62903">
      <w:pPr>
        <w:pStyle w:val="ListParagraph"/>
        <w:numPr>
          <w:ilvl w:val="0"/>
          <w:numId w:val="9"/>
        </w:numPr>
        <w:spacing w:after="160"/>
        <w:jc w:val="both"/>
        <w:rPr>
          <w:rFonts w:ascii="Book Antiqua" w:hAnsi="Book Antiqua" w:cs="Arial"/>
          <w:lang w:val="es-PR"/>
        </w:rPr>
      </w:pPr>
      <w:r w:rsidRPr="00F62903">
        <w:rPr>
          <w:rFonts w:ascii="Book Antiqua" w:hAnsi="Book Antiqua" w:cs="Arial"/>
          <w:lang w:val="es-PR"/>
        </w:rPr>
        <w:t xml:space="preserve">Se estima que entre el 25% y 30% de las mujeres han sufrido violencia física o sexual. </w:t>
      </w:r>
    </w:p>
    <w:p w14:paraId="2B66E2BA" w14:textId="77777777" w:rsidR="006A629C" w:rsidRPr="00F62903" w:rsidRDefault="006A629C" w:rsidP="00F62903">
      <w:pPr>
        <w:pStyle w:val="ListParagraph"/>
        <w:numPr>
          <w:ilvl w:val="0"/>
          <w:numId w:val="9"/>
        </w:numPr>
        <w:spacing w:after="160"/>
        <w:jc w:val="both"/>
        <w:rPr>
          <w:rFonts w:ascii="Book Antiqua" w:hAnsi="Book Antiqua" w:cs="Arial"/>
          <w:lang w:val="es-PR"/>
        </w:rPr>
      </w:pPr>
      <w:r w:rsidRPr="00F62903">
        <w:rPr>
          <w:rFonts w:ascii="Book Antiqua" w:hAnsi="Book Antiqua" w:cs="Arial"/>
          <w:lang w:val="es-PR"/>
        </w:rPr>
        <w:t>La violencia tiene consecuencias severas en la salud mental, incluyendo depresión y trastorno de estrés postraumático.</w:t>
      </w:r>
    </w:p>
    <w:p w14:paraId="2514D090" w14:textId="32D17F41" w:rsidR="006A629C" w:rsidRPr="00F62903" w:rsidRDefault="006A629C" w:rsidP="00F62903">
      <w:pPr>
        <w:pStyle w:val="ListParagraph"/>
        <w:numPr>
          <w:ilvl w:val="0"/>
          <w:numId w:val="9"/>
        </w:numPr>
        <w:spacing w:after="160"/>
        <w:jc w:val="both"/>
        <w:rPr>
          <w:rFonts w:ascii="Book Antiqua" w:hAnsi="Book Antiqua" w:cs="Arial"/>
          <w:lang w:val="es-PR"/>
        </w:rPr>
      </w:pPr>
      <w:r w:rsidRPr="00F62903">
        <w:rPr>
          <w:rFonts w:ascii="Book Antiqua" w:hAnsi="Book Antiqua" w:cs="Arial"/>
          <w:lang w:val="es-PR"/>
        </w:rPr>
        <w:t xml:space="preserve">Se requieren intervenciones integrales y basadas en evidencia para abordar tanto a las </w:t>
      </w:r>
      <w:r w:rsidR="00F62903" w:rsidRPr="00F62903">
        <w:rPr>
          <w:rFonts w:ascii="Book Antiqua" w:hAnsi="Book Antiqua" w:cs="Arial"/>
          <w:lang w:val="es-PR"/>
        </w:rPr>
        <w:t>víctimas</w:t>
      </w:r>
      <w:r w:rsidRPr="00F62903">
        <w:rPr>
          <w:rFonts w:ascii="Book Antiqua" w:hAnsi="Book Antiqua" w:cs="Arial"/>
          <w:lang w:val="es-PR"/>
        </w:rPr>
        <w:t xml:space="preserve"> como a los agresores. </w:t>
      </w:r>
    </w:p>
    <w:p w14:paraId="3D265778" w14:textId="22AAF583" w:rsidR="006A629C" w:rsidRPr="00B11FB6" w:rsidRDefault="006A629C" w:rsidP="00B11FB6">
      <w:pPr>
        <w:jc w:val="both"/>
        <w:rPr>
          <w:rFonts w:ascii="Book Antiqua" w:hAnsi="Book Antiqua" w:cs="Arial"/>
          <w:lang w:val="es-PR"/>
        </w:rPr>
      </w:pPr>
      <w:r w:rsidRPr="00B11FB6">
        <w:rPr>
          <w:rFonts w:ascii="Book Antiqua" w:hAnsi="Book Antiqua" w:cs="Arial"/>
          <w:lang w:val="es-PR"/>
        </w:rPr>
        <w:t xml:space="preserve">La prevalencia del Trastorno de Estrés Postraumático en mujeres </w:t>
      </w:r>
      <w:r w:rsidR="00F62903" w:rsidRPr="00B11FB6">
        <w:rPr>
          <w:rFonts w:ascii="Book Antiqua" w:hAnsi="Book Antiqua" w:cs="Arial"/>
          <w:lang w:val="es-PR"/>
        </w:rPr>
        <w:t>víctimas</w:t>
      </w:r>
      <w:r w:rsidRPr="00B11FB6">
        <w:rPr>
          <w:rFonts w:ascii="Book Antiqua" w:hAnsi="Book Antiqua" w:cs="Arial"/>
          <w:lang w:val="es-PR"/>
        </w:rPr>
        <w:t xml:space="preserve"> de violencia doméstica nivel internacional oscila </w:t>
      </w:r>
      <w:r w:rsidR="00F62903" w:rsidRPr="00B11FB6">
        <w:rPr>
          <w:rFonts w:ascii="Book Antiqua" w:hAnsi="Book Antiqua" w:cs="Arial"/>
          <w:lang w:val="es-PR"/>
        </w:rPr>
        <w:t>entre</w:t>
      </w:r>
      <w:r w:rsidRPr="00B11FB6">
        <w:rPr>
          <w:rFonts w:ascii="Book Antiqua" w:hAnsi="Book Antiqua" w:cs="Arial"/>
          <w:lang w:val="es-PR"/>
        </w:rPr>
        <w:t xml:space="preserve"> un 33% y un 84%. Esto significa que al menos de cada tres mujeres maltratadas desarrollara síntomas postraumáticos significativos, y en algunas muestras, el porcentaje puede superar las tres cuartas partes de las victimas estudiadas. La variabilidad depende de los factores como la gravedad del abuso y la presencia de apoyo social. </w:t>
      </w:r>
    </w:p>
    <w:p w14:paraId="45242E66" w14:textId="77777777" w:rsidR="006A629C" w:rsidRPr="00B11FB6" w:rsidRDefault="006A629C" w:rsidP="00B11FB6">
      <w:pPr>
        <w:spacing w:after="160"/>
        <w:jc w:val="both"/>
        <w:rPr>
          <w:rFonts w:ascii="Book Antiqua" w:hAnsi="Book Antiqua" w:cs="Arial"/>
          <w:lang w:val="es-PR"/>
        </w:rPr>
      </w:pPr>
      <w:r w:rsidRPr="00B11FB6">
        <w:rPr>
          <w:rFonts w:ascii="Book Antiqua" w:hAnsi="Book Antiqua" w:cs="Arial"/>
          <w:lang w:val="es-PR"/>
        </w:rPr>
        <w:t>Los síntomas comunes del Trastorno de Estrés Postraumático en sobrevivientes de violencia incluyen:</w:t>
      </w:r>
    </w:p>
    <w:p w14:paraId="1814DAC6" w14:textId="77777777" w:rsidR="006A629C" w:rsidRPr="00F62903" w:rsidRDefault="006A629C" w:rsidP="00B11FB6">
      <w:pPr>
        <w:pStyle w:val="ListParagraph"/>
        <w:numPr>
          <w:ilvl w:val="0"/>
          <w:numId w:val="10"/>
        </w:numPr>
        <w:spacing w:after="160"/>
        <w:jc w:val="both"/>
        <w:rPr>
          <w:rFonts w:ascii="Book Antiqua" w:hAnsi="Book Antiqua" w:cs="Arial"/>
          <w:lang w:val="es-PR"/>
        </w:rPr>
      </w:pPr>
      <w:r w:rsidRPr="00F62903">
        <w:rPr>
          <w:rFonts w:ascii="Book Antiqua" w:hAnsi="Book Antiqua" w:cs="Arial"/>
          <w:lang w:val="es-PR"/>
        </w:rPr>
        <w:t>Revivir el trauma a través de flashbacks y pesadillas.</w:t>
      </w:r>
    </w:p>
    <w:p w14:paraId="73198EA1" w14:textId="77777777" w:rsidR="006A629C" w:rsidRPr="00F62903" w:rsidRDefault="006A629C" w:rsidP="00B11FB6">
      <w:pPr>
        <w:pStyle w:val="ListParagraph"/>
        <w:numPr>
          <w:ilvl w:val="0"/>
          <w:numId w:val="10"/>
        </w:numPr>
        <w:spacing w:after="160"/>
        <w:jc w:val="both"/>
        <w:rPr>
          <w:rFonts w:ascii="Book Antiqua" w:hAnsi="Book Antiqua" w:cs="Arial"/>
          <w:lang w:val="es-PR"/>
        </w:rPr>
      </w:pPr>
      <w:r w:rsidRPr="00F62903">
        <w:rPr>
          <w:rFonts w:ascii="Book Antiqua" w:hAnsi="Book Antiqua" w:cs="Arial"/>
          <w:lang w:val="es-PR"/>
        </w:rPr>
        <w:t>Evitar recordatorios dele vento, como lugares o personas asociadas.</w:t>
      </w:r>
    </w:p>
    <w:p w14:paraId="3681B93D" w14:textId="05F3EFA0" w:rsidR="006A629C" w:rsidRPr="00F62903" w:rsidRDefault="006A629C" w:rsidP="00B11FB6">
      <w:pPr>
        <w:pStyle w:val="ListParagraph"/>
        <w:numPr>
          <w:ilvl w:val="0"/>
          <w:numId w:val="10"/>
        </w:numPr>
        <w:spacing w:after="160"/>
        <w:jc w:val="both"/>
        <w:rPr>
          <w:rFonts w:ascii="Book Antiqua" w:hAnsi="Book Antiqua" w:cs="Arial"/>
          <w:lang w:val="es-PR"/>
        </w:rPr>
      </w:pPr>
      <w:r w:rsidRPr="00F62903">
        <w:rPr>
          <w:rFonts w:ascii="Book Antiqua" w:hAnsi="Book Antiqua" w:cs="Arial"/>
          <w:lang w:val="es-PR"/>
        </w:rPr>
        <w:t xml:space="preserve">Alteraciones del estado de </w:t>
      </w:r>
      <w:r w:rsidR="00F62903" w:rsidRPr="00F62903">
        <w:rPr>
          <w:rFonts w:ascii="Book Antiqua" w:hAnsi="Book Antiqua" w:cs="Arial"/>
          <w:lang w:val="es-PR"/>
        </w:rPr>
        <w:t>ánimo</w:t>
      </w:r>
      <w:r w:rsidRPr="00F62903">
        <w:rPr>
          <w:rFonts w:ascii="Book Antiqua" w:hAnsi="Book Antiqua" w:cs="Arial"/>
          <w:lang w:val="es-PR"/>
        </w:rPr>
        <w:t xml:space="preserve"> como irritabilidad y culpa, y síntomas de hiperactivación como sobresaltos, insomnio e hipervigilancia.</w:t>
      </w:r>
    </w:p>
    <w:p w14:paraId="29AC31A7" w14:textId="77777777" w:rsidR="006A629C" w:rsidRPr="00F62903" w:rsidRDefault="006A629C" w:rsidP="00B11FB6">
      <w:pPr>
        <w:pStyle w:val="ListParagraph"/>
        <w:numPr>
          <w:ilvl w:val="0"/>
          <w:numId w:val="10"/>
        </w:numPr>
        <w:spacing w:after="160"/>
        <w:jc w:val="both"/>
        <w:rPr>
          <w:rFonts w:ascii="Book Antiqua" w:hAnsi="Book Antiqua" w:cs="Arial"/>
          <w:lang w:val="es-PR"/>
        </w:rPr>
      </w:pPr>
      <w:r w:rsidRPr="00F62903">
        <w:rPr>
          <w:rFonts w:ascii="Book Antiqua" w:hAnsi="Book Antiqua" w:cs="Arial"/>
          <w:lang w:val="es-PR"/>
        </w:rPr>
        <w:t xml:space="preserve">Muchas víctimas experimentan síntomas somáticos persistentes, como dolores de cabeza y trastornos gastrointestinales. Estos síntomas pueden complicar su proceso de recuperación y bienestar general. </w:t>
      </w:r>
    </w:p>
    <w:p w14:paraId="7BBC25D7" w14:textId="630D2B60" w:rsidR="006A629C" w:rsidRPr="00F62903" w:rsidRDefault="006A629C" w:rsidP="00F62903">
      <w:pPr>
        <w:jc w:val="both"/>
        <w:rPr>
          <w:rFonts w:ascii="Book Antiqua" w:hAnsi="Book Antiqua" w:cs="Arial"/>
          <w:lang w:val="es-PR"/>
        </w:rPr>
      </w:pPr>
      <w:r w:rsidRPr="00F62903">
        <w:rPr>
          <w:rFonts w:ascii="Book Antiqua" w:hAnsi="Book Antiqua" w:cs="Arial"/>
          <w:lang w:val="es-PR"/>
        </w:rPr>
        <w:lastRenderedPageBreak/>
        <w:t xml:space="preserve">ASMMCA informa que según estudios internacionales entre un 31% y </w:t>
      </w:r>
      <w:r w:rsidR="00F62903" w:rsidRPr="00F62903">
        <w:rPr>
          <w:rFonts w:ascii="Book Antiqua" w:hAnsi="Book Antiqua" w:cs="Arial"/>
          <w:lang w:val="es-PR"/>
        </w:rPr>
        <w:t>más</w:t>
      </w:r>
      <w:r w:rsidRPr="00F62903">
        <w:rPr>
          <w:rFonts w:ascii="Book Antiqua" w:hAnsi="Book Antiqua" w:cs="Arial"/>
          <w:lang w:val="es-PR"/>
        </w:rPr>
        <w:t xml:space="preserve"> del 60% de las </w:t>
      </w:r>
      <w:r w:rsidR="00F62903" w:rsidRPr="00F62903">
        <w:rPr>
          <w:rFonts w:ascii="Book Antiqua" w:hAnsi="Book Antiqua" w:cs="Arial"/>
          <w:lang w:val="es-PR"/>
        </w:rPr>
        <w:t>víctimas</w:t>
      </w:r>
      <w:r w:rsidRPr="00F62903">
        <w:rPr>
          <w:rFonts w:ascii="Book Antiqua" w:hAnsi="Book Antiqua" w:cs="Arial"/>
          <w:lang w:val="es-PR"/>
        </w:rPr>
        <w:t xml:space="preserve"> de violencia severa desarrollan síntomas postraumáticos significativos. Esta variabilidad en los porcentajes depende de diversos factores, como la gravedad y cronicidad del abuso. En general, se establece que el Trastorno de Estrés Postraumático es común entre sobrevivientes de género.</w:t>
      </w:r>
    </w:p>
    <w:p w14:paraId="04D6BBCF" w14:textId="77777777" w:rsidR="00521C62" w:rsidRDefault="00521C62" w:rsidP="00F62903">
      <w:pPr>
        <w:jc w:val="both"/>
        <w:rPr>
          <w:rFonts w:ascii="Book Antiqua" w:hAnsi="Book Antiqua" w:cs="Arial"/>
          <w:lang w:val="es-PR"/>
        </w:rPr>
      </w:pPr>
    </w:p>
    <w:p w14:paraId="571FCD34" w14:textId="653B37DE" w:rsidR="006A629C" w:rsidRPr="00F62903" w:rsidRDefault="006A629C" w:rsidP="00F62903">
      <w:pPr>
        <w:jc w:val="both"/>
        <w:rPr>
          <w:rFonts w:ascii="Book Antiqua" w:hAnsi="Book Antiqua" w:cs="Arial"/>
          <w:lang w:val="es-PR"/>
        </w:rPr>
      </w:pPr>
      <w:r w:rsidRPr="00F62903">
        <w:rPr>
          <w:rFonts w:ascii="Book Antiqua" w:hAnsi="Book Antiqua" w:cs="Arial"/>
          <w:lang w:val="es-PR"/>
        </w:rPr>
        <w:t xml:space="preserve">En Puerto Rico, </w:t>
      </w:r>
      <w:r w:rsidR="00F62903" w:rsidRPr="00F62903">
        <w:rPr>
          <w:rFonts w:ascii="Book Antiqua" w:hAnsi="Book Antiqua" w:cs="Arial"/>
          <w:lang w:val="es-PR"/>
        </w:rPr>
        <w:t>más</w:t>
      </w:r>
      <w:r w:rsidRPr="00F62903">
        <w:rPr>
          <w:rFonts w:ascii="Book Antiqua" w:hAnsi="Book Antiqua" w:cs="Arial"/>
          <w:lang w:val="es-PR"/>
        </w:rPr>
        <w:t xml:space="preserve"> del 82% de las víctimas de violencia domesticas son mujeres. Esta cifra refleja la marcada disparidad de género en este tipo de violencia. La mayoría de las mujeres agredidas se encuentran en el rango de edad de 21 a 44 años. </w:t>
      </w:r>
    </w:p>
    <w:p w14:paraId="454AE4E0" w14:textId="77777777" w:rsidR="00521C62" w:rsidRDefault="00521C62" w:rsidP="00F62903">
      <w:pPr>
        <w:jc w:val="both"/>
        <w:rPr>
          <w:rFonts w:ascii="Book Antiqua" w:hAnsi="Book Antiqua" w:cs="Arial"/>
          <w:lang w:val="es-PR"/>
        </w:rPr>
      </w:pPr>
    </w:p>
    <w:p w14:paraId="5B2E341E" w14:textId="1A1873EB" w:rsidR="006A629C" w:rsidRDefault="006A629C" w:rsidP="00F62903">
      <w:pPr>
        <w:jc w:val="both"/>
        <w:rPr>
          <w:rFonts w:ascii="Book Antiqua" w:hAnsi="Book Antiqua" w:cs="Arial"/>
          <w:lang w:val="es-PR"/>
        </w:rPr>
      </w:pPr>
      <w:r w:rsidRPr="00F62903">
        <w:rPr>
          <w:rFonts w:ascii="Book Antiqua" w:hAnsi="Book Antiqua" w:cs="Arial"/>
          <w:lang w:val="es-PR"/>
        </w:rPr>
        <w:t xml:space="preserve">Se recomienda un tratamiento especializado de doble vía para las personas agresoras con trastornos mentales concurrentes, que aborde simultáneamente el abuso de sustancias y problemas psicológicos subyacentes. Además, se sugiere adaptar el plan de intervención según las necesidades clínicas especificas del agresor, incluyendo terapia cognitivo-conductual y programas estructurados con supervisión legal estricta. Esto busca reducir la violencia al tratar la raíz multifactorial del problema. </w:t>
      </w:r>
    </w:p>
    <w:p w14:paraId="7B698A3F" w14:textId="77777777" w:rsidR="00521C62" w:rsidRPr="00F62903" w:rsidRDefault="00521C62" w:rsidP="00F62903">
      <w:pPr>
        <w:jc w:val="both"/>
        <w:rPr>
          <w:rFonts w:ascii="Book Antiqua" w:hAnsi="Book Antiqua" w:cs="Arial"/>
          <w:lang w:val="es-PR"/>
        </w:rPr>
      </w:pPr>
    </w:p>
    <w:p w14:paraId="036A6DC0" w14:textId="66971DA7" w:rsidR="006A629C" w:rsidRDefault="006A629C" w:rsidP="00F62903">
      <w:pPr>
        <w:jc w:val="both"/>
        <w:rPr>
          <w:rFonts w:ascii="Book Antiqua" w:hAnsi="Book Antiqua" w:cs="Arial"/>
          <w:lang w:val="es-PR"/>
        </w:rPr>
      </w:pPr>
      <w:r w:rsidRPr="00F62903">
        <w:rPr>
          <w:rFonts w:ascii="Book Antiqua" w:hAnsi="Book Antiqua" w:cs="Arial"/>
          <w:lang w:val="es-PR"/>
        </w:rPr>
        <w:t xml:space="preserve">Se estima que entre el 13% y el 24% de los casos de trastornos como la depresión, la ansiedad y el Trastorno de Estrés Postraumático en mujeres están vinculados a antecedentes de violencia física o sexual. Además, se han encontrado que aproximadamente el 47% de las mujeres maltratadas padecen de depresión clínica, lo que indica una alta correlación con el desarrollo de trastornos postraumáticos. </w:t>
      </w:r>
    </w:p>
    <w:p w14:paraId="3A2D65B7" w14:textId="77777777" w:rsidR="00521C62" w:rsidRPr="00F62903" w:rsidRDefault="00521C62" w:rsidP="00F62903">
      <w:pPr>
        <w:jc w:val="both"/>
        <w:rPr>
          <w:rFonts w:ascii="Book Antiqua" w:hAnsi="Book Antiqua" w:cs="Arial"/>
          <w:lang w:val="es-PR"/>
        </w:rPr>
      </w:pPr>
    </w:p>
    <w:p w14:paraId="34395759" w14:textId="2FA9E59C" w:rsidR="006A629C" w:rsidRDefault="006A629C" w:rsidP="00F62903">
      <w:pPr>
        <w:jc w:val="both"/>
        <w:rPr>
          <w:rFonts w:ascii="Book Antiqua" w:hAnsi="Book Antiqua" w:cs="Arial"/>
          <w:lang w:val="es-PR"/>
        </w:rPr>
      </w:pPr>
      <w:r w:rsidRPr="00F62903">
        <w:rPr>
          <w:rFonts w:ascii="Book Antiqua" w:hAnsi="Book Antiqua" w:cs="Arial"/>
          <w:lang w:val="es-PR"/>
        </w:rPr>
        <w:t xml:space="preserve">La prevalencia del Trastorno de Estrés Postraumático en mujeres </w:t>
      </w:r>
      <w:r w:rsidR="00521C62" w:rsidRPr="00F62903">
        <w:rPr>
          <w:rFonts w:ascii="Book Antiqua" w:hAnsi="Book Antiqua" w:cs="Arial"/>
          <w:lang w:val="es-PR"/>
        </w:rPr>
        <w:t>víctimas</w:t>
      </w:r>
      <w:r w:rsidRPr="00F62903">
        <w:rPr>
          <w:rFonts w:ascii="Book Antiqua" w:hAnsi="Book Antiqua" w:cs="Arial"/>
          <w:lang w:val="es-PR"/>
        </w:rPr>
        <w:t xml:space="preserve"> de violencia domestica a </w:t>
      </w:r>
      <w:r w:rsidR="00521C62" w:rsidRPr="00F62903">
        <w:rPr>
          <w:rFonts w:ascii="Book Antiqua" w:hAnsi="Book Antiqua" w:cs="Arial"/>
          <w:lang w:val="es-PR"/>
        </w:rPr>
        <w:t>nivel</w:t>
      </w:r>
      <w:r w:rsidRPr="00F62903">
        <w:rPr>
          <w:rFonts w:ascii="Book Antiqua" w:hAnsi="Book Antiqua" w:cs="Arial"/>
          <w:lang w:val="es-PR"/>
        </w:rPr>
        <w:t xml:space="preserve"> internacional oscila entre un 33% y un 84%. Esto significa que al menos una de cada </w:t>
      </w:r>
      <w:r w:rsidR="00521C62" w:rsidRPr="00F62903">
        <w:rPr>
          <w:rFonts w:ascii="Book Antiqua" w:hAnsi="Book Antiqua" w:cs="Arial"/>
          <w:lang w:val="es-PR"/>
        </w:rPr>
        <w:t>tres</w:t>
      </w:r>
      <w:r w:rsidRPr="00F62903">
        <w:rPr>
          <w:rFonts w:ascii="Book Antiqua" w:hAnsi="Book Antiqua" w:cs="Arial"/>
          <w:lang w:val="es-PR"/>
        </w:rPr>
        <w:t xml:space="preserve"> mujeres </w:t>
      </w:r>
      <w:r w:rsidR="00F62903" w:rsidRPr="00F62903">
        <w:rPr>
          <w:rFonts w:ascii="Book Antiqua" w:hAnsi="Book Antiqua" w:cs="Arial"/>
          <w:lang w:val="es-PR"/>
        </w:rPr>
        <w:t>maltratadas</w:t>
      </w:r>
      <w:r w:rsidRPr="00F62903">
        <w:rPr>
          <w:rFonts w:ascii="Book Antiqua" w:hAnsi="Book Antiqua" w:cs="Arial"/>
          <w:lang w:val="es-PR"/>
        </w:rPr>
        <w:t xml:space="preserve"> desarrollara </w:t>
      </w:r>
      <w:r w:rsidR="00521C62" w:rsidRPr="00F62903">
        <w:rPr>
          <w:rFonts w:ascii="Book Antiqua" w:hAnsi="Book Antiqua" w:cs="Arial"/>
          <w:lang w:val="es-PR"/>
        </w:rPr>
        <w:t>s</w:t>
      </w:r>
      <w:r w:rsidR="00521C62">
        <w:rPr>
          <w:rFonts w:ascii="Book Antiqua" w:hAnsi="Book Antiqua" w:cs="Arial"/>
          <w:lang w:val="es-PR"/>
        </w:rPr>
        <w:t>íntomas</w:t>
      </w:r>
      <w:r w:rsidRPr="00F62903">
        <w:rPr>
          <w:rFonts w:ascii="Book Antiqua" w:hAnsi="Book Antiqua" w:cs="Arial"/>
          <w:lang w:val="es-PR"/>
        </w:rPr>
        <w:t xml:space="preserve"> postraumáticos significativos. La variabilidad en estas cifras depende de factores como la gravedad del abuso y el apoyo social disponible. </w:t>
      </w:r>
    </w:p>
    <w:p w14:paraId="19B29CF7" w14:textId="77777777" w:rsidR="00F62903" w:rsidRPr="00F62903" w:rsidRDefault="00F62903" w:rsidP="00F62903">
      <w:pPr>
        <w:jc w:val="both"/>
        <w:rPr>
          <w:rFonts w:ascii="Book Antiqua" w:hAnsi="Book Antiqua" w:cs="Arial"/>
          <w:lang w:val="es-PR"/>
        </w:rPr>
      </w:pPr>
    </w:p>
    <w:p w14:paraId="14CC361C" w14:textId="05203754" w:rsidR="006A629C" w:rsidRPr="00F62903" w:rsidRDefault="006A629C" w:rsidP="00F62903">
      <w:pPr>
        <w:jc w:val="both"/>
        <w:rPr>
          <w:rFonts w:ascii="Book Antiqua" w:hAnsi="Book Antiqua" w:cs="Arial"/>
          <w:lang w:val="es-PR"/>
        </w:rPr>
      </w:pPr>
      <w:r w:rsidRPr="00F62903">
        <w:rPr>
          <w:rFonts w:ascii="Book Antiqua" w:hAnsi="Book Antiqua" w:cs="Arial"/>
          <w:lang w:val="es-PR"/>
        </w:rPr>
        <w:t>Los agresores de pareja enfrentan principalmente problemas de salud mental como depresión, ansiedad, siendo el trastorno de personalidad un componente sobresaliente en el perfil clínico de los agresores. Metaanálisis recientes confirman que los perpetradores de violencia domestica presentan con elevada frecuencia rasgos o diagnósticos de personalidad patológico (</w:t>
      </w:r>
      <w:proofErr w:type="spellStart"/>
      <w:r w:rsidRPr="00F62903">
        <w:rPr>
          <w:rFonts w:ascii="Book Antiqua" w:hAnsi="Book Antiqua" w:cs="Arial"/>
          <w:lang w:val="es-PR"/>
        </w:rPr>
        <w:t>Collison</w:t>
      </w:r>
      <w:proofErr w:type="spellEnd"/>
      <w:r w:rsidRPr="00F62903">
        <w:rPr>
          <w:rFonts w:ascii="Book Antiqua" w:hAnsi="Book Antiqua" w:cs="Arial"/>
          <w:lang w:val="es-PR"/>
        </w:rPr>
        <w:t xml:space="preserve"> &amp;</w:t>
      </w:r>
      <w:proofErr w:type="spellStart"/>
      <w:r w:rsidRPr="00F62903">
        <w:rPr>
          <w:rFonts w:ascii="Book Antiqua" w:hAnsi="Book Antiqua" w:cs="Arial"/>
          <w:lang w:val="es-PR"/>
        </w:rPr>
        <w:t>Lynam</w:t>
      </w:r>
      <w:proofErr w:type="spellEnd"/>
      <w:r w:rsidRPr="00F62903">
        <w:rPr>
          <w:rFonts w:ascii="Book Antiqua" w:hAnsi="Book Antiqua" w:cs="Arial"/>
          <w:lang w:val="es-PR"/>
        </w:rPr>
        <w:t xml:space="preserve"> 2021; Spencer et al., 2020). En particular el Trastorno Antisocial de la Personalidad, caracterizados por impulsividad, falta de empatía y violación crónica de normas, exhiben las tasas </w:t>
      </w:r>
      <w:r w:rsidR="00F62903" w:rsidRPr="00F62903">
        <w:rPr>
          <w:rFonts w:ascii="Book Antiqua" w:hAnsi="Book Antiqua" w:cs="Arial"/>
          <w:lang w:val="es-PR"/>
        </w:rPr>
        <w:t>más</w:t>
      </w:r>
      <w:r w:rsidRPr="00F62903">
        <w:rPr>
          <w:rFonts w:ascii="Book Antiqua" w:hAnsi="Book Antiqua" w:cs="Arial"/>
          <w:lang w:val="es-PR"/>
        </w:rPr>
        <w:t xml:space="preserve"> altas de maltrato, lo que concuerda con la fuerte asociación entre este trastorno y la agresión intima (</w:t>
      </w:r>
      <w:proofErr w:type="spellStart"/>
      <w:r w:rsidRPr="00F62903">
        <w:rPr>
          <w:rFonts w:ascii="Book Antiqua" w:hAnsi="Book Antiqua" w:cs="Arial"/>
          <w:lang w:val="es-PR"/>
        </w:rPr>
        <w:t>Collison</w:t>
      </w:r>
      <w:proofErr w:type="spellEnd"/>
      <w:r w:rsidRPr="00F62903">
        <w:rPr>
          <w:rFonts w:ascii="Book Antiqua" w:hAnsi="Book Antiqua" w:cs="Arial"/>
          <w:lang w:val="es-PR"/>
        </w:rPr>
        <w:t xml:space="preserve"> &amp; </w:t>
      </w:r>
      <w:proofErr w:type="spellStart"/>
      <w:r w:rsidRPr="00F62903">
        <w:rPr>
          <w:rFonts w:ascii="Book Antiqua" w:hAnsi="Book Antiqua" w:cs="Arial"/>
          <w:lang w:val="es-PR"/>
        </w:rPr>
        <w:t>Lynam</w:t>
      </w:r>
      <w:proofErr w:type="spellEnd"/>
      <w:r w:rsidRPr="00F62903">
        <w:rPr>
          <w:rFonts w:ascii="Book Antiqua" w:hAnsi="Book Antiqua" w:cs="Arial"/>
          <w:lang w:val="es-PR"/>
        </w:rPr>
        <w:t xml:space="preserve">, 2021). Otras condiciones de personalidad del llamado de </w:t>
      </w:r>
      <w:proofErr w:type="spellStart"/>
      <w:proofErr w:type="gramStart"/>
      <w:r w:rsidRPr="00F62903">
        <w:rPr>
          <w:rFonts w:ascii="Book Antiqua" w:hAnsi="Book Antiqua" w:cs="Arial"/>
          <w:lang w:val="es-PR"/>
        </w:rPr>
        <w:t>Cluster</w:t>
      </w:r>
      <w:proofErr w:type="spellEnd"/>
      <w:proofErr w:type="gramEnd"/>
      <w:r w:rsidRPr="00F62903">
        <w:rPr>
          <w:rFonts w:ascii="Book Antiqua" w:hAnsi="Book Antiqua" w:cs="Arial"/>
          <w:lang w:val="es-PR"/>
        </w:rPr>
        <w:t xml:space="preserve"> B, como la psicopatía y el narcisismo, también han documentado en agresores: se estima que entre un 15% y 30% de los maltratadores podrían presentar rasgos psicopáticos clínicamente relevantes (Robertson et al., 2020) y la grandiosidad egocéntrica propia del </w:t>
      </w:r>
      <w:r w:rsidRPr="00F62903">
        <w:rPr>
          <w:rFonts w:ascii="Book Antiqua" w:hAnsi="Book Antiqua" w:cs="Arial"/>
          <w:lang w:val="es-PR"/>
        </w:rPr>
        <w:lastRenderedPageBreak/>
        <w:t xml:space="preserve">narcisismo correlaciona positivamente con comportamientos abusivos (Spencer et al., 2020). Los perfiles de personalidad patológica (Antisocial, limite, psicopático y narcisista) constituyen parte integral del cuadro clínico de muchos perpetradores. </w:t>
      </w:r>
    </w:p>
    <w:p w14:paraId="794489CA" w14:textId="77777777" w:rsidR="006A629C" w:rsidRPr="00F62903" w:rsidRDefault="006A629C" w:rsidP="00F62903">
      <w:pPr>
        <w:jc w:val="both"/>
        <w:rPr>
          <w:rFonts w:ascii="Book Antiqua" w:hAnsi="Book Antiqua" w:cs="Arial"/>
          <w:lang w:val="es-PR"/>
        </w:rPr>
      </w:pPr>
    </w:p>
    <w:p w14:paraId="5566FE5F" w14:textId="6AEEDED9" w:rsidR="006A629C" w:rsidRDefault="006A629C" w:rsidP="00F62903">
      <w:pPr>
        <w:jc w:val="both"/>
        <w:rPr>
          <w:rFonts w:ascii="Book Antiqua" w:hAnsi="Book Antiqua" w:cs="Arial"/>
          <w:lang w:val="es-PR"/>
        </w:rPr>
      </w:pPr>
      <w:r w:rsidRPr="00F62903">
        <w:rPr>
          <w:rFonts w:ascii="Book Antiqua" w:hAnsi="Book Antiqua" w:cs="Arial"/>
          <w:lang w:val="es-PR"/>
        </w:rPr>
        <w:t xml:space="preserve">Además, muchos presentan antecedentes de trauma psicológico y abuso de sustancias, lo que complica su perfil clínico. Esta combinación de condiciones de salud mental </w:t>
      </w:r>
      <w:r w:rsidR="00F62903" w:rsidRPr="00F62903">
        <w:rPr>
          <w:rFonts w:ascii="Book Antiqua" w:hAnsi="Book Antiqua" w:cs="Arial"/>
          <w:lang w:val="es-PR"/>
        </w:rPr>
        <w:t>está</w:t>
      </w:r>
      <w:r w:rsidRPr="00F62903">
        <w:rPr>
          <w:rFonts w:ascii="Book Antiqua" w:hAnsi="Book Antiqua" w:cs="Arial"/>
          <w:lang w:val="es-PR"/>
        </w:rPr>
        <w:t xml:space="preserve"> profundamente entrelazada con su conducta violenta. </w:t>
      </w:r>
    </w:p>
    <w:p w14:paraId="3C0DD4D0" w14:textId="77777777" w:rsidR="00F62903" w:rsidRPr="00F62903" w:rsidRDefault="00F62903" w:rsidP="00F62903">
      <w:pPr>
        <w:jc w:val="both"/>
        <w:rPr>
          <w:rFonts w:ascii="Book Antiqua" w:hAnsi="Book Antiqua" w:cs="Arial"/>
          <w:lang w:val="es-PR"/>
        </w:rPr>
      </w:pPr>
    </w:p>
    <w:p w14:paraId="13A12E79" w14:textId="08C16B5E" w:rsidR="006A629C" w:rsidRDefault="006A629C" w:rsidP="00F62903">
      <w:pPr>
        <w:jc w:val="both"/>
        <w:rPr>
          <w:rFonts w:ascii="Book Antiqua" w:hAnsi="Book Antiqua" w:cs="Arial"/>
          <w:lang w:val="es-PR"/>
        </w:rPr>
      </w:pPr>
      <w:r w:rsidRPr="00F62903">
        <w:rPr>
          <w:rFonts w:ascii="Book Antiqua" w:hAnsi="Book Antiqua" w:cs="Arial"/>
          <w:lang w:val="es-PR"/>
        </w:rPr>
        <w:t xml:space="preserve">Se recomienda realizar una evaluación exhaustiva de la salud mental al inicio del tratamiento para identificar trastornos como depresión, ira patológica y consumo de sustancias, además, es crucial adaptar el plan de intervención a las necesidades clínicas especificas del agresor, integrando terapia para el manejo de ira y programas educativos. También se sugiere coordinar con el sistema judicial para asegurar el cumplimiento del tratamiento y supervisión.  </w:t>
      </w:r>
    </w:p>
    <w:p w14:paraId="3885FB5C" w14:textId="77777777" w:rsidR="00F62903" w:rsidRPr="00F62903" w:rsidRDefault="00F62903" w:rsidP="00F62903">
      <w:pPr>
        <w:jc w:val="both"/>
        <w:rPr>
          <w:rFonts w:ascii="Book Antiqua" w:hAnsi="Book Antiqua" w:cs="Arial"/>
          <w:lang w:val="es-PR"/>
        </w:rPr>
      </w:pPr>
    </w:p>
    <w:p w14:paraId="4412EBC1" w14:textId="4F5B1582" w:rsidR="006A629C" w:rsidRDefault="006A629C" w:rsidP="00B11FB6">
      <w:pPr>
        <w:jc w:val="both"/>
        <w:rPr>
          <w:rFonts w:ascii="Book Antiqua" w:hAnsi="Book Antiqua" w:cs="Arial"/>
          <w:lang w:val="es-PR"/>
        </w:rPr>
      </w:pPr>
      <w:r w:rsidRPr="00F62903">
        <w:rPr>
          <w:rFonts w:ascii="Book Antiqua" w:hAnsi="Book Antiqua" w:cs="Arial"/>
          <w:lang w:val="es-PR"/>
        </w:rPr>
        <w:t xml:space="preserve">Según el protocolo del CTIAM, se coordinan servicios como vivienda, empleo, asistencia alimenticia, servicios legales y atención a la salud física. Además, se proporciona orientación sobre medidas de seguridad y se activa un protocolo </w:t>
      </w:r>
      <w:r w:rsidR="00521C62" w:rsidRPr="00F62903">
        <w:rPr>
          <w:rFonts w:ascii="Book Antiqua" w:hAnsi="Book Antiqua" w:cs="Arial"/>
          <w:lang w:val="es-PR"/>
        </w:rPr>
        <w:t>específico</w:t>
      </w:r>
      <w:r w:rsidRPr="00F62903">
        <w:rPr>
          <w:rFonts w:ascii="Book Antiqua" w:hAnsi="Book Antiqua" w:cs="Arial"/>
          <w:lang w:val="es-PR"/>
        </w:rPr>
        <w:t xml:space="preserve"> para el manejo de situaciones de violencia </w:t>
      </w:r>
      <w:r w:rsidR="00521C62" w:rsidRPr="00F62903">
        <w:rPr>
          <w:rFonts w:ascii="Book Antiqua" w:hAnsi="Book Antiqua" w:cs="Arial"/>
          <w:lang w:val="es-PR"/>
        </w:rPr>
        <w:t>doméstica</w:t>
      </w:r>
      <w:r w:rsidRPr="00F62903">
        <w:rPr>
          <w:rFonts w:ascii="Book Antiqua" w:hAnsi="Book Antiqua" w:cs="Arial"/>
          <w:lang w:val="es-PR"/>
        </w:rPr>
        <w:t xml:space="preserve"> y órdenes de protección. Estos servicios buscan atender integralmente las necesidades de las </w:t>
      </w:r>
      <w:r w:rsidR="00F62903" w:rsidRPr="00F62903">
        <w:rPr>
          <w:rFonts w:ascii="Book Antiqua" w:hAnsi="Book Antiqua" w:cs="Arial"/>
          <w:lang w:val="es-PR"/>
        </w:rPr>
        <w:t>víctimas</w:t>
      </w:r>
      <w:r w:rsidRPr="00F62903">
        <w:rPr>
          <w:rFonts w:ascii="Book Antiqua" w:hAnsi="Book Antiqua" w:cs="Arial"/>
          <w:lang w:val="es-PR"/>
        </w:rPr>
        <w:t xml:space="preserve"> y garantizar su seguridad y bienestar. </w:t>
      </w:r>
    </w:p>
    <w:p w14:paraId="61C484BB" w14:textId="77777777" w:rsidR="00B11FB6" w:rsidRDefault="00B11FB6" w:rsidP="00F62903">
      <w:pPr>
        <w:jc w:val="both"/>
        <w:rPr>
          <w:rFonts w:ascii="Book Antiqua" w:hAnsi="Book Antiqua" w:cs="Arial"/>
          <w:lang w:val="es-PR"/>
        </w:rPr>
      </w:pPr>
    </w:p>
    <w:p w14:paraId="6BCD381F" w14:textId="65CF6E3A" w:rsidR="006A629C" w:rsidRPr="00F62903" w:rsidRDefault="006A629C" w:rsidP="00F62903">
      <w:pPr>
        <w:jc w:val="both"/>
        <w:rPr>
          <w:rFonts w:ascii="Book Antiqua" w:hAnsi="Book Antiqua" w:cs="Arial"/>
          <w:lang w:val="es-PR"/>
        </w:rPr>
      </w:pPr>
      <w:r w:rsidRPr="00F62903">
        <w:rPr>
          <w:rFonts w:ascii="Book Antiqua" w:hAnsi="Book Antiqua" w:cs="Arial"/>
          <w:lang w:val="es-PR"/>
        </w:rPr>
        <w:t xml:space="preserve">Se recomienda incorporar la perspectiva de las sobrevivientes en el diseño de servicios para garantizar que sean accesibles, especializados y efectivos, especialmente para grupos de mayor riesgo. Además, es fundamental la capacidad y respuesta del sistema de salud, asegurando que los profesionales indaguen proactivamente sobre la violencia domestica durante las consultas. Por último, se sugiere desarrollar políticas </w:t>
      </w:r>
      <w:r w:rsidR="00F62903" w:rsidRPr="00F62903">
        <w:rPr>
          <w:rFonts w:ascii="Book Antiqua" w:hAnsi="Book Antiqua" w:cs="Arial"/>
          <w:lang w:val="es-PR"/>
        </w:rPr>
        <w:t>públicas</w:t>
      </w:r>
      <w:r w:rsidRPr="00F62903">
        <w:rPr>
          <w:rFonts w:ascii="Book Antiqua" w:hAnsi="Book Antiqua" w:cs="Arial"/>
          <w:lang w:val="es-PR"/>
        </w:rPr>
        <w:t xml:space="preserve"> que financien estos servicios especializados y capaciten a los profesionales adecuadamente las necesidades de las sobrevivientes. </w:t>
      </w:r>
    </w:p>
    <w:p w14:paraId="3AEEE9FC" w14:textId="77777777" w:rsidR="006A629C" w:rsidRPr="00F62903" w:rsidRDefault="006A629C" w:rsidP="00F62903">
      <w:pPr>
        <w:jc w:val="both"/>
        <w:rPr>
          <w:rFonts w:ascii="Book Antiqua" w:hAnsi="Book Antiqua" w:cs="Arial"/>
          <w:lang w:val="es-PR"/>
        </w:rPr>
      </w:pPr>
    </w:p>
    <w:p w14:paraId="7BE2BE9A" w14:textId="77777777" w:rsidR="006A629C" w:rsidRDefault="006A629C" w:rsidP="00B11FB6">
      <w:pPr>
        <w:jc w:val="both"/>
        <w:rPr>
          <w:rFonts w:ascii="Book Antiqua" w:hAnsi="Book Antiqua" w:cs="Arial"/>
          <w:lang w:val="es-PR"/>
        </w:rPr>
      </w:pPr>
      <w:r w:rsidRPr="00F62903">
        <w:rPr>
          <w:rFonts w:ascii="Book Antiqua" w:hAnsi="Book Antiqua" w:cs="Arial"/>
          <w:lang w:val="es-PR"/>
        </w:rPr>
        <w:t xml:space="preserve">Casi el 38% de los agresores busca ayuda para sus problemas de salud mental, lo que equivale a aproximadamente el 5% de las llamadas a servicios de apoyo en 2024. Esto sugiere una creciente visibilidad del problema y una mayor disposición de algunos agresores a reconocer su necesidad de asistencia profesional. </w:t>
      </w:r>
    </w:p>
    <w:p w14:paraId="4E155E7B" w14:textId="77777777" w:rsidR="00F62903" w:rsidRPr="00F62903" w:rsidRDefault="00F62903" w:rsidP="00F62903">
      <w:pPr>
        <w:ind w:firstLine="720"/>
        <w:jc w:val="both"/>
        <w:rPr>
          <w:rFonts w:ascii="Book Antiqua" w:hAnsi="Book Antiqua" w:cs="Arial"/>
          <w:lang w:val="es-PR"/>
        </w:rPr>
      </w:pPr>
    </w:p>
    <w:p w14:paraId="3FC371EE" w14:textId="56285AB1" w:rsidR="006A629C" w:rsidRDefault="006A629C" w:rsidP="00F62903">
      <w:pPr>
        <w:jc w:val="both"/>
        <w:rPr>
          <w:rFonts w:ascii="Book Antiqua" w:hAnsi="Book Antiqua" w:cs="Arial"/>
          <w:lang w:val="es-PR"/>
        </w:rPr>
      </w:pPr>
      <w:r w:rsidRPr="00F62903">
        <w:rPr>
          <w:rFonts w:ascii="Book Antiqua" w:hAnsi="Book Antiqua" w:cs="Arial"/>
          <w:lang w:val="es-PR"/>
        </w:rPr>
        <w:t xml:space="preserve">Anualmente, se reporta aproximadamente el 84% de los incidentes de violencia </w:t>
      </w:r>
      <w:r w:rsidR="00F62903" w:rsidRPr="00F62903">
        <w:rPr>
          <w:rFonts w:ascii="Book Antiqua" w:hAnsi="Book Antiqua" w:cs="Arial"/>
          <w:lang w:val="es-PR"/>
        </w:rPr>
        <w:t>doméstica</w:t>
      </w:r>
      <w:r w:rsidRPr="00F62903">
        <w:rPr>
          <w:rFonts w:ascii="Book Antiqua" w:hAnsi="Book Antiqua" w:cs="Arial"/>
          <w:lang w:val="es-PR"/>
        </w:rPr>
        <w:t xml:space="preserve"> en Puerto Rico con víctimas mujeres. Esto refleja una alta proporción de mujeres afectadas por este tipo de violencia en la isla. Sin embargo, es importante señalar que muchas </w:t>
      </w:r>
      <w:r w:rsidR="00F62903" w:rsidRPr="00F62903">
        <w:rPr>
          <w:rFonts w:ascii="Book Antiqua" w:hAnsi="Book Antiqua" w:cs="Arial"/>
          <w:lang w:val="es-PR"/>
        </w:rPr>
        <w:t>víctimas</w:t>
      </w:r>
      <w:r w:rsidRPr="00F62903">
        <w:rPr>
          <w:rFonts w:ascii="Book Antiqua" w:hAnsi="Book Antiqua" w:cs="Arial"/>
          <w:lang w:val="es-PR"/>
        </w:rPr>
        <w:t xml:space="preserve"> no denuncian los abusos, lo que puede subestimar la prevalencia real del problema. </w:t>
      </w:r>
    </w:p>
    <w:p w14:paraId="67294370" w14:textId="77777777" w:rsidR="00F62903" w:rsidRPr="00F62903" w:rsidRDefault="00F62903" w:rsidP="00F62903">
      <w:pPr>
        <w:jc w:val="both"/>
        <w:rPr>
          <w:rFonts w:ascii="Book Antiqua" w:hAnsi="Book Antiqua" w:cs="Arial"/>
          <w:lang w:val="es-PR"/>
        </w:rPr>
      </w:pPr>
    </w:p>
    <w:p w14:paraId="5A1F9DE9" w14:textId="2D2B9E14" w:rsidR="006A629C" w:rsidRPr="00F62903" w:rsidRDefault="006A629C" w:rsidP="00F62903">
      <w:pPr>
        <w:jc w:val="both"/>
        <w:rPr>
          <w:rFonts w:ascii="Book Antiqua" w:hAnsi="Book Antiqua" w:cs="Arial"/>
          <w:lang w:val="es-PR"/>
        </w:rPr>
      </w:pPr>
      <w:r w:rsidRPr="00F62903">
        <w:rPr>
          <w:rFonts w:ascii="Book Antiqua" w:hAnsi="Book Antiqua" w:cs="Arial"/>
          <w:lang w:val="es-PR"/>
        </w:rPr>
        <w:lastRenderedPageBreak/>
        <w:t xml:space="preserve">Estudios internacionales han documentado violencia en parejas adolescentes muy jóvenes. En un estudio realizado en Malaui por Kidman y Kohler (2020), por </w:t>
      </w:r>
      <w:r w:rsidR="00F62903" w:rsidRPr="00F62903">
        <w:rPr>
          <w:rFonts w:ascii="Book Antiqua" w:hAnsi="Book Antiqua" w:cs="Arial"/>
          <w:lang w:val="es-PR"/>
        </w:rPr>
        <w:t>ejemplo,</w:t>
      </w:r>
      <w:r w:rsidRPr="00F62903">
        <w:rPr>
          <w:rFonts w:ascii="Book Antiqua" w:hAnsi="Book Antiqua" w:cs="Arial"/>
          <w:lang w:val="es-PR"/>
        </w:rPr>
        <w:t xml:space="preserve"> un 87% de las adolescentes encuestadas ha experimentado algún tipo de violencia en el noviazgo, principalmente maltrato psicológico. Este dato resalta a la alta incidencia de violencia en relaciones de pareja entre adolescentes. </w:t>
      </w:r>
    </w:p>
    <w:p w14:paraId="3E06C922" w14:textId="77777777" w:rsidR="006A629C" w:rsidRPr="00F62903" w:rsidRDefault="006A629C" w:rsidP="00F62903">
      <w:pPr>
        <w:ind w:firstLine="720"/>
        <w:jc w:val="both"/>
        <w:rPr>
          <w:rFonts w:ascii="Book Antiqua" w:eastAsia="Book Antiqua" w:hAnsi="Book Antiqua"/>
          <w:szCs w:val="24"/>
          <w:lang w:val="es-PR"/>
        </w:rPr>
      </w:pPr>
    </w:p>
    <w:p w14:paraId="6D524AEF" w14:textId="77777777" w:rsidR="006A629C" w:rsidRDefault="006A629C" w:rsidP="006A629C">
      <w:pPr>
        <w:rPr>
          <w:rFonts w:ascii="Book Antiqua" w:eastAsia="Book Antiqua" w:hAnsi="Book Antiqua"/>
          <w:b/>
          <w:bCs/>
          <w:szCs w:val="24"/>
          <w:lang w:val="es-ES"/>
        </w:rPr>
      </w:pPr>
    </w:p>
    <w:p w14:paraId="0911A8C4" w14:textId="77777777" w:rsidR="006A629C" w:rsidRDefault="006A629C" w:rsidP="006A629C">
      <w:pPr>
        <w:jc w:val="center"/>
        <w:rPr>
          <w:rFonts w:ascii="Book Antiqua" w:eastAsia="Book Antiqua" w:hAnsi="Book Antiqua"/>
          <w:b/>
          <w:bCs/>
          <w:szCs w:val="24"/>
          <w:lang w:val="es-ES"/>
        </w:rPr>
      </w:pPr>
      <w:r w:rsidRPr="0011474E">
        <w:rPr>
          <w:rFonts w:ascii="Book Antiqua" w:eastAsia="Book Antiqua" w:hAnsi="Book Antiqua"/>
          <w:b/>
          <w:bCs/>
          <w:szCs w:val="24"/>
          <w:lang w:val="es-ES"/>
        </w:rPr>
        <w:t>CONCLUSIÓN</w:t>
      </w:r>
      <w:r>
        <w:rPr>
          <w:rFonts w:ascii="Book Antiqua" w:eastAsia="Book Antiqua" w:hAnsi="Book Antiqua"/>
          <w:b/>
          <w:bCs/>
          <w:szCs w:val="24"/>
          <w:lang w:val="es-ES"/>
        </w:rPr>
        <w:t xml:space="preserve"> Y RECOMENDACIÓN </w:t>
      </w:r>
    </w:p>
    <w:p w14:paraId="05841716" w14:textId="77777777" w:rsidR="006A629C" w:rsidRPr="0011474E" w:rsidRDefault="006A629C" w:rsidP="006A629C">
      <w:pPr>
        <w:jc w:val="center"/>
        <w:rPr>
          <w:rFonts w:ascii="Book Antiqua" w:eastAsia="Book Antiqua" w:hAnsi="Book Antiqua"/>
          <w:b/>
          <w:bCs/>
          <w:szCs w:val="24"/>
          <w:lang w:val="es-ES"/>
        </w:rPr>
      </w:pPr>
    </w:p>
    <w:p w14:paraId="766493BD" w14:textId="4630ABBD" w:rsidR="00AC4F20" w:rsidRPr="00AC4F20" w:rsidRDefault="00AC4F20" w:rsidP="00AC4F20">
      <w:pPr>
        <w:jc w:val="both"/>
        <w:rPr>
          <w:rFonts w:ascii="Book Antiqua" w:hAnsi="Book Antiqua" w:cs="Arial"/>
          <w:szCs w:val="24"/>
          <w:lang w:val="es-PR"/>
        </w:rPr>
      </w:pPr>
      <w:r w:rsidRPr="00AC4F20">
        <w:rPr>
          <w:rFonts w:ascii="Book Antiqua" w:eastAsia="Book Antiqua" w:hAnsi="Book Antiqua"/>
          <w:szCs w:val="24"/>
        </w:rPr>
        <w:t>Contando con el beneficio de la información provista por el Instituto de Estadísticas de Puerto Rico, la Oficina de la Procuradora de las Mujeres y la A</w:t>
      </w:r>
      <w:r w:rsidRPr="00AC4F20">
        <w:rPr>
          <w:rFonts w:ascii="Book Antiqua" w:eastAsia="Book Antiqua" w:hAnsi="Book Antiqua"/>
          <w:szCs w:val="24"/>
          <w:lang w:val="es-ES"/>
        </w:rPr>
        <w:t>dministración de Servicios de Salud Mental y contra la Adicción</w:t>
      </w:r>
      <w:r w:rsidRPr="00AC4F20">
        <w:rPr>
          <w:rFonts w:ascii="Book Antiqua" w:eastAsia="Book Antiqua" w:hAnsi="Book Antiqua"/>
          <w:szCs w:val="24"/>
        </w:rPr>
        <w:t xml:space="preserve">, esta Comisión realizó el análisis parcial de la investigación. </w:t>
      </w:r>
      <w:r w:rsidRPr="00AC4F20">
        <w:rPr>
          <w:rFonts w:ascii="Book Antiqua" w:hAnsi="Book Antiqua" w:cs="Arial"/>
          <w:szCs w:val="24"/>
          <w:lang w:val="es-PR"/>
        </w:rPr>
        <w:t xml:space="preserve">El impacto en la salud mental de la violencia de genero tiene efectos devastadores en la salud mental de las víctimas a corto y largo plazo, urge la intervención de especialistas de la salud mental y conducta humana para poder cerrar el círculo y romper las cadenas generacionales. </w:t>
      </w:r>
    </w:p>
    <w:p w14:paraId="0B84AD34" w14:textId="74D2CF83" w:rsidR="00AC4F20" w:rsidRPr="00AC4F20" w:rsidRDefault="00AC4F20" w:rsidP="00AC4F20">
      <w:pPr>
        <w:pStyle w:val="ListParagraph"/>
        <w:numPr>
          <w:ilvl w:val="0"/>
          <w:numId w:val="11"/>
        </w:numPr>
        <w:spacing w:after="160" w:line="278" w:lineRule="auto"/>
        <w:jc w:val="both"/>
        <w:rPr>
          <w:rFonts w:ascii="Book Antiqua" w:hAnsi="Book Antiqua" w:cs="Arial"/>
          <w:szCs w:val="24"/>
          <w:lang w:val="es-PR"/>
        </w:rPr>
      </w:pPr>
      <w:r w:rsidRPr="00AC4F20">
        <w:rPr>
          <w:rFonts w:ascii="Book Antiqua" w:hAnsi="Book Antiqua" w:cs="Arial"/>
          <w:szCs w:val="24"/>
          <w:lang w:val="es-PR"/>
        </w:rPr>
        <w:t>Trauma inmediato; las victimas experimentan shock, miedo intenso y una sensación de desesperanza. Estos sentimientos pueden manifestarse en síntomas físicos como insomnio, pérdida de apetito y problemas de concentración.</w:t>
      </w:r>
    </w:p>
    <w:p w14:paraId="3FC957FB" w14:textId="77777777" w:rsidR="00AC4F20" w:rsidRDefault="00AC4F20" w:rsidP="00AC4F20">
      <w:pPr>
        <w:pStyle w:val="ListParagraph"/>
        <w:numPr>
          <w:ilvl w:val="0"/>
          <w:numId w:val="11"/>
        </w:numPr>
        <w:spacing w:after="160" w:line="278" w:lineRule="auto"/>
        <w:jc w:val="both"/>
        <w:rPr>
          <w:rFonts w:ascii="Book Antiqua" w:hAnsi="Book Antiqua" w:cs="Arial"/>
          <w:szCs w:val="24"/>
          <w:lang w:val="es-PR"/>
        </w:rPr>
      </w:pPr>
      <w:r w:rsidRPr="00AC4F20">
        <w:rPr>
          <w:rFonts w:ascii="Book Antiqua" w:hAnsi="Book Antiqua" w:cs="Arial"/>
          <w:szCs w:val="24"/>
          <w:lang w:val="es-PR"/>
        </w:rPr>
        <w:t>Trastornos agudos: la violencia puede desencadenar trastornos mentales agudos como el trastorno de estrés postraumático (TEPT), ansiedad y depresión, Las víctimas pueden tener flashbacks, pesadillas y una constante sensación de peligro.</w:t>
      </w:r>
    </w:p>
    <w:p w14:paraId="0EAF7C9E" w14:textId="2F894283" w:rsidR="00AC4F20" w:rsidRPr="00AC4F20" w:rsidRDefault="00AC4F20" w:rsidP="00AC4F20">
      <w:pPr>
        <w:pStyle w:val="ListParagraph"/>
        <w:numPr>
          <w:ilvl w:val="0"/>
          <w:numId w:val="11"/>
        </w:numPr>
        <w:spacing w:after="160" w:line="278" w:lineRule="auto"/>
        <w:jc w:val="both"/>
        <w:rPr>
          <w:rFonts w:ascii="Book Antiqua" w:hAnsi="Book Antiqua" w:cs="Arial"/>
          <w:szCs w:val="24"/>
          <w:lang w:val="es-PR"/>
        </w:rPr>
      </w:pPr>
      <w:r w:rsidRPr="00AC4F20">
        <w:rPr>
          <w:rFonts w:ascii="Book Antiqua" w:hAnsi="Book Antiqua" w:cs="Arial"/>
          <w:szCs w:val="24"/>
          <w:lang w:val="es-PR"/>
        </w:rPr>
        <w:t xml:space="preserve">Impacto a largo plazo: </w:t>
      </w:r>
    </w:p>
    <w:p w14:paraId="7D4C6694" w14:textId="77777777" w:rsidR="00AC4F20" w:rsidRPr="00AC4F20" w:rsidRDefault="00AC4F20" w:rsidP="00AC4F20">
      <w:pPr>
        <w:pStyle w:val="ListParagraph"/>
        <w:numPr>
          <w:ilvl w:val="0"/>
          <w:numId w:val="12"/>
        </w:numPr>
        <w:spacing w:after="160" w:line="278" w:lineRule="auto"/>
        <w:jc w:val="both"/>
        <w:rPr>
          <w:rFonts w:ascii="Book Antiqua" w:hAnsi="Book Antiqua" w:cs="Arial"/>
          <w:szCs w:val="24"/>
          <w:lang w:val="es-PR"/>
        </w:rPr>
      </w:pPr>
      <w:r w:rsidRPr="00AC4F20">
        <w:rPr>
          <w:rFonts w:ascii="Book Antiqua" w:hAnsi="Book Antiqua" w:cs="Arial"/>
          <w:szCs w:val="24"/>
          <w:lang w:val="es-PR"/>
        </w:rPr>
        <w:t xml:space="preserve">Secuelas Emocionales Persistentes; las victimas pueden desarrollar problemas emocionales persistentes que afectan su capacidad para formar relaciones saludables y mantener una vida cotidiana estable. Esto incluye una baja autoestima, sentimientos de culpa y vergüenza y dificultades para confiar en los demás. </w:t>
      </w:r>
    </w:p>
    <w:p w14:paraId="770829E8" w14:textId="77777777" w:rsidR="00AC4F20" w:rsidRPr="00AC4F20" w:rsidRDefault="00AC4F20" w:rsidP="00AC4F20">
      <w:pPr>
        <w:pStyle w:val="ListParagraph"/>
        <w:numPr>
          <w:ilvl w:val="0"/>
          <w:numId w:val="12"/>
        </w:numPr>
        <w:spacing w:after="160" w:line="278" w:lineRule="auto"/>
        <w:jc w:val="both"/>
        <w:rPr>
          <w:rFonts w:ascii="Book Antiqua" w:hAnsi="Book Antiqua" w:cs="Arial"/>
          <w:szCs w:val="24"/>
          <w:lang w:val="es-PR"/>
        </w:rPr>
      </w:pPr>
      <w:r w:rsidRPr="00AC4F20">
        <w:rPr>
          <w:rFonts w:ascii="Book Antiqua" w:hAnsi="Book Antiqua" w:cs="Arial"/>
          <w:szCs w:val="24"/>
          <w:lang w:val="es-PR"/>
        </w:rPr>
        <w:t xml:space="preserve">Trastornos crónicos: la exposición prolongada a la violencia puede llevar a trastornos mentales crónicos como la depresión mayor y TEPT crónico. Estos trastornos pueden requerir tratamiento a largo plazo y pueden requerir tratamiento a largo plazo y pueden requerir tratamiento a largo plazo y pueden afectar significativamente la calidad de visa de las víctimas. </w:t>
      </w:r>
    </w:p>
    <w:p w14:paraId="0F3CAA16" w14:textId="081C83C0" w:rsidR="00AC4F20" w:rsidRPr="00AC4F20" w:rsidRDefault="00AC4F20" w:rsidP="00AC4F20">
      <w:pPr>
        <w:pStyle w:val="ListParagraph"/>
        <w:numPr>
          <w:ilvl w:val="0"/>
          <w:numId w:val="12"/>
        </w:numPr>
        <w:spacing w:after="160" w:line="278" w:lineRule="auto"/>
        <w:jc w:val="both"/>
        <w:rPr>
          <w:rFonts w:ascii="Book Antiqua" w:hAnsi="Book Antiqua" w:cs="Arial"/>
          <w:szCs w:val="24"/>
          <w:lang w:val="es-PR"/>
        </w:rPr>
      </w:pPr>
      <w:r w:rsidRPr="00AC4F20">
        <w:rPr>
          <w:rFonts w:ascii="Book Antiqua" w:hAnsi="Book Antiqua" w:cs="Arial"/>
          <w:szCs w:val="24"/>
          <w:lang w:val="es-PR"/>
        </w:rPr>
        <w:lastRenderedPageBreak/>
        <w:t xml:space="preserve">Riesgo de suicidio: las víctimas de violencia de género tienen un riesgo significativamente mayor de ideación y comportamiento suicida. Este riesgo puede persistir durante años después de la violencia inicial. </w:t>
      </w:r>
    </w:p>
    <w:p w14:paraId="2555CAC3" w14:textId="77777777" w:rsidR="00AC4F20" w:rsidRPr="00AC4F20" w:rsidRDefault="00AC4F20" w:rsidP="00AC4F20">
      <w:pPr>
        <w:pStyle w:val="ListParagraph"/>
        <w:numPr>
          <w:ilvl w:val="0"/>
          <w:numId w:val="12"/>
        </w:numPr>
        <w:shd w:val="clear" w:color="auto" w:fill="FFFFFF"/>
        <w:jc w:val="both"/>
        <w:textAlignment w:val="baseline"/>
        <w:rPr>
          <w:rFonts w:ascii="Book Antiqua" w:hAnsi="Book Antiqua" w:cs="Arial"/>
          <w:color w:val="242424"/>
          <w:szCs w:val="24"/>
          <w:lang w:val="es-PR"/>
        </w:rPr>
      </w:pPr>
      <w:r w:rsidRPr="00AC4F20">
        <w:rPr>
          <w:rFonts w:ascii="Book Antiqua" w:hAnsi="Book Antiqua" w:cs="Arial"/>
          <w:color w:val="242424"/>
          <w:szCs w:val="24"/>
          <w:lang w:val="es-PR"/>
        </w:rPr>
        <w:t>Factores Contribuyentes: Violencia Psicológica y Económica: Aunque menos visible, la violencia psicológica y económica puede ser tan perjudicial como la violencia física. La manipulación emocional y el control financiero pueden llevar a una profunda angustia psicológica y aumentar el riesgo de trastornos mentales.</w:t>
      </w:r>
    </w:p>
    <w:p w14:paraId="67505A3A" w14:textId="77777777" w:rsidR="00AC4F20" w:rsidRPr="00AC4F20" w:rsidRDefault="00AC4F20" w:rsidP="00AC4F20">
      <w:pPr>
        <w:pStyle w:val="ListParagraph"/>
        <w:numPr>
          <w:ilvl w:val="0"/>
          <w:numId w:val="12"/>
        </w:numPr>
        <w:shd w:val="clear" w:color="auto" w:fill="FFFFFF"/>
        <w:jc w:val="both"/>
        <w:textAlignment w:val="baseline"/>
        <w:rPr>
          <w:rFonts w:ascii="Book Antiqua" w:hAnsi="Book Antiqua" w:cs="Arial"/>
          <w:color w:val="242424"/>
          <w:szCs w:val="24"/>
          <w:lang w:val="es-PR"/>
        </w:rPr>
      </w:pPr>
      <w:r w:rsidRPr="00AC4F20">
        <w:rPr>
          <w:rFonts w:ascii="Book Antiqua" w:hAnsi="Book Antiqua" w:cs="Arial"/>
          <w:color w:val="242424"/>
          <w:szCs w:val="24"/>
          <w:lang w:val="es-PR"/>
        </w:rPr>
        <w:t>Contexto Social y Cultural: Las expectativas sociales y culturales pueden exacerbar el impacto de la violencia de género. Las víctimas pueden sentirse aisladas y estigmatizadas, lo que dificulta la búsqueda de ayuda y apoyo.</w:t>
      </w:r>
    </w:p>
    <w:p w14:paraId="10A2568A" w14:textId="77777777" w:rsidR="00AC4F20" w:rsidRPr="00AC4F20" w:rsidRDefault="00AC4F20" w:rsidP="00AC4F20">
      <w:pPr>
        <w:pStyle w:val="ListParagraph"/>
        <w:numPr>
          <w:ilvl w:val="0"/>
          <w:numId w:val="12"/>
        </w:numPr>
        <w:shd w:val="clear" w:color="auto" w:fill="FFFFFF"/>
        <w:jc w:val="both"/>
        <w:textAlignment w:val="baseline"/>
        <w:rPr>
          <w:rFonts w:ascii="Book Antiqua" w:hAnsi="Book Antiqua" w:cs="Arial"/>
          <w:color w:val="242424"/>
          <w:szCs w:val="24"/>
          <w:lang w:val="es-PR"/>
        </w:rPr>
      </w:pPr>
      <w:r w:rsidRPr="00AC4F20">
        <w:rPr>
          <w:rFonts w:ascii="Book Antiqua" w:hAnsi="Book Antiqua" w:cs="Arial"/>
          <w:color w:val="242424"/>
          <w:szCs w:val="24"/>
          <w:lang w:val="es-PR"/>
        </w:rPr>
        <w:t>Necesidad de Intervenciones Integradas: Apoyo Psicológico: Es crucial que las políticas públicas y los servicios de respuesta incluyan apoyo psicológico para las víctimas. La intervención temprana puede ayudar a mitigar los efectos a largo plazo y proporcionar a las víctimas las herramientas necesarias para recuperarse.</w:t>
      </w:r>
    </w:p>
    <w:p w14:paraId="3EDE9C16" w14:textId="77777777" w:rsidR="00AC4F20" w:rsidRPr="00AC4F20" w:rsidRDefault="00AC4F20" w:rsidP="00AC4F20">
      <w:pPr>
        <w:pStyle w:val="ListParagraph"/>
        <w:numPr>
          <w:ilvl w:val="0"/>
          <w:numId w:val="12"/>
        </w:numPr>
        <w:shd w:val="clear" w:color="auto" w:fill="FFFFFF"/>
        <w:jc w:val="both"/>
        <w:textAlignment w:val="baseline"/>
        <w:rPr>
          <w:rFonts w:ascii="Book Antiqua" w:hAnsi="Book Antiqua" w:cs="Arial"/>
          <w:color w:val="242424"/>
          <w:szCs w:val="24"/>
          <w:lang w:val="es-PR"/>
        </w:rPr>
      </w:pPr>
      <w:r w:rsidRPr="00AC4F20">
        <w:rPr>
          <w:rFonts w:ascii="Book Antiqua" w:hAnsi="Book Antiqua" w:cs="Arial"/>
          <w:color w:val="242424"/>
          <w:szCs w:val="24"/>
          <w:lang w:val="es-PR"/>
        </w:rPr>
        <w:t>Educación y Sensibilización: La educación y la sensibilización sobre la violencia de género y sus efectos en la salud mental son esenciales para prevenir la violencia y apoyar a las víctimas. Esto incluye programas de formación para profesionales de la salud, la policía y otros servicios de apoyo.</w:t>
      </w:r>
    </w:p>
    <w:p w14:paraId="7D16DB6B" w14:textId="77777777" w:rsidR="00AC4F20" w:rsidRPr="004C1928" w:rsidRDefault="00AC4F20" w:rsidP="00AC4F20">
      <w:pPr>
        <w:jc w:val="both"/>
        <w:rPr>
          <w:rFonts w:ascii="Arial" w:hAnsi="Arial" w:cs="Arial"/>
          <w:lang w:val="es-PR"/>
        </w:rPr>
      </w:pPr>
    </w:p>
    <w:p w14:paraId="094758F7" w14:textId="77777777" w:rsidR="006A629C" w:rsidRPr="000B7E32" w:rsidRDefault="006A629C" w:rsidP="006A629C">
      <w:pPr>
        <w:jc w:val="both"/>
        <w:rPr>
          <w:rFonts w:ascii="Book Antiqua" w:hAnsi="Book Antiqua"/>
          <w:szCs w:val="24"/>
        </w:rPr>
      </w:pPr>
    </w:p>
    <w:p w14:paraId="20D3C4D4" w14:textId="60466001" w:rsidR="00F33CEA" w:rsidRPr="00EC4A83" w:rsidRDefault="00AC4F20" w:rsidP="00EC4A83">
      <w:pPr>
        <w:ind w:firstLine="720"/>
        <w:jc w:val="both"/>
        <w:rPr>
          <w:rFonts w:ascii="Book Antiqua" w:hAnsi="Book Antiqua"/>
          <w:b/>
          <w:szCs w:val="24"/>
          <w:shd w:val="clear" w:color="auto" w:fill="FFFFFF"/>
          <w:lang w:val="es-ES"/>
        </w:rPr>
      </w:pPr>
      <w:r>
        <w:rPr>
          <w:rFonts w:ascii="Book Antiqua" w:eastAsia="Book Antiqua" w:hAnsi="Book Antiqua"/>
          <w:bCs/>
          <w:szCs w:val="24"/>
          <w:lang w:val="es-ES"/>
        </w:rPr>
        <w:t>La</w:t>
      </w:r>
      <w:r w:rsidR="006A629C" w:rsidRPr="000B7E32">
        <w:rPr>
          <w:rFonts w:ascii="Book Antiqua" w:eastAsia="Book Antiqua" w:hAnsi="Book Antiqua"/>
          <w:bCs/>
          <w:szCs w:val="24"/>
          <w:lang w:val="es-ES"/>
        </w:rPr>
        <w:t xml:space="preserve"> Comisión de Asuntos de la Mujer</w:t>
      </w:r>
      <w:r w:rsidR="006A629C" w:rsidRPr="000B7E32">
        <w:rPr>
          <w:rFonts w:ascii="Book Antiqua" w:eastAsia="Book Antiqua" w:hAnsi="Book Antiqua"/>
          <w:bCs/>
          <w:szCs w:val="24"/>
        </w:rPr>
        <w:t xml:space="preserve"> de la Cámara de Representantes, </w:t>
      </w:r>
      <w:r>
        <w:rPr>
          <w:rFonts w:ascii="Book Antiqua" w:eastAsia="Book Antiqua" w:hAnsi="Book Antiqua"/>
          <w:bCs/>
          <w:szCs w:val="24"/>
        </w:rPr>
        <w:t xml:space="preserve">presenta un Informe Parcial de la Investigación conforme a </w:t>
      </w:r>
      <w:r w:rsidRPr="00EC4A83">
        <w:rPr>
          <w:rFonts w:ascii="Book Antiqua" w:hAnsi="Book Antiqua"/>
          <w:szCs w:val="24"/>
        </w:rPr>
        <w:t>la R. de la C. 138, en</w:t>
      </w:r>
      <w:r w:rsidRPr="00EC4A83">
        <w:rPr>
          <w:rFonts w:ascii="Book Antiqua" w:eastAsia="Book Antiqua" w:hAnsi="Book Antiqua"/>
          <w:szCs w:val="24"/>
          <w:lang w:val="es-ES"/>
        </w:rPr>
        <w:t xml:space="preserve"> relación entre la salud mental y la violencia doméstica en contra de las mujeres.  </w:t>
      </w:r>
      <w:r w:rsidR="00F33CEA" w:rsidRPr="00EC4A83">
        <w:rPr>
          <w:rFonts w:ascii="Book Antiqua" w:hAnsi="Book Antiqua"/>
          <w:szCs w:val="24"/>
          <w:lang w:val="es-ES"/>
        </w:rPr>
        <w:t xml:space="preserve">Por todo lo antes expuesto, la Comisión </w:t>
      </w:r>
      <w:r w:rsidR="00F33CEA" w:rsidRPr="00EC4A83">
        <w:rPr>
          <w:rFonts w:ascii="Book Antiqua" w:eastAsia="Book Antiqua" w:hAnsi="Book Antiqua"/>
          <w:bCs/>
          <w:szCs w:val="24"/>
          <w:lang w:val="es-ES"/>
        </w:rPr>
        <w:t>de Asuntos de la Mujer</w:t>
      </w:r>
      <w:r w:rsidR="00F33CEA" w:rsidRPr="00EC4A83">
        <w:rPr>
          <w:rFonts w:ascii="Book Antiqua" w:eastAsia="Book Antiqua" w:hAnsi="Book Antiqua"/>
          <w:bCs/>
          <w:szCs w:val="24"/>
        </w:rPr>
        <w:t xml:space="preserve"> de</w:t>
      </w:r>
      <w:r w:rsidR="00F33CEA" w:rsidRPr="00EC4A83">
        <w:rPr>
          <w:rFonts w:ascii="Book Antiqua" w:hAnsi="Book Antiqua"/>
          <w:szCs w:val="24"/>
          <w:lang w:val="es-ES"/>
        </w:rPr>
        <w:t xml:space="preserve"> la Cámara de Representantes del Gobierno de Puerto Rico, somete ante este Cuerpo su </w:t>
      </w:r>
      <w:r w:rsidR="000C04AF" w:rsidRPr="00EC4A83">
        <w:rPr>
          <w:rFonts w:ascii="Book Antiqua" w:hAnsi="Book Antiqua"/>
          <w:szCs w:val="24"/>
          <w:lang w:val="es-ES"/>
        </w:rPr>
        <w:t xml:space="preserve">Segundo </w:t>
      </w:r>
      <w:r w:rsidR="00F33CEA" w:rsidRPr="00EC4A83">
        <w:rPr>
          <w:rFonts w:ascii="Book Antiqua" w:hAnsi="Book Antiqua"/>
          <w:szCs w:val="24"/>
          <w:lang w:val="es-ES"/>
        </w:rPr>
        <w:t xml:space="preserve">Informe Parcial sobre la </w:t>
      </w:r>
      <w:r w:rsidR="00F33CEA" w:rsidRPr="00EC4A83">
        <w:rPr>
          <w:rFonts w:ascii="Book Antiqua" w:hAnsi="Book Antiqua"/>
          <w:b/>
          <w:szCs w:val="24"/>
          <w:lang w:val="es-ES"/>
        </w:rPr>
        <w:t>Resolución de la Cámara 138</w:t>
      </w:r>
      <w:r w:rsidR="00F33CEA" w:rsidRPr="00EC4A83">
        <w:rPr>
          <w:rFonts w:ascii="Book Antiqua" w:hAnsi="Book Antiqua"/>
          <w:szCs w:val="24"/>
          <w:lang w:val="es-ES"/>
        </w:rPr>
        <w:t xml:space="preserve">. </w:t>
      </w:r>
    </w:p>
    <w:p w14:paraId="40809B54" w14:textId="77777777" w:rsidR="00F33CEA" w:rsidRPr="00EC4A83" w:rsidRDefault="00F33CEA" w:rsidP="006A629C">
      <w:pPr>
        <w:jc w:val="both"/>
        <w:rPr>
          <w:rFonts w:ascii="Book Antiqua" w:eastAsia="Book Antiqua" w:hAnsi="Book Antiqua"/>
          <w:szCs w:val="24"/>
          <w:lang w:val="es-ES"/>
        </w:rPr>
      </w:pPr>
    </w:p>
    <w:p w14:paraId="42967483" w14:textId="77777777" w:rsidR="00AC4F20" w:rsidRPr="001937D8" w:rsidRDefault="00AC4F20" w:rsidP="006A629C">
      <w:pPr>
        <w:jc w:val="both"/>
        <w:rPr>
          <w:rFonts w:ascii="Book Antiqua" w:eastAsia="Book Antiqua" w:hAnsi="Book Antiqua"/>
          <w:szCs w:val="24"/>
          <w:lang w:val="es-ES_tradnl"/>
        </w:rPr>
      </w:pPr>
    </w:p>
    <w:p w14:paraId="0C9E775C" w14:textId="644EEAE6" w:rsidR="006A629C" w:rsidRPr="0011474E" w:rsidRDefault="006A629C" w:rsidP="006A629C">
      <w:pPr>
        <w:jc w:val="both"/>
        <w:rPr>
          <w:rFonts w:ascii="Book Antiqua" w:eastAsia="Book Antiqua" w:hAnsi="Book Antiqua"/>
          <w:szCs w:val="24"/>
          <w:lang w:val="es-ES"/>
        </w:rPr>
      </w:pPr>
      <w:r w:rsidRPr="0011474E">
        <w:rPr>
          <w:rFonts w:ascii="Book Antiqua" w:eastAsia="Book Antiqua" w:hAnsi="Book Antiqua"/>
          <w:szCs w:val="24"/>
          <w:lang w:val="es-ES"/>
        </w:rPr>
        <w:t>Respetuosamente sometido,</w:t>
      </w:r>
    </w:p>
    <w:p w14:paraId="3655BD4B" w14:textId="77777777" w:rsidR="006A629C" w:rsidRPr="0011474E" w:rsidRDefault="006A629C" w:rsidP="006A629C">
      <w:pPr>
        <w:jc w:val="both"/>
        <w:rPr>
          <w:rFonts w:ascii="Book Antiqua" w:hAnsi="Book Antiqua"/>
          <w:b/>
          <w:bCs/>
          <w:szCs w:val="24"/>
          <w:lang w:val="es-ES_tradnl"/>
        </w:rPr>
      </w:pPr>
    </w:p>
    <w:p w14:paraId="124BBAEB" w14:textId="77777777" w:rsidR="006A629C" w:rsidRPr="0011474E" w:rsidRDefault="006A629C" w:rsidP="006A629C">
      <w:pPr>
        <w:jc w:val="both"/>
        <w:rPr>
          <w:rFonts w:ascii="Book Antiqua" w:hAnsi="Book Antiqua"/>
          <w:b/>
          <w:bCs/>
          <w:szCs w:val="24"/>
          <w:lang w:val="es-ES_tradnl"/>
        </w:rPr>
      </w:pPr>
    </w:p>
    <w:p w14:paraId="7E4E8696" w14:textId="77777777" w:rsidR="006A629C" w:rsidRPr="0011474E" w:rsidRDefault="006A629C" w:rsidP="006A629C">
      <w:pPr>
        <w:jc w:val="both"/>
        <w:rPr>
          <w:rFonts w:ascii="Book Antiqua" w:eastAsia="Book Antiqua" w:hAnsi="Book Antiqua"/>
          <w:szCs w:val="24"/>
          <w:lang w:val="es-ES"/>
        </w:rPr>
      </w:pPr>
    </w:p>
    <w:p w14:paraId="258E11B2" w14:textId="77777777" w:rsidR="006A629C" w:rsidRPr="0011474E" w:rsidRDefault="006A629C" w:rsidP="006A629C">
      <w:pPr>
        <w:jc w:val="both"/>
        <w:rPr>
          <w:rFonts w:ascii="Book Antiqua" w:eastAsia="Book Antiqua" w:hAnsi="Book Antiqua"/>
          <w:szCs w:val="24"/>
          <w:lang w:val="es-ES"/>
        </w:rPr>
      </w:pPr>
      <w:r w:rsidRPr="0011474E">
        <w:rPr>
          <w:rFonts w:ascii="Book Antiqua" w:eastAsia="Book Antiqua" w:hAnsi="Book Antiqua"/>
          <w:szCs w:val="24"/>
          <w:lang w:val="es-ES"/>
        </w:rPr>
        <w:t>Hon. Wanda del Valle Correa</w:t>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t xml:space="preserve"> </w:t>
      </w:r>
    </w:p>
    <w:p w14:paraId="56498E0A" w14:textId="77777777" w:rsidR="006A629C" w:rsidRPr="0011474E" w:rsidRDefault="006A629C" w:rsidP="006A629C">
      <w:pPr>
        <w:jc w:val="both"/>
        <w:rPr>
          <w:rFonts w:ascii="Book Antiqua" w:eastAsia="Book Antiqua" w:hAnsi="Book Antiqua"/>
          <w:szCs w:val="24"/>
          <w:lang w:val="es-ES"/>
        </w:rPr>
      </w:pPr>
      <w:r w:rsidRPr="0011474E">
        <w:rPr>
          <w:rFonts w:ascii="Book Antiqua" w:eastAsia="Book Antiqua" w:hAnsi="Book Antiqua"/>
          <w:szCs w:val="24"/>
          <w:lang w:val="es-ES"/>
        </w:rPr>
        <w:t>Presidenta</w:t>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p>
    <w:p w14:paraId="5EDAEE32" w14:textId="77777777" w:rsidR="006A629C" w:rsidRPr="0011474E" w:rsidRDefault="006A629C" w:rsidP="006A629C">
      <w:pPr>
        <w:jc w:val="both"/>
        <w:rPr>
          <w:rFonts w:ascii="Book Antiqua" w:hAnsi="Book Antiqua"/>
          <w:szCs w:val="24"/>
          <w:lang w:val="es-ES"/>
        </w:rPr>
      </w:pPr>
      <w:r w:rsidRPr="0011474E">
        <w:rPr>
          <w:rFonts w:ascii="Book Antiqua" w:eastAsia="Book Antiqua" w:hAnsi="Book Antiqua"/>
          <w:szCs w:val="24"/>
          <w:lang w:val="es-ES"/>
        </w:rPr>
        <w:t>Comisión de Asuntos de la Mujer</w:t>
      </w:r>
    </w:p>
    <w:p w14:paraId="422D6A09" w14:textId="77777777" w:rsidR="00475346" w:rsidRPr="006A629C" w:rsidRDefault="00475346">
      <w:pPr>
        <w:rPr>
          <w:lang w:val="es-ES"/>
        </w:rPr>
      </w:pPr>
    </w:p>
    <w:sectPr w:rsidR="00475346" w:rsidRPr="006A629C" w:rsidSect="006A629C">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17DEE" w14:textId="77777777" w:rsidR="00C84DB3" w:rsidRDefault="00C84DB3">
      <w:r>
        <w:separator/>
      </w:r>
    </w:p>
  </w:endnote>
  <w:endnote w:type="continuationSeparator" w:id="0">
    <w:p w14:paraId="434122CC" w14:textId="77777777" w:rsidR="00C84DB3" w:rsidRDefault="00C84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C4D04" w14:textId="77777777" w:rsidR="00C84DB3" w:rsidRDefault="00C84DB3">
      <w:r>
        <w:separator/>
      </w:r>
    </w:p>
  </w:footnote>
  <w:footnote w:type="continuationSeparator" w:id="0">
    <w:p w14:paraId="36C3BFF1" w14:textId="77777777" w:rsidR="00C84DB3" w:rsidRDefault="00C84D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818" w:type="pct"/>
      <w:tblLayout w:type="fixed"/>
      <w:tblLook w:val="04A0" w:firstRow="1" w:lastRow="0" w:firstColumn="1" w:lastColumn="0" w:noHBand="0" w:noVBand="1"/>
    </w:tblPr>
    <w:tblGrid>
      <w:gridCol w:w="1530"/>
      <w:gridCol w:w="7489"/>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6A629C" w14:paraId="5341ADA3" w14:textId="77777777" w:rsidTr="006F25C3">
          <w:trPr>
            <w:trHeight w:val="1350"/>
          </w:trPr>
          <w:tc>
            <w:tcPr>
              <w:tcW w:w="848" w:type="pct"/>
              <w:tcBorders>
                <w:right w:val="triple" w:sz="4" w:space="0" w:color="156082" w:themeColor="accent1"/>
              </w:tcBorders>
              <w:vAlign w:val="bottom"/>
            </w:tcPr>
            <w:p w14:paraId="10341D85" w14:textId="77777777" w:rsidR="006A629C" w:rsidRPr="00574146" w:rsidRDefault="006A629C">
              <w:pPr>
                <w:pStyle w:val="NoSpacing"/>
                <w:ind w:left="-374"/>
                <w:jc w:val="right"/>
                <w:rPr>
                  <w:rFonts w:ascii="Book Antiqua" w:hAnsi="Book Antiqua"/>
                  <w:sz w:val="18"/>
                  <w:szCs w:val="18"/>
                </w:rPr>
              </w:pPr>
              <w:r>
                <w:t xml:space="preserve">R </w:t>
              </w:r>
              <w:r w:rsidRPr="00574146">
                <w:rPr>
                  <w:rFonts w:ascii="Book Antiqua" w:hAnsi="Book Antiqua"/>
                  <w:sz w:val="18"/>
                  <w:szCs w:val="18"/>
                </w:rPr>
                <w:t xml:space="preserve">de la C </w:t>
              </w:r>
              <w:r>
                <w:rPr>
                  <w:rFonts w:ascii="Book Antiqua" w:hAnsi="Book Antiqua"/>
                  <w:sz w:val="18"/>
                  <w:szCs w:val="18"/>
                </w:rPr>
                <w:t>138</w:t>
              </w:r>
            </w:p>
            <w:p w14:paraId="3A5D3236" w14:textId="77777777" w:rsidR="006A629C" w:rsidRPr="00B14F3F" w:rsidRDefault="006A629C">
              <w:pPr>
                <w:pStyle w:val="NoSpacing"/>
                <w:jc w:val="right"/>
                <w:rPr>
                  <w:rFonts w:ascii="Edwardian Script ITC" w:hAnsi="Edwardian Script ITC"/>
                  <w:i/>
                  <w:iCs/>
                </w:rPr>
              </w:pPr>
              <w:r w:rsidRPr="00B14F3F">
                <w:rPr>
                  <w:rFonts w:ascii="Edwardian Script ITC" w:hAnsi="Edwardian Script ITC"/>
                  <w:i/>
                  <w:iCs/>
                </w:rPr>
                <w:t>Informe</w:t>
              </w:r>
              <w:r>
                <w:rPr>
                  <w:rFonts w:ascii="Edwardian Script ITC" w:hAnsi="Edwardian Script ITC"/>
                  <w:i/>
                  <w:iCs/>
                </w:rPr>
                <w:t xml:space="preserve"> de Investigación </w:t>
              </w:r>
            </w:p>
            <w:p w14:paraId="245C129E" w14:textId="77777777" w:rsidR="006A629C" w:rsidRDefault="006A629C">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Pr>
                  <w:rFonts w:ascii="Book Antiqua" w:hAnsi="Book Antiqua"/>
                  <w:noProof/>
                  <w:sz w:val="18"/>
                  <w:szCs w:val="18"/>
                </w:rPr>
                <w:t>17</w:t>
              </w:r>
              <w:r w:rsidRPr="00574146">
                <w:rPr>
                  <w:rFonts w:ascii="Book Antiqua" w:hAnsi="Book Antiqua"/>
                  <w:noProof/>
                  <w:sz w:val="18"/>
                  <w:szCs w:val="18"/>
                </w:rPr>
                <w:fldChar w:fldCharType="end"/>
              </w:r>
            </w:p>
          </w:tc>
          <w:tc>
            <w:tcPr>
              <w:tcW w:w="4152" w:type="pct"/>
              <w:tcBorders>
                <w:left w:val="triple" w:sz="4" w:space="0" w:color="156082" w:themeColor="accent1"/>
              </w:tcBorders>
              <w:vAlign w:val="bottom"/>
            </w:tcPr>
            <w:p w14:paraId="7B42F86F" w14:textId="77777777" w:rsidR="006A629C" w:rsidRDefault="006A629C">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19AF3509" w14:textId="77777777" w:rsidR="006A629C" w:rsidRDefault="006A629C">
    <w:pPr>
      <w:pStyle w:val="Header"/>
      <w:rPr>
        <w:rFonts w:eastAsia="Calibri"/>
      </w:rPr>
    </w:pPr>
  </w:p>
  <w:p w14:paraId="7192668B" w14:textId="77777777" w:rsidR="006A629C" w:rsidRPr="000C1B12" w:rsidRDefault="006A629C">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4F9"/>
    <w:multiLevelType w:val="hybridMultilevel"/>
    <w:tmpl w:val="CF269E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09E3B3B"/>
    <w:multiLevelType w:val="hybridMultilevel"/>
    <w:tmpl w:val="0F522D0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8A77EF1"/>
    <w:multiLevelType w:val="hybridMultilevel"/>
    <w:tmpl w:val="F8187B4E"/>
    <w:lvl w:ilvl="0" w:tplc="04090003">
      <w:start w:val="1"/>
      <w:numFmt w:val="bullet"/>
      <w:lvlText w:val="o"/>
      <w:lvlJc w:val="left"/>
      <w:pPr>
        <w:ind w:left="1080" w:hanging="360"/>
      </w:pPr>
      <w:rPr>
        <w:rFonts w:ascii="Courier New" w:hAnsi="Courier New" w:cs="Courier New"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4CA140F"/>
    <w:multiLevelType w:val="hybridMultilevel"/>
    <w:tmpl w:val="4C281C7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284F294C"/>
    <w:multiLevelType w:val="hybridMultilevel"/>
    <w:tmpl w:val="267E21DC"/>
    <w:lvl w:ilvl="0" w:tplc="04090003">
      <w:start w:val="1"/>
      <w:numFmt w:val="bullet"/>
      <w:lvlText w:val="o"/>
      <w:lvlJc w:val="left"/>
      <w:pPr>
        <w:ind w:left="1500" w:hanging="360"/>
      </w:pPr>
      <w:rPr>
        <w:rFonts w:ascii="Courier New" w:hAnsi="Courier New" w:cs="Courier New"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15:restartNumberingAfterBreak="0">
    <w:nsid w:val="372371E7"/>
    <w:multiLevelType w:val="hybridMultilevel"/>
    <w:tmpl w:val="EE3069D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A313678"/>
    <w:multiLevelType w:val="hybridMultilevel"/>
    <w:tmpl w:val="481CD9A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A7011B6"/>
    <w:multiLevelType w:val="hybridMultilevel"/>
    <w:tmpl w:val="5C4684F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24E52F6"/>
    <w:multiLevelType w:val="hybridMultilevel"/>
    <w:tmpl w:val="FF50525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7553154"/>
    <w:multiLevelType w:val="multilevel"/>
    <w:tmpl w:val="623E6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740519"/>
    <w:multiLevelType w:val="hybridMultilevel"/>
    <w:tmpl w:val="D74894DE"/>
    <w:lvl w:ilvl="0" w:tplc="D6B0B16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4560E0"/>
    <w:multiLevelType w:val="multilevel"/>
    <w:tmpl w:val="84181362"/>
    <w:lvl w:ilvl="0">
      <w:start w:val="1"/>
      <w:numFmt w:val="decimal"/>
      <w:lvlText w:val="%1."/>
      <w:lvlJc w:val="left"/>
      <w:pPr>
        <w:tabs>
          <w:tab w:val="num" w:pos="720"/>
        </w:tabs>
        <w:ind w:left="720" w:hanging="360"/>
      </w:pPr>
      <w:rPr>
        <w:rFonts w:ascii="Book Antiqua" w:eastAsia="Book Antiqua"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8602601">
    <w:abstractNumId w:val="10"/>
  </w:num>
  <w:num w:numId="2" w16cid:durableId="735400351">
    <w:abstractNumId w:val="11"/>
  </w:num>
  <w:num w:numId="3" w16cid:durableId="32967750">
    <w:abstractNumId w:val="9"/>
  </w:num>
  <w:num w:numId="4" w16cid:durableId="2124300089">
    <w:abstractNumId w:val="3"/>
  </w:num>
  <w:num w:numId="5" w16cid:durableId="2079550095">
    <w:abstractNumId w:val="5"/>
  </w:num>
  <w:num w:numId="6" w16cid:durableId="1429883709">
    <w:abstractNumId w:val="7"/>
  </w:num>
  <w:num w:numId="7" w16cid:durableId="1915040472">
    <w:abstractNumId w:val="8"/>
  </w:num>
  <w:num w:numId="8" w16cid:durableId="649947312">
    <w:abstractNumId w:val="2"/>
  </w:num>
  <w:num w:numId="9" w16cid:durableId="718211943">
    <w:abstractNumId w:val="4"/>
  </w:num>
  <w:num w:numId="10" w16cid:durableId="1354069441">
    <w:abstractNumId w:val="6"/>
  </w:num>
  <w:num w:numId="11" w16cid:durableId="531000450">
    <w:abstractNumId w:val="0"/>
  </w:num>
  <w:num w:numId="12" w16cid:durableId="543098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29C"/>
    <w:rsid w:val="00043BF3"/>
    <w:rsid w:val="000A2FDD"/>
    <w:rsid w:val="000C04AF"/>
    <w:rsid w:val="001937D8"/>
    <w:rsid w:val="00195095"/>
    <w:rsid w:val="001F7016"/>
    <w:rsid w:val="0020141E"/>
    <w:rsid w:val="00225FD4"/>
    <w:rsid w:val="002E0339"/>
    <w:rsid w:val="00452EFD"/>
    <w:rsid w:val="00475346"/>
    <w:rsid w:val="00521C62"/>
    <w:rsid w:val="00573BEB"/>
    <w:rsid w:val="00590500"/>
    <w:rsid w:val="0061401F"/>
    <w:rsid w:val="00615593"/>
    <w:rsid w:val="006A629C"/>
    <w:rsid w:val="0082422D"/>
    <w:rsid w:val="008A6B5B"/>
    <w:rsid w:val="00961F4F"/>
    <w:rsid w:val="009F2B09"/>
    <w:rsid w:val="009F3019"/>
    <w:rsid w:val="00A65E6F"/>
    <w:rsid w:val="00A97AB3"/>
    <w:rsid w:val="00AC4F20"/>
    <w:rsid w:val="00B11FB6"/>
    <w:rsid w:val="00B312E5"/>
    <w:rsid w:val="00C0319D"/>
    <w:rsid w:val="00C84DB3"/>
    <w:rsid w:val="00CB3FE1"/>
    <w:rsid w:val="00D011B2"/>
    <w:rsid w:val="00E70D38"/>
    <w:rsid w:val="00EC4A83"/>
    <w:rsid w:val="00F33CEA"/>
    <w:rsid w:val="00F62903"/>
    <w:rsid w:val="00FC4BD2"/>
    <w:rsid w:val="00FE7E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B3B5"/>
  <w15:chartTrackingRefBased/>
  <w15:docId w15:val="{F4179995-D131-4C02-80F7-29A13328C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29C"/>
    <w:pPr>
      <w:spacing w:after="0" w:line="240" w:lineRule="auto"/>
    </w:pPr>
    <w:rPr>
      <w:rFonts w:ascii="Times New Roman" w:eastAsia="Times New Roman" w:hAnsi="Times New Roman" w:cs="Times New Roman"/>
      <w:kern w:val="0"/>
      <w:szCs w:val="20"/>
      <w:lang w:val="es-US"/>
      <w14:ligatures w14:val="none"/>
    </w:rPr>
  </w:style>
  <w:style w:type="paragraph" w:styleId="Heading1">
    <w:name w:val="heading 1"/>
    <w:basedOn w:val="Normal"/>
    <w:next w:val="Normal"/>
    <w:link w:val="Heading1Char"/>
    <w:uiPriority w:val="9"/>
    <w:qFormat/>
    <w:rsid w:val="006A62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2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2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2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2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2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2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2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2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2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2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2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2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2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2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2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2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29C"/>
    <w:rPr>
      <w:rFonts w:eastAsiaTheme="majorEastAsia" w:cstheme="majorBidi"/>
      <w:color w:val="272727" w:themeColor="text1" w:themeTint="D8"/>
    </w:rPr>
  </w:style>
  <w:style w:type="paragraph" w:styleId="Title">
    <w:name w:val="Title"/>
    <w:basedOn w:val="Normal"/>
    <w:next w:val="Normal"/>
    <w:link w:val="TitleChar"/>
    <w:uiPriority w:val="10"/>
    <w:qFormat/>
    <w:rsid w:val="006A629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2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2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2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29C"/>
    <w:pPr>
      <w:spacing w:before="160"/>
      <w:jc w:val="center"/>
    </w:pPr>
    <w:rPr>
      <w:i/>
      <w:iCs/>
      <w:color w:val="404040" w:themeColor="text1" w:themeTint="BF"/>
    </w:rPr>
  </w:style>
  <w:style w:type="character" w:customStyle="1" w:styleId="QuoteChar">
    <w:name w:val="Quote Char"/>
    <w:basedOn w:val="DefaultParagraphFont"/>
    <w:link w:val="Quote"/>
    <w:uiPriority w:val="29"/>
    <w:rsid w:val="006A629C"/>
    <w:rPr>
      <w:i/>
      <w:iCs/>
      <w:color w:val="404040" w:themeColor="text1" w:themeTint="BF"/>
    </w:rPr>
  </w:style>
  <w:style w:type="paragraph" w:styleId="ListParagraph">
    <w:name w:val="List Paragraph"/>
    <w:basedOn w:val="Normal"/>
    <w:uiPriority w:val="34"/>
    <w:qFormat/>
    <w:rsid w:val="006A629C"/>
    <w:pPr>
      <w:ind w:left="720"/>
      <w:contextualSpacing/>
    </w:pPr>
  </w:style>
  <w:style w:type="character" w:styleId="IntenseEmphasis">
    <w:name w:val="Intense Emphasis"/>
    <w:basedOn w:val="DefaultParagraphFont"/>
    <w:uiPriority w:val="21"/>
    <w:qFormat/>
    <w:rsid w:val="006A629C"/>
    <w:rPr>
      <w:i/>
      <w:iCs/>
      <w:color w:val="0F4761" w:themeColor="accent1" w:themeShade="BF"/>
    </w:rPr>
  </w:style>
  <w:style w:type="paragraph" w:styleId="IntenseQuote">
    <w:name w:val="Intense Quote"/>
    <w:basedOn w:val="Normal"/>
    <w:next w:val="Normal"/>
    <w:link w:val="IntenseQuoteChar"/>
    <w:uiPriority w:val="30"/>
    <w:qFormat/>
    <w:rsid w:val="006A62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29C"/>
    <w:rPr>
      <w:i/>
      <w:iCs/>
      <w:color w:val="0F4761" w:themeColor="accent1" w:themeShade="BF"/>
    </w:rPr>
  </w:style>
  <w:style w:type="character" w:styleId="IntenseReference">
    <w:name w:val="Intense Reference"/>
    <w:basedOn w:val="DefaultParagraphFont"/>
    <w:uiPriority w:val="32"/>
    <w:qFormat/>
    <w:rsid w:val="006A629C"/>
    <w:rPr>
      <w:b/>
      <w:bCs/>
      <w:smallCaps/>
      <w:color w:val="0F4761" w:themeColor="accent1" w:themeShade="BF"/>
      <w:spacing w:val="5"/>
    </w:rPr>
  </w:style>
  <w:style w:type="paragraph" w:styleId="Header">
    <w:name w:val="header"/>
    <w:basedOn w:val="Normal"/>
    <w:link w:val="HeaderChar"/>
    <w:uiPriority w:val="99"/>
    <w:rsid w:val="006A629C"/>
    <w:pPr>
      <w:tabs>
        <w:tab w:val="center" w:pos="4320"/>
        <w:tab w:val="right" w:pos="8640"/>
      </w:tabs>
    </w:pPr>
  </w:style>
  <w:style w:type="character" w:customStyle="1" w:styleId="HeaderChar">
    <w:name w:val="Header Char"/>
    <w:basedOn w:val="DefaultParagraphFont"/>
    <w:link w:val="Header"/>
    <w:uiPriority w:val="99"/>
    <w:rsid w:val="006A629C"/>
    <w:rPr>
      <w:rFonts w:ascii="Times New Roman" w:eastAsia="Times New Roman" w:hAnsi="Times New Roman" w:cs="Times New Roman"/>
      <w:kern w:val="0"/>
      <w:szCs w:val="20"/>
      <w:lang w:val="es-US"/>
      <w14:ligatures w14:val="none"/>
    </w:rPr>
  </w:style>
  <w:style w:type="paragraph" w:styleId="NoSpacing">
    <w:name w:val="No Spacing"/>
    <w:link w:val="NoSpacingChar"/>
    <w:uiPriority w:val="1"/>
    <w:qFormat/>
    <w:rsid w:val="006A629C"/>
    <w:pPr>
      <w:spacing w:after="0" w:line="240" w:lineRule="auto"/>
    </w:pPr>
    <w:rPr>
      <w:rFonts w:ascii="Calibri" w:eastAsia="Times New Roman" w:hAnsi="Calibri" w:cs="Times New Roman"/>
      <w:kern w:val="0"/>
      <w:lang w:val="es-PR"/>
      <w14:ligatures w14:val="none"/>
    </w:rPr>
  </w:style>
  <w:style w:type="character" w:customStyle="1" w:styleId="NoSpacingChar">
    <w:name w:val="No Spacing Char"/>
    <w:basedOn w:val="DefaultParagraphFont"/>
    <w:link w:val="NoSpacing"/>
    <w:uiPriority w:val="1"/>
    <w:rsid w:val="006A629C"/>
    <w:rPr>
      <w:rFonts w:ascii="Calibri" w:eastAsia="Times New Roman" w:hAnsi="Calibri" w:cs="Times New Roman"/>
      <w:kern w:val="0"/>
      <w:lang w:val="es-PR"/>
      <w14:ligatures w14:val="none"/>
    </w:rPr>
  </w:style>
  <w:style w:type="table" w:styleId="GridTable4-Accent1">
    <w:name w:val="Grid Table 4 Accent 1"/>
    <w:basedOn w:val="TableNormal"/>
    <w:uiPriority w:val="49"/>
    <w:rsid w:val="006A629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BlockText">
    <w:name w:val="Block Text"/>
    <w:basedOn w:val="Normal"/>
    <w:rsid w:val="00FE7E8F"/>
    <w:pPr>
      <w:spacing w:line="480" w:lineRule="auto"/>
      <w:ind w:left="720" w:right="720" w:firstLine="720"/>
      <w:jc w:val="both"/>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11DDB-05A2-40DA-B288-515618945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2761</Words>
  <Characters>15742</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 Torres Conde</dc:creator>
  <cp:keywords/>
  <dc:description/>
  <cp:lastModifiedBy>Camyl Moreno Pantojas</cp:lastModifiedBy>
  <cp:revision>2</cp:revision>
  <dcterms:created xsi:type="dcterms:W3CDTF">2025-09-25T18:29:00Z</dcterms:created>
  <dcterms:modified xsi:type="dcterms:W3CDTF">2025-09-25T18:29:00Z</dcterms:modified>
</cp:coreProperties>
</file>