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D350B" w14:textId="77777777" w:rsidR="002847D1" w:rsidRPr="00683AD9" w:rsidRDefault="002847D1" w:rsidP="002847D1">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Pr="00683AD9">
        <w:rPr>
          <w:rFonts w:ascii="Book Antiqua" w:eastAsia="Times New Roman" w:hAnsi="Book Antiqua"/>
          <w:sz w:val="28"/>
          <w:szCs w:val="28"/>
          <w:lang w:val="es-ES_tradnl"/>
        </w:rPr>
        <w:t xml:space="preserve"> DE PUERTO RICO</w:t>
      </w:r>
    </w:p>
    <w:p w14:paraId="33A8BCDD" w14:textId="77777777" w:rsidR="002847D1" w:rsidRPr="005D14B8" w:rsidRDefault="002847D1" w:rsidP="002847D1">
      <w:pPr>
        <w:jc w:val="center"/>
        <w:rPr>
          <w:rFonts w:ascii="Book Antiqua" w:eastAsia="Times New Roman" w:hAnsi="Book Antiqua"/>
          <w:szCs w:val="24"/>
          <w:lang w:val="es-ES_tradnl"/>
        </w:rPr>
      </w:pPr>
    </w:p>
    <w:p w14:paraId="6B624A44" w14:textId="77777777" w:rsidR="002847D1" w:rsidRPr="00683AD9" w:rsidRDefault="002847D1" w:rsidP="002847D1">
      <w:pPr>
        <w:jc w:val="both"/>
        <w:rPr>
          <w:rFonts w:ascii="Book Antiqua" w:eastAsia="Times New Roman" w:hAnsi="Book Antiqua"/>
          <w:lang w:val="es-ES_tradnl"/>
        </w:rPr>
      </w:pPr>
      <w:r>
        <w:rPr>
          <w:rFonts w:ascii="Book Antiqua" w:eastAsia="Times New Roman" w:hAnsi="Book Antiqua"/>
          <w:lang w:val="es-ES_tradnl"/>
        </w:rPr>
        <w:t>20m</w:t>
      </w:r>
      <w:r w:rsidRPr="00683AD9">
        <w:rPr>
          <w:rFonts w:ascii="Book Antiqua" w:eastAsia="Times New Roman" w:hAnsi="Book Antiqua"/>
          <w:lang w:val="es-ES_tradnl"/>
        </w:rPr>
        <w:t xml:space="preserve">a. Asamblea                                                                                   </w:t>
      </w:r>
      <w:r w:rsidRPr="00683AD9">
        <w:rPr>
          <w:rFonts w:ascii="Book Antiqua" w:eastAsia="Times New Roman" w:hAnsi="Book Antiqua"/>
          <w:lang w:val="es-ES_tradnl"/>
        </w:rPr>
        <w:tab/>
        <w:t xml:space="preserve">           </w:t>
      </w:r>
      <w:r>
        <w:rPr>
          <w:rFonts w:ascii="Book Antiqua" w:eastAsia="Times New Roman" w:hAnsi="Book Antiqua"/>
          <w:lang w:val="es-ES_tradnl"/>
        </w:rPr>
        <w:t>1ra</w:t>
      </w:r>
      <w:r w:rsidRPr="00683AD9">
        <w:rPr>
          <w:rFonts w:ascii="Book Antiqua" w:eastAsia="Times New Roman" w:hAnsi="Book Antiqua"/>
          <w:lang w:val="es-ES_tradnl"/>
        </w:rPr>
        <w:t xml:space="preserve">. Sesión </w:t>
      </w:r>
    </w:p>
    <w:p w14:paraId="34C806B1" w14:textId="77777777" w:rsidR="002847D1" w:rsidRPr="00683AD9" w:rsidRDefault="002847D1" w:rsidP="002847D1">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78B59508" w14:textId="77777777" w:rsidR="002847D1" w:rsidRPr="00683AD9" w:rsidRDefault="002847D1" w:rsidP="002847D1">
      <w:pPr>
        <w:rPr>
          <w:rFonts w:ascii="Book Antiqua" w:eastAsia="Times New Roman" w:hAnsi="Book Antiqua"/>
          <w:lang w:val="es-ES_tradnl"/>
        </w:rPr>
      </w:pPr>
    </w:p>
    <w:p w14:paraId="692340DA" w14:textId="77777777" w:rsidR="002847D1" w:rsidRPr="00683AD9" w:rsidRDefault="002847D1" w:rsidP="002847D1">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087BC93C" w14:textId="77777777" w:rsidR="002847D1" w:rsidRPr="00683AD9" w:rsidRDefault="002847D1" w:rsidP="002847D1">
      <w:pPr>
        <w:jc w:val="center"/>
        <w:rPr>
          <w:rFonts w:ascii="Book Antiqua" w:eastAsia="Times New Roman" w:hAnsi="Book Antiqua"/>
          <w:szCs w:val="24"/>
          <w:lang w:val="es-ES_tradnl"/>
        </w:rPr>
      </w:pPr>
    </w:p>
    <w:p w14:paraId="0FE3B4B4" w14:textId="016C1222" w:rsidR="002847D1" w:rsidRPr="00683AD9" w:rsidRDefault="002847D1" w:rsidP="002847D1">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0E38FF">
        <w:rPr>
          <w:rFonts w:ascii="Book Antiqua" w:eastAsia="Times New Roman" w:hAnsi="Book Antiqua"/>
          <w:b/>
          <w:sz w:val="52"/>
          <w:szCs w:val="52"/>
          <w:lang w:val="es-ES_tradnl"/>
        </w:rPr>
        <w:t>154</w:t>
      </w:r>
    </w:p>
    <w:p w14:paraId="2D980FD2" w14:textId="77777777" w:rsidR="002847D1" w:rsidRPr="00683AD9" w:rsidRDefault="002847D1" w:rsidP="002847D1">
      <w:pPr>
        <w:jc w:val="center"/>
        <w:rPr>
          <w:rFonts w:ascii="Book Antiqua" w:eastAsia="Times New Roman" w:hAnsi="Book Antiqua"/>
          <w:szCs w:val="24"/>
          <w:lang w:val="es-ES_tradnl"/>
        </w:rPr>
      </w:pPr>
    </w:p>
    <w:p w14:paraId="3DA3A822" w14:textId="1E28CE69" w:rsidR="002847D1" w:rsidRPr="00683AD9" w:rsidRDefault="000E38FF" w:rsidP="002847D1">
      <w:pPr>
        <w:jc w:val="center"/>
        <w:rPr>
          <w:rFonts w:ascii="Book Antiqua" w:eastAsia="Times New Roman" w:hAnsi="Book Antiqua"/>
          <w:lang w:val="es-ES_tradnl"/>
        </w:rPr>
      </w:pPr>
      <w:r>
        <w:rPr>
          <w:rFonts w:ascii="Book Antiqua" w:eastAsia="Times New Roman" w:hAnsi="Book Antiqua"/>
          <w:lang w:val="es-ES_tradnl"/>
        </w:rPr>
        <w:t>13</w:t>
      </w:r>
      <w:r w:rsidR="002847D1">
        <w:rPr>
          <w:rFonts w:ascii="Book Antiqua" w:eastAsia="Times New Roman" w:hAnsi="Book Antiqua"/>
          <w:lang w:val="es-ES_tradnl"/>
        </w:rPr>
        <w:t xml:space="preserve"> </w:t>
      </w:r>
      <w:r w:rsidR="002847D1" w:rsidRPr="00683AD9">
        <w:rPr>
          <w:rFonts w:ascii="Book Antiqua" w:eastAsia="Times New Roman" w:hAnsi="Book Antiqua"/>
          <w:lang w:val="es-ES_tradnl"/>
        </w:rPr>
        <w:t xml:space="preserve">DE </w:t>
      </w:r>
      <w:r w:rsidR="00B24599">
        <w:rPr>
          <w:rFonts w:ascii="Book Antiqua" w:eastAsia="Times New Roman" w:hAnsi="Book Antiqua"/>
          <w:lang w:val="es-ES_tradnl"/>
        </w:rPr>
        <w:t>FEBRERO</w:t>
      </w:r>
      <w:r w:rsidR="002847D1" w:rsidRPr="00683AD9">
        <w:rPr>
          <w:rFonts w:ascii="Book Antiqua" w:eastAsia="Times New Roman" w:hAnsi="Book Antiqua"/>
          <w:lang w:val="es-ES_tradnl"/>
        </w:rPr>
        <w:t xml:space="preserve"> DE </w:t>
      </w:r>
      <w:r>
        <w:rPr>
          <w:rFonts w:ascii="Book Antiqua" w:eastAsia="Times New Roman" w:hAnsi="Book Antiqua"/>
          <w:lang w:val="es-ES_tradnl"/>
        </w:rPr>
        <w:t>2025</w:t>
      </w:r>
    </w:p>
    <w:p w14:paraId="4A75E6B5" w14:textId="77777777" w:rsidR="002847D1" w:rsidRPr="00683AD9" w:rsidRDefault="002847D1" w:rsidP="002847D1">
      <w:pPr>
        <w:jc w:val="center"/>
        <w:rPr>
          <w:rFonts w:ascii="Book Antiqua" w:eastAsia="Times New Roman" w:hAnsi="Book Antiqua"/>
          <w:lang w:val="es-ES_tradnl"/>
        </w:rPr>
      </w:pPr>
    </w:p>
    <w:p w14:paraId="28209D19" w14:textId="0C13A271" w:rsidR="002847D1" w:rsidRDefault="002847D1" w:rsidP="002847D1">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Pr>
          <w:rFonts w:ascii="Book Antiqua" w:eastAsia="Times New Roman" w:hAnsi="Book Antiqua"/>
          <w:lang w:val="es-ES_tradnl"/>
        </w:rPr>
        <w:t xml:space="preserve"> </w:t>
      </w:r>
      <w:r w:rsidR="009247EB">
        <w:rPr>
          <w:rFonts w:ascii="Book Antiqua" w:eastAsia="Times New Roman" w:hAnsi="Book Antiqua"/>
          <w:lang w:val="es-ES_tradnl"/>
        </w:rPr>
        <w:t>el</w:t>
      </w:r>
      <w:r w:rsidRPr="00683AD9">
        <w:rPr>
          <w:rFonts w:ascii="Book Antiqua" w:eastAsia="Times New Roman" w:hAnsi="Book Antiqua"/>
          <w:lang w:val="es-ES_tradnl"/>
        </w:rPr>
        <w:t xml:space="preserve"> representante</w:t>
      </w:r>
      <w:r>
        <w:rPr>
          <w:rFonts w:ascii="Book Antiqua" w:eastAsia="Times New Roman" w:hAnsi="Book Antiqua"/>
          <w:lang w:val="es-ES_tradnl"/>
        </w:rPr>
        <w:t xml:space="preserve"> </w:t>
      </w:r>
      <w:r>
        <w:rPr>
          <w:rFonts w:ascii="Book Antiqua" w:eastAsia="Times New Roman" w:hAnsi="Book Antiqua"/>
          <w:i/>
          <w:lang w:val="es-ES_tradnl"/>
        </w:rPr>
        <w:t xml:space="preserve">Rodríguez Torres </w:t>
      </w:r>
    </w:p>
    <w:p w14:paraId="06379EC7" w14:textId="77777777" w:rsidR="002847D1" w:rsidRDefault="002847D1" w:rsidP="002847D1">
      <w:pPr>
        <w:jc w:val="center"/>
        <w:rPr>
          <w:rFonts w:ascii="Book Antiqua" w:eastAsia="Times New Roman" w:hAnsi="Book Antiqua"/>
          <w:i/>
          <w:lang w:val="es-ES_tradnl"/>
        </w:rPr>
      </w:pPr>
    </w:p>
    <w:p w14:paraId="7EF797D0" w14:textId="4AAC9583" w:rsidR="00EF4E1E" w:rsidRPr="0093364A" w:rsidRDefault="00EF4E1E" w:rsidP="00EF4E1E">
      <w:pPr>
        <w:jc w:val="center"/>
        <w:rPr>
          <w:rFonts w:ascii="Book Antiqua" w:hAnsi="Book Antiqua"/>
          <w:iCs/>
          <w:lang w:val="es-ES_tradnl"/>
        </w:rPr>
      </w:pPr>
      <w:r>
        <w:rPr>
          <w:rFonts w:ascii="Book Antiqua" w:hAnsi="Book Antiqua"/>
          <w:iCs/>
          <w:lang w:val="es-ES_tradnl"/>
        </w:rPr>
        <w:t>Referid</w:t>
      </w:r>
      <w:r w:rsidR="002942CE">
        <w:rPr>
          <w:rFonts w:ascii="Book Antiqua" w:hAnsi="Book Antiqua"/>
          <w:iCs/>
          <w:lang w:val="es-ES_tradnl"/>
        </w:rPr>
        <w:t>a</w:t>
      </w:r>
      <w:r>
        <w:rPr>
          <w:rFonts w:ascii="Book Antiqua" w:hAnsi="Book Antiqua"/>
          <w:iCs/>
          <w:lang w:val="es-ES_tradnl"/>
        </w:rPr>
        <w:t xml:space="preserve"> a la Comisión de </w:t>
      </w:r>
      <w:r w:rsidR="005D14B8">
        <w:rPr>
          <w:rFonts w:ascii="Book Antiqua" w:eastAsia="Times New Roman" w:hAnsi="Book Antiqua"/>
          <w:color w:val="000000"/>
          <w:lang w:val="es-PR"/>
        </w:rPr>
        <w:t>Asuntos Internos</w:t>
      </w:r>
    </w:p>
    <w:p w14:paraId="1D948BC4" w14:textId="77777777" w:rsidR="002847D1" w:rsidRPr="00683AD9" w:rsidRDefault="002847D1" w:rsidP="002847D1">
      <w:pPr>
        <w:rPr>
          <w:rFonts w:ascii="Book Antiqua" w:eastAsia="Times New Roman" w:hAnsi="Book Antiqua"/>
          <w:lang w:val="es-ES_tradnl"/>
        </w:rPr>
      </w:pPr>
    </w:p>
    <w:p w14:paraId="66C29CB1" w14:textId="77777777" w:rsidR="002847D1" w:rsidRPr="00683AD9" w:rsidRDefault="002847D1" w:rsidP="002847D1">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53021EDF" w14:textId="77777777" w:rsidR="002847D1" w:rsidRPr="00683AD9" w:rsidRDefault="002847D1" w:rsidP="002847D1">
      <w:pPr>
        <w:jc w:val="both"/>
        <w:rPr>
          <w:rFonts w:ascii="Book Antiqua" w:hAnsi="Book Antiqua"/>
          <w:lang w:val="es-ES_tradnl"/>
        </w:rPr>
      </w:pPr>
    </w:p>
    <w:p w14:paraId="1367326C" w14:textId="624FA112" w:rsidR="002847D1" w:rsidRPr="00964B95" w:rsidRDefault="002847D1" w:rsidP="005D14B8">
      <w:pPr>
        <w:ind w:left="567" w:hanging="567"/>
        <w:jc w:val="both"/>
        <w:rPr>
          <w:rFonts w:ascii="Book Antiqua" w:hAnsi="Book Antiqua"/>
          <w:lang w:val="es-PR"/>
        </w:rPr>
      </w:pPr>
      <w:r w:rsidRPr="00930042">
        <w:rPr>
          <w:rFonts w:ascii="Book Antiqua" w:hAnsi="Book Antiqua"/>
          <w:lang w:val="es-PR"/>
        </w:rPr>
        <w:t xml:space="preserve">Para </w:t>
      </w:r>
      <w:r>
        <w:rPr>
          <w:rFonts w:ascii="Book Antiqua" w:hAnsi="Book Antiqua"/>
          <w:lang w:val="es-PR"/>
        </w:rPr>
        <w:t>o</w:t>
      </w:r>
      <w:r w:rsidRPr="00964B95">
        <w:rPr>
          <w:rFonts w:ascii="Book Antiqua" w:hAnsi="Book Antiqua"/>
          <w:lang w:val="es-PR"/>
        </w:rPr>
        <w:t xml:space="preserve">rdenar a la Cámara de Representantes de Puerto Rico a realizar una investigación exhaustiva sobre el estado actual de conservación y custodia de las Piedras de Padre Nazario, así como las gestiones realizadas por el Instituto de Cultura Puertorriqueña (ICP) para su protección, </w:t>
      </w:r>
      <w:r>
        <w:rPr>
          <w:rFonts w:ascii="Book Antiqua" w:hAnsi="Book Antiqua"/>
          <w:lang w:val="es-PR"/>
        </w:rPr>
        <w:t>conservación</w:t>
      </w:r>
      <w:r w:rsidRPr="00964B95">
        <w:rPr>
          <w:rFonts w:ascii="Book Antiqua" w:hAnsi="Book Antiqua"/>
          <w:lang w:val="es-PR"/>
        </w:rPr>
        <w:t xml:space="preserve">, mantenimiento y acceso público. Esta colección, descubierta en el municipio de Guayanilla, representa un </w:t>
      </w:r>
      <w:r w:rsidR="009247EB" w:rsidRPr="00964B95">
        <w:rPr>
          <w:rFonts w:ascii="Book Antiqua" w:hAnsi="Book Antiqua"/>
          <w:lang w:val="es-PR"/>
        </w:rPr>
        <w:t>baluarte</w:t>
      </w:r>
      <w:r w:rsidRPr="00964B95">
        <w:rPr>
          <w:rFonts w:ascii="Book Antiqua" w:hAnsi="Book Antiqua"/>
          <w:lang w:val="es-PR"/>
        </w:rPr>
        <w:t xml:space="preserve"> del patrimonio cultural de Puerto Rico, con un potencial significativo para </w:t>
      </w:r>
      <w:r>
        <w:rPr>
          <w:rFonts w:ascii="Book Antiqua" w:hAnsi="Book Antiqua"/>
          <w:lang w:val="es-PR"/>
        </w:rPr>
        <w:t>la humanidad</w:t>
      </w:r>
      <w:r w:rsidRPr="00964B95">
        <w:rPr>
          <w:rFonts w:ascii="Book Antiqua" w:hAnsi="Book Antiqua"/>
          <w:lang w:val="es-PR"/>
        </w:rPr>
        <w:t xml:space="preserve">. Internacionalmente, estas piedras podrían aportar al entendimiento global de las civilizaciones precolombinas y fortalecer el reconocimiento del patrimonio arqueológico puertorriqueño. </w:t>
      </w:r>
    </w:p>
    <w:p w14:paraId="790611CD" w14:textId="77777777" w:rsidR="002847D1" w:rsidRPr="00683AD9" w:rsidRDefault="002847D1" w:rsidP="002847D1">
      <w:pPr>
        <w:ind w:left="360" w:hanging="360"/>
        <w:jc w:val="both"/>
        <w:rPr>
          <w:rFonts w:ascii="Book Antiqua" w:hAnsi="Book Antiqua"/>
          <w:szCs w:val="24"/>
          <w:lang w:val="es-PR"/>
        </w:rPr>
      </w:pPr>
    </w:p>
    <w:p w14:paraId="78E5EAFE" w14:textId="77777777" w:rsidR="002847D1" w:rsidRPr="00683AD9" w:rsidRDefault="002847D1" w:rsidP="002847D1">
      <w:pPr>
        <w:jc w:val="center"/>
        <w:rPr>
          <w:rFonts w:ascii="Book Antiqua" w:hAnsi="Book Antiqua"/>
          <w:szCs w:val="24"/>
          <w:lang w:val="es-ES_tradnl"/>
        </w:rPr>
      </w:pPr>
      <w:r w:rsidRPr="00683AD9">
        <w:rPr>
          <w:rFonts w:ascii="Book Antiqua" w:hAnsi="Book Antiqua"/>
          <w:szCs w:val="24"/>
          <w:lang w:val="es-ES_tradnl"/>
        </w:rPr>
        <w:t>EXPOSICIÓN DE MOTIVOS</w:t>
      </w:r>
    </w:p>
    <w:p w14:paraId="2775067D" w14:textId="77777777" w:rsidR="002847D1" w:rsidRPr="00683AD9" w:rsidRDefault="002847D1" w:rsidP="002847D1">
      <w:pPr>
        <w:ind w:firstLine="360"/>
        <w:jc w:val="center"/>
        <w:rPr>
          <w:rFonts w:ascii="Book Antiqua" w:hAnsi="Book Antiqua"/>
          <w:szCs w:val="24"/>
          <w:lang w:val="es-ES_tradnl"/>
        </w:rPr>
      </w:pPr>
    </w:p>
    <w:p w14:paraId="5BC3E663" w14:textId="5300FCA6" w:rsidR="00B107D4" w:rsidRDefault="002847D1" w:rsidP="005D14B8">
      <w:pPr>
        <w:pStyle w:val="BodyText"/>
        <w:spacing w:before="0"/>
        <w:ind w:firstLine="567"/>
        <w:rPr>
          <w:rFonts w:ascii="Book Antiqua" w:hAnsi="Book Antiqua"/>
          <w:lang w:val="es-PR"/>
        </w:rPr>
      </w:pPr>
      <w:r w:rsidRPr="00CD66BB">
        <w:rPr>
          <w:rFonts w:ascii="Book Antiqua" w:hAnsi="Book Antiqua"/>
          <w:lang w:val="es-PR"/>
        </w:rPr>
        <w:t xml:space="preserve">Las </w:t>
      </w:r>
      <w:r w:rsidR="00B107D4" w:rsidRPr="00B107D4">
        <w:rPr>
          <w:rFonts w:ascii="Book Antiqua" w:hAnsi="Book Antiqua"/>
          <w:lang w:val="es-PR"/>
        </w:rPr>
        <w:t xml:space="preserve">Piedras del Padre Nazario constituyen un tesoro arqueológico único e inigualable, cuyo potencial para reescribir la historia de Puerto Rico y el Caribe ha sido largamente ignorado. Fueron dadas a conocer en el siglo XIX por el sacerdote José María Nazario y Cancel, y se ha documentado que estaban ubicadas en Yauco. Estas piedras han sido objeto de debate, controversia y misterio. Se estima que originalmente la colección comprendía cerca de </w:t>
      </w:r>
      <w:r w:rsidR="00B107D4" w:rsidRPr="00B423FB">
        <w:rPr>
          <w:rFonts w:ascii="Book Antiqua" w:hAnsi="Book Antiqua"/>
          <w:lang w:val="es-PR"/>
        </w:rPr>
        <w:t>800 piedras</w:t>
      </w:r>
      <w:r w:rsidR="00B107D4" w:rsidRPr="00B107D4">
        <w:rPr>
          <w:rFonts w:ascii="Book Antiqua" w:hAnsi="Book Antiqua"/>
          <w:lang w:val="es-PR"/>
        </w:rPr>
        <w:t xml:space="preserve"> con inscripciones </w:t>
      </w:r>
      <w:r w:rsidR="00030508">
        <w:rPr>
          <w:rFonts w:ascii="Book Antiqua" w:hAnsi="Book Antiqua"/>
          <w:lang w:val="es-PR"/>
        </w:rPr>
        <w:t>desconocidas</w:t>
      </w:r>
      <w:r w:rsidR="00B107D4" w:rsidRPr="00B107D4">
        <w:rPr>
          <w:rFonts w:ascii="Book Antiqua" w:hAnsi="Book Antiqua"/>
          <w:lang w:val="es-PR"/>
        </w:rPr>
        <w:t xml:space="preserve">, símbolos y caracteres cuya procedencia aún se encuentra en evaluación por expertos. La posibilidad de que estas piezas sean evidencia de una civilización precolombina aún no documentada en el Caribe es un hallazgo de </w:t>
      </w:r>
      <w:r w:rsidR="00B107D4" w:rsidRPr="00B423FB">
        <w:rPr>
          <w:rFonts w:ascii="Book Antiqua" w:hAnsi="Book Antiqua"/>
          <w:lang w:val="es-PR"/>
        </w:rPr>
        <w:t xml:space="preserve">trascendencia </w:t>
      </w:r>
      <w:r w:rsidR="00030508">
        <w:rPr>
          <w:rFonts w:ascii="Book Antiqua" w:hAnsi="Book Antiqua"/>
          <w:lang w:val="es-PR"/>
        </w:rPr>
        <w:t>global</w:t>
      </w:r>
      <w:r w:rsidR="00B107D4" w:rsidRPr="00B107D4">
        <w:rPr>
          <w:rFonts w:ascii="Book Antiqua" w:hAnsi="Book Antiqua"/>
          <w:lang w:val="es-PR"/>
        </w:rPr>
        <w:t>.</w:t>
      </w:r>
    </w:p>
    <w:p w14:paraId="46BAAA53" w14:textId="77777777" w:rsidR="005D14B8" w:rsidRPr="00B107D4" w:rsidRDefault="005D14B8" w:rsidP="005D14B8">
      <w:pPr>
        <w:pStyle w:val="BodyText"/>
        <w:spacing w:before="0"/>
        <w:ind w:firstLine="567"/>
        <w:rPr>
          <w:rFonts w:ascii="Book Antiqua" w:hAnsi="Book Antiqua"/>
          <w:lang w:val="es-PR"/>
        </w:rPr>
      </w:pPr>
    </w:p>
    <w:p w14:paraId="056A411B" w14:textId="5BF3B084" w:rsidR="00B107D4" w:rsidRDefault="00B107D4" w:rsidP="005D14B8">
      <w:pPr>
        <w:pStyle w:val="BodyText"/>
        <w:spacing w:before="0"/>
        <w:ind w:firstLine="567"/>
        <w:rPr>
          <w:rFonts w:ascii="Book Antiqua" w:hAnsi="Book Antiqua"/>
          <w:lang w:val="es-PR"/>
        </w:rPr>
      </w:pPr>
      <w:r w:rsidRPr="00B107D4">
        <w:rPr>
          <w:rFonts w:ascii="Book Antiqua" w:hAnsi="Book Antiqua"/>
          <w:lang w:val="es-PR"/>
        </w:rPr>
        <w:t xml:space="preserve">El valor de estas piedras no se circunscribe únicamente al contexto histórico de Puerto Rico. En la actualidad, muchas de ellas se encuentran dispersas en instituciones </w:t>
      </w:r>
      <w:r w:rsidRPr="00B107D4">
        <w:rPr>
          <w:rFonts w:ascii="Book Antiqua" w:hAnsi="Book Antiqua"/>
          <w:lang w:val="es-PR"/>
        </w:rPr>
        <w:lastRenderedPageBreak/>
        <w:t xml:space="preserve">académicas y museos internacionales, lo que subraya su reconocimiento más allá de nuestras fronteras. Algunas de las piezas residen en el Museo del </w:t>
      </w:r>
      <w:proofErr w:type="spellStart"/>
      <w:r w:rsidRPr="00B107D4">
        <w:rPr>
          <w:rFonts w:ascii="Book Antiqua" w:hAnsi="Book Antiqua"/>
          <w:lang w:val="es-PR"/>
        </w:rPr>
        <w:t>Quai</w:t>
      </w:r>
      <w:proofErr w:type="spellEnd"/>
      <w:r w:rsidRPr="00B107D4">
        <w:rPr>
          <w:rFonts w:ascii="Book Antiqua" w:hAnsi="Book Antiqua"/>
          <w:lang w:val="es-PR"/>
        </w:rPr>
        <w:t xml:space="preserve"> </w:t>
      </w:r>
      <w:proofErr w:type="spellStart"/>
      <w:r w:rsidRPr="00B107D4">
        <w:rPr>
          <w:rFonts w:ascii="Book Antiqua" w:hAnsi="Book Antiqua"/>
          <w:lang w:val="es-PR"/>
        </w:rPr>
        <w:t>Branly</w:t>
      </w:r>
      <w:proofErr w:type="spellEnd"/>
      <w:r w:rsidRPr="00B107D4">
        <w:rPr>
          <w:rFonts w:ascii="Book Antiqua" w:hAnsi="Book Antiqua"/>
          <w:lang w:val="es-PR"/>
        </w:rPr>
        <w:t xml:space="preserve"> en París, en el Museo </w:t>
      </w:r>
      <w:proofErr w:type="spellStart"/>
      <w:r w:rsidRPr="00B107D4">
        <w:rPr>
          <w:rFonts w:ascii="Book Antiqua" w:hAnsi="Book Antiqua"/>
          <w:lang w:val="es-PR"/>
        </w:rPr>
        <w:t>Peabody</w:t>
      </w:r>
      <w:proofErr w:type="spellEnd"/>
      <w:r w:rsidRPr="00B107D4">
        <w:rPr>
          <w:rFonts w:ascii="Book Antiqua" w:hAnsi="Book Antiqua"/>
          <w:lang w:val="es-PR"/>
        </w:rPr>
        <w:t xml:space="preserve"> de Arqueología y Etnología de Harvard, y en colecciones privadas e instituciones en Washington, D.C., entre otros lugares. Este hecho resalta la necesidad de que Puerto Rico reconozca, reclame y reivindique el valor de su propio legado arqueológico, promoviendo el estudio de la colección y explorando vías para su repatriación y exhibición en suelo puertorriqueño.</w:t>
      </w:r>
    </w:p>
    <w:p w14:paraId="63DF2EB5" w14:textId="77777777" w:rsidR="005D14B8" w:rsidRPr="00B107D4" w:rsidRDefault="005D14B8" w:rsidP="005D14B8">
      <w:pPr>
        <w:pStyle w:val="BodyText"/>
        <w:spacing w:before="0"/>
        <w:ind w:firstLine="567"/>
        <w:rPr>
          <w:rFonts w:ascii="Book Antiqua" w:hAnsi="Book Antiqua"/>
          <w:lang w:val="es-PR"/>
        </w:rPr>
      </w:pPr>
    </w:p>
    <w:p w14:paraId="585053D1" w14:textId="77777777" w:rsidR="00B107D4" w:rsidRDefault="00B107D4" w:rsidP="005D14B8">
      <w:pPr>
        <w:pStyle w:val="BodyText"/>
        <w:spacing w:before="0"/>
        <w:ind w:firstLine="567"/>
        <w:rPr>
          <w:rFonts w:ascii="Book Antiqua" w:hAnsi="Book Antiqua"/>
          <w:lang w:val="es-PR"/>
        </w:rPr>
      </w:pPr>
      <w:r w:rsidRPr="00B107D4">
        <w:rPr>
          <w:rFonts w:ascii="Book Antiqua" w:hAnsi="Book Antiqua"/>
          <w:lang w:val="es-PR"/>
        </w:rPr>
        <w:t>A nivel académico, la Universidad de Puerto Rico ha sido una de las pocas instituciones que ha dado seguimiento a la importancia de estas piedras, a través de estudios y catálogos digitales como los desarrollados en la UPR Utuado. Sin embargo, la falta de un esfuerzo coordinado por parte del Estado para su conservación, estudio y difusión ha relegado estas piezas a un estado de abandono y desinterés. Es imperativo que el gobierno de Puerto Rico asuma un rol proactivo en la protección de este invaluable patrimonio, evitando que siga siendo ignorado o mal manejado.</w:t>
      </w:r>
    </w:p>
    <w:p w14:paraId="6DA72B27" w14:textId="77777777" w:rsidR="005D14B8" w:rsidRPr="00B107D4" w:rsidRDefault="005D14B8" w:rsidP="005D14B8">
      <w:pPr>
        <w:pStyle w:val="BodyText"/>
        <w:spacing w:before="0"/>
        <w:ind w:firstLine="567"/>
        <w:rPr>
          <w:rFonts w:ascii="Book Antiqua" w:hAnsi="Book Antiqua"/>
          <w:lang w:val="es-PR"/>
        </w:rPr>
      </w:pPr>
    </w:p>
    <w:p w14:paraId="1CAC5CCF" w14:textId="70C589B0" w:rsidR="00B107D4" w:rsidRDefault="001F270F" w:rsidP="005D14B8">
      <w:pPr>
        <w:pStyle w:val="BodyText"/>
        <w:spacing w:before="0"/>
        <w:ind w:firstLine="567"/>
        <w:rPr>
          <w:rFonts w:ascii="Book Antiqua" w:hAnsi="Book Antiqua"/>
          <w:lang w:val="es-PR"/>
        </w:rPr>
      </w:pPr>
      <w:r w:rsidRPr="001F270F">
        <w:rPr>
          <w:rFonts w:ascii="Book Antiqua" w:hAnsi="Book Antiqua"/>
          <w:lang w:val="es-PR"/>
        </w:rPr>
        <w:t>A pesar de su relevancia, la gestión del Instituto de Cultura Puertorriqueña (ICP) con respecto a la colección ha sido ampliamente cuestionada, no solo por denuncias ciudadanas, sino también por otras medidas legislativas que han puesto en entredicho la capacidad del ICP para cumplir con su misión de resguardo y promoción del patrimonio cultural de la Isla. Existen reportes de ciudadanos que denuncian que, en el pasado, algunas de estas piedras fueron vistas utilizadas como soportes de puertas en las instalaciones del ICP, en lugar de ser resguardadas bajo los estándares internacionales de conservación. Tanto ciudadanos como profesionales de la arqueología y la conservación han manifestado preocupación ante lo que consideran una negligencia institucional, advirtiendo que la falta de políticas claras y efectivas de preservación podría estar poniendo en riesgo la integridad de esta colección. Ante la posibilidad de que el ICP sea disuelto, como propone el Proyecto del Senado 273, resulta aún más urgente una investigación legislativa que determine el estado actual de custodia de estas piezas, aclare si han sido debidamente protegidas y exija rendición de cuentas a la agencia encargada de su preservación</w:t>
      </w:r>
      <w:r w:rsidR="00B107D4" w:rsidRPr="00B107D4">
        <w:rPr>
          <w:rFonts w:ascii="Book Antiqua" w:hAnsi="Book Antiqua"/>
          <w:lang w:val="es-PR"/>
        </w:rPr>
        <w:t>.</w:t>
      </w:r>
    </w:p>
    <w:p w14:paraId="6133BC41" w14:textId="77777777" w:rsidR="005D14B8" w:rsidRPr="00B107D4" w:rsidRDefault="005D14B8" w:rsidP="005D14B8">
      <w:pPr>
        <w:pStyle w:val="BodyText"/>
        <w:spacing w:before="0"/>
        <w:ind w:firstLine="567"/>
        <w:rPr>
          <w:rFonts w:ascii="Book Antiqua" w:hAnsi="Book Antiqua"/>
          <w:lang w:val="es-PR"/>
        </w:rPr>
      </w:pPr>
    </w:p>
    <w:p w14:paraId="1B71298C" w14:textId="77777777" w:rsidR="00B107D4" w:rsidRDefault="00B107D4" w:rsidP="005D14B8">
      <w:pPr>
        <w:pStyle w:val="BodyText"/>
        <w:spacing w:before="0"/>
        <w:ind w:firstLine="567"/>
        <w:rPr>
          <w:rFonts w:ascii="Book Antiqua" w:hAnsi="Book Antiqua"/>
          <w:lang w:val="es-PR"/>
        </w:rPr>
      </w:pPr>
      <w:r w:rsidRPr="00B107D4">
        <w:rPr>
          <w:rFonts w:ascii="Book Antiqua" w:hAnsi="Book Antiqua"/>
          <w:lang w:val="es-PR"/>
        </w:rPr>
        <w:t>Más allá de la investigación sobre la conservación de las piedras, esta resolución sienta las bases para un futuro en el que Puerto Rico aproveche este patrimonio como un recurso cultural, académico y turístico. A raíz de este esfuerzo investigativo, se debe considerar la posibilidad de declarar la colección como "Patrimonio de la Nación" o incluso gestionar su reconocimiento como "Patrimonio de la Humanidad" ante la UNESCO. Esta designación elevaría el perfil de Puerto Rico en la comunidad internacional y fomentaría el interés global en su estudio.</w:t>
      </w:r>
    </w:p>
    <w:p w14:paraId="24C1157B" w14:textId="77777777" w:rsidR="005D14B8" w:rsidRPr="00B107D4" w:rsidRDefault="005D14B8" w:rsidP="005D14B8">
      <w:pPr>
        <w:pStyle w:val="BodyText"/>
        <w:spacing w:before="0"/>
        <w:ind w:firstLine="567"/>
        <w:rPr>
          <w:rFonts w:ascii="Book Antiqua" w:hAnsi="Book Antiqua"/>
          <w:lang w:val="es-PR"/>
        </w:rPr>
      </w:pPr>
    </w:p>
    <w:p w14:paraId="5F53AA1D" w14:textId="77777777" w:rsidR="00B107D4" w:rsidRDefault="00B107D4" w:rsidP="005D14B8">
      <w:pPr>
        <w:pStyle w:val="BodyText"/>
        <w:spacing w:before="0"/>
        <w:ind w:firstLine="567"/>
        <w:rPr>
          <w:rFonts w:ascii="Book Antiqua" w:hAnsi="Book Antiqua"/>
          <w:lang w:val="es-PR"/>
        </w:rPr>
      </w:pPr>
      <w:r w:rsidRPr="00B107D4">
        <w:rPr>
          <w:rFonts w:ascii="Book Antiqua" w:hAnsi="Book Antiqua"/>
          <w:lang w:val="es-PR"/>
        </w:rPr>
        <w:t xml:space="preserve">Asimismo, esta investigación puede servir como punto de partida para la creación de un museo y centro de investigación exclusivo para las Piedras de Padre Nazario, un espacio que no solo funcione como exhibición permanente, sino como un epicentro de </w:t>
      </w:r>
      <w:r w:rsidRPr="00B107D4">
        <w:rPr>
          <w:rFonts w:ascii="Book Antiqua" w:hAnsi="Book Antiqua"/>
          <w:lang w:val="es-PR"/>
        </w:rPr>
        <w:lastRenderedPageBreak/>
        <w:t>intercambio académico, conferencias, estudios y análisis de expertos en arqueología e historia precolombina. Un centro de este calibre podría atraer entusiastas, profesionales, investigadores, estudiantes y turistas de todo el mundo, convirtiéndose en un referente del legado precolombino de Puerto Rico.</w:t>
      </w:r>
    </w:p>
    <w:p w14:paraId="1516BCED" w14:textId="77777777" w:rsidR="005D14B8" w:rsidRPr="00B107D4" w:rsidRDefault="005D14B8" w:rsidP="005D14B8">
      <w:pPr>
        <w:pStyle w:val="BodyText"/>
        <w:spacing w:before="0"/>
        <w:ind w:firstLine="567"/>
        <w:rPr>
          <w:rFonts w:ascii="Book Antiqua" w:hAnsi="Book Antiqua"/>
          <w:lang w:val="es-PR"/>
        </w:rPr>
      </w:pPr>
    </w:p>
    <w:p w14:paraId="405B8A3E" w14:textId="5251BDE9" w:rsidR="002847D1" w:rsidRPr="00683AD9" w:rsidRDefault="00B107D4" w:rsidP="005D14B8">
      <w:pPr>
        <w:pStyle w:val="BodyText"/>
        <w:spacing w:before="0"/>
        <w:ind w:firstLine="567"/>
        <w:rPr>
          <w:rFonts w:ascii="Book Antiqua" w:hAnsi="Book Antiqua"/>
          <w:lang w:val="es-PR"/>
        </w:rPr>
      </w:pPr>
      <w:r w:rsidRPr="00B107D4">
        <w:rPr>
          <w:rFonts w:ascii="Book Antiqua" w:hAnsi="Book Antiqua"/>
          <w:lang w:val="es-PR"/>
        </w:rPr>
        <w:t>La Cámara de Representantes de Puerto Rico tiene ante sí una oportunidad histórica para hacer justicia a un legado olvidado, asegurando su conservación, promoviendo su estudio y garantizando que este hallazgo no solo reciba el reconocimiento que merece, sino que también se convierta en una fuente de conocimiento y orgullo para las generaciones futuras</w:t>
      </w:r>
      <w:r w:rsidR="002847D1" w:rsidRPr="00CD66BB">
        <w:rPr>
          <w:rFonts w:ascii="Book Antiqua" w:hAnsi="Book Antiqua"/>
          <w:lang w:val="es-PR"/>
        </w:rPr>
        <w:t>.</w:t>
      </w:r>
    </w:p>
    <w:p w14:paraId="12D35414" w14:textId="77777777" w:rsidR="002847D1" w:rsidRPr="00683AD9" w:rsidRDefault="002847D1" w:rsidP="002847D1">
      <w:pPr>
        <w:pStyle w:val="BodyText"/>
        <w:spacing w:before="0"/>
        <w:ind w:firstLine="720"/>
        <w:rPr>
          <w:rFonts w:ascii="Book Antiqua" w:hAnsi="Book Antiqua"/>
          <w:lang w:val="es-PR"/>
        </w:rPr>
      </w:pPr>
    </w:p>
    <w:p w14:paraId="504D37CA" w14:textId="77777777" w:rsidR="002847D1" w:rsidRPr="00683AD9" w:rsidRDefault="002847D1" w:rsidP="002847D1">
      <w:pPr>
        <w:spacing w:line="480" w:lineRule="auto"/>
        <w:rPr>
          <w:rFonts w:ascii="Book Antiqua" w:hAnsi="Book Antiqua"/>
          <w:i/>
          <w:lang w:val="es-ES_tradnl"/>
        </w:rPr>
      </w:pPr>
      <w:r w:rsidRPr="00683AD9">
        <w:rPr>
          <w:rFonts w:ascii="Book Antiqua" w:hAnsi="Book Antiqua"/>
          <w:i/>
          <w:lang w:val="es-ES_tradnl"/>
        </w:rPr>
        <w:t>RESUÉLVESE POR LA CÁMARA DE REPRESENTANTES DE PUERTO RICO:</w:t>
      </w:r>
    </w:p>
    <w:p w14:paraId="3D6226E3" w14:textId="77777777" w:rsidR="002847D1" w:rsidRPr="00683AD9" w:rsidRDefault="002847D1" w:rsidP="002847D1">
      <w:pPr>
        <w:spacing w:line="480" w:lineRule="auto"/>
        <w:jc w:val="both"/>
        <w:rPr>
          <w:rFonts w:ascii="Book Antiqua" w:hAnsi="Book Antiqua"/>
          <w:i/>
          <w:lang w:val="es-ES_tradnl"/>
        </w:rPr>
        <w:sectPr w:rsidR="002847D1" w:rsidRPr="00683AD9" w:rsidSect="002847D1">
          <w:headerReference w:type="default" r:id="rId8"/>
          <w:pgSz w:w="12240" w:h="15840" w:code="1"/>
          <w:pgMar w:top="1440" w:right="1440" w:bottom="1440" w:left="1440" w:header="720" w:footer="720" w:gutter="0"/>
          <w:cols w:space="720"/>
          <w:titlePg/>
        </w:sectPr>
      </w:pPr>
    </w:p>
    <w:p w14:paraId="797A9885" w14:textId="4B441B47" w:rsidR="002847D1" w:rsidRPr="009F42D8" w:rsidRDefault="002847D1" w:rsidP="005D14B8">
      <w:pPr>
        <w:spacing w:line="480" w:lineRule="auto"/>
        <w:ind w:firstLine="567"/>
        <w:jc w:val="both"/>
        <w:rPr>
          <w:rFonts w:ascii="Book Antiqua" w:hAnsi="Book Antiqua"/>
          <w:lang w:val="es-PR"/>
        </w:rPr>
      </w:pPr>
      <w:r w:rsidRPr="009F42D8">
        <w:rPr>
          <w:rFonts w:ascii="Book Antiqua" w:hAnsi="Book Antiqua"/>
          <w:lang w:val="es-PR"/>
        </w:rPr>
        <w:t>Sección 1.-</w:t>
      </w:r>
      <w:r w:rsidRPr="00B64EC4">
        <w:rPr>
          <w:rFonts w:ascii="Book Antiqua" w:hAnsi="Book Antiqua"/>
          <w:lang w:val="es-PR"/>
        </w:rPr>
        <w:t xml:space="preserve">Se ordena a la Cámara de Representantes de Puerto Rico realizar una investigación exhaustiva sobre el </w:t>
      </w:r>
      <w:r w:rsidRPr="007F43AA">
        <w:rPr>
          <w:rFonts w:ascii="Book Antiqua" w:hAnsi="Book Antiqua"/>
          <w:lang w:val="es-PR"/>
        </w:rPr>
        <w:t>estado actual de conservación y custodia de las Piedras de Padre Nazario</w:t>
      </w:r>
      <w:r w:rsidRPr="00B64EC4">
        <w:rPr>
          <w:rFonts w:ascii="Book Antiqua" w:hAnsi="Book Antiqua"/>
          <w:lang w:val="es-PR"/>
        </w:rPr>
        <w:t>. Esta investigación busca conocer con precisión el estado en que se encuentran estas piezas en sus distintas localizaciones, tanto dentro como fuera de Puerto Rico, y evaluar si han sido preservadas bajo los estándares adecuados de conservación.</w:t>
      </w:r>
    </w:p>
    <w:p w14:paraId="6F3A2026" w14:textId="77777777" w:rsidR="002847D1" w:rsidRPr="00172584" w:rsidRDefault="002847D1" w:rsidP="005D14B8">
      <w:pPr>
        <w:spacing w:line="480" w:lineRule="auto"/>
        <w:ind w:firstLine="567"/>
        <w:jc w:val="both"/>
        <w:rPr>
          <w:rFonts w:ascii="Book Antiqua" w:hAnsi="Book Antiqua"/>
          <w:lang w:val="es-PR"/>
        </w:rPr>
      </w:pPr>
      <w:r w:rsidRPr="00172584">
        <w:rPr>
          <w:rFonts w:ascii="Book Antiqua" w:hAnsi="Book Antiqua"/>
          <w:lang w:val="es-PR"/>
        </w:rPr>
        <w:t>Como parte de la investigación, se examinará el manejo de la colección por parte del Instituto de Cultura Puertorriqueña (ICP), determinando qué medidas ha implementado para garantizar su protección, almacenamiento y acceso público. Se evaluará si el ICP ha cumplido con su deber de preservar estas piezas, así como los recursos asignados para su mantenimiento.</w:t>
      </w:r>
    </w:p>
    <w:p w14:paraId="23F03922" w14:textId="77777777" w:rsidR="002847D1" w:rsidRDefault="002847D1" w:rsidP="005D14B8">
      <w:pPr>
        <w:spacing w:line="480" w:lineRule="auto"/>
        <w:ind w:firstLine="567"/>
        <w:jc w:val="both"/>
        <w:rPr>
          <w:rFonts w:ascii="Book Antiqua" w:hAnsi="Book Antiqua"/>
          <w:lang w:val="es-PR"/>
        </w:rPr>
      </w:pPr>
      <w:r w:rsidRPr="00776802">
        <w:rPr>
          <w:rFonts w:ascii="Book Antiqua" w:hAnsi="Book Antiqua"/>
          <w:lang w:val="es-PR"/>
        </w:rPr>
        <w:t>Se analizará la existencia de reportes ciudadanos y de expertos que han señalado presuntas deficiencias en la gestión del ICP con respecto a la colección, incluyendo alegaciones de manejo inadecuado de las piedras en sus instalaciones. Parte del estudio incluirá inspecciones para verificar si estas piezas han sido almacenadas de forma apropiada o si han sido expuestas a condiciones que comprometan su integridad.</w:t>
      </w:r>
    </w:p>
    <w:p w14:paraId="51CC9369" w14:textId="77777777" w:rsidR="002847D1" w:rsidRDefault="002847D1" w:rsidP="005D14B8">
      <w:pPr>
        <w:spacing w:line="480" w:lineRule="auto"/>
        <w:ind w:firstLine="567"/>
        <w:jc w:val="both"/>
        <w:rPr>
          <w:rFonts w:ascii="Book Antiqua" w:hAnsi="Book Antiqua"/>
          <w:lang w:val="es-PR"/>
        </w:rPr>
      </w:pPr>
      <w:r w:rsidRPr="007752DF">
        <w:rPr>
          <w:rFonts w:ascii="Book Antiqua" w:hAnsi="Book Antiqua"/>
          <w:lang w:val="es-PR"/>
        </w:rPr>
        <w:lastRenderedPageBreak/>
        <w:t>La dispersión de las Piedras de Padre Nazario en distintas instituciones y ubicaciones requiere una evaluación que permita comparar la conservación de las piezas bajo custodia del ICP con aquellas que se encuentran en otras entidades, como universidades o museos internacionales. Esto permitirá identificar mejores prácticas y determinar qué estrategias pueden implementarse para mejorar su protección.</w:t>
      </w:r>
    </w:p>
    <w:p w14:paraId="303FF69E" w14:textId="77777777" w:rsidR="002847D1" w:rsidRDefault="002847D1" w:rsidP="005D14B8">
      <w:pPr>
        <w:spacing w:line="480" w:lineRule="auto"/>
        <w:ind w:firstLine="567"/>
        <w:jc w:val="both"/>
        <w:rPr>
          <w:rFonts w:ascii="Book Antiqua" w:hAnsi="Book Antiqua"/>
          <w:lang w:val="es-PR"/>
        </w:rPr>
      </w:pPr>
      <w:r w:rsidRPr="006462E2">
        <w:rPr>
          <w:rFonts w:ascii="Book Antiqua" w:hAnsi="Book Antiqua"/>
          <w:lang w:val="es-PR"/>
        </w:rPr>
        <w:t>Además, esta investigación permitirá identificar medidas para asegurar la conservación a</w:t>
      </w:r>
      <w:r>
        <w:rPr>
          <w:rFonts w:ascii="Book Antiqua" w:hAnsi="Book Antiqua"/>
          <w:lang w:val="es-PR"/>
        </w:rPr>
        <w:t xml:space="preserve"> corto, mediano y</w:t>
      </w:r>
      <w:r w:rsidRPr="006462E2">
        <w:rPr>
          <w:rFonts w:ascii="Book Antiqua" w:hAnsi="Book Antiqua"/>
          <w:lang w:val="es-PR"/>
        </w:rPr>
        <w:t xml:space="preserve"> largo plazo de las piedras, estableciendo estrategias que faciliten su preservación y su posible aprovechamiento en el ámbito académico, turístico y cultural. Es fundamental determinar qué condiciones garantizarían su resguardo óptimo y si existen espacios más adecuados para su exhibición y uso en beneficio del desarrollo cultural y económico de Puerto Rico.</w:t>
      </w:r>
    </w:p>
    <w:p w14:paraId="20E4CC37" w14:textId="6DF9ACF1" w:rsidR="002847D1" w:rsidRPr="009F42D8" w:rsidRDefault="002847D1" w:rsidP="005D14B8">
      <w:pPr>
        <w:spacing w:line="480" w:lineRule="auto"/>
        <w:ind w:firstLine="567"/>
        <w:jc w:val="both"/>
        <w:rPr>
          <w:rFonts w:ascii="Book Antiqua" w:hAnsi="Book Antiqua"/>
          <w:lang w:val="es-PR"/>
        </w:rPr>
      </w:pPr>
      <w:r w:rsidRPr="009F42D8">
        <w:rPr>
          <w:rFonts w:ascii="Book Antiqua" w:hAnsi="Book Antiqua"/>
          <w:lang w:val="es-PR"/>
        </w:rPr>
        <w:t xml:space="preserve">Sección </w:t>
      </w:r>
      <w:r>
        <w:rPr>
          <w:rFonts w:ascii="Book Antiqua" w:hAnsi="Book Antiqua"/>
          <w:lang w:val="es-PR"/>
        </w:rPr>
        <w:t>2</w:t>
      </w:r>
      <w:r w:rsidRPr="009F42D8">
        <w:rPr>
          <w:rFonts w:ascii="Book Antiqua" w:hAnsi="Book Antiqua"/>
          <w:lang w:val="es-PR"/>
        </w:rPr>
        <w:t>.-</w:t>
      </w:r>
      <w:r w:rsidRPr="000B4E40">
        <w:rPr>
          <w:rFonts w:ascii="Book Antiqua" w:hAnsi="Book Antiqua"/>
          <w:lang w:val="es-PR"/>
        </w:rPr>
        <w:t>La Cámara de Representantes y la</w:t>
      </w:r>
      <w:r>
        <w:rPr>
          <w:rFonts w:ascii="Book Antiqua" w:hAnsi="Book Antiqua"/>
          <w:lang w:val="es-PR"/>
        </w:rPr>
        <w:t>s</w:t>
      </w:r>
      <w:r w:rsidRPr="000B4E40">
        <w:rPr>
          <w:rFonts w:ascii="Book Antiqua" w:hAnsi="Book Antiqua"/>
          <w:lang w:val="es-PR"/>
        </w:rPr>
        <w:t xml:space="preserve"> Comision</w:t>
      </w:r>
      <w:r>
        <w:rPr>
          <w:rFonts w:ascii="Book Antiqua" w:hAnsi="Book Antiqua"/>
          <w:lang w:val="es-PR"/>
        </w:rPr>
        <w:t>es</w:t>
      </w:r>
      <w:r w:rsidRPr="000B4E40">
        <w:rPr>
          <w:rFonts w:ascii="Book Antiqua" w:hAnsi="Book Antiqua"/>
          <w:lang w:val="es-PR"/>
        </w:rPr>
        <w:t xml:space="preserve"> a la que se asigne dicha investigación estarán facultadas para</w:t>
      </w:r>
      <w:r>
        <w:rPr>
          <w:rFonts w:ascii="Book Antiqua" w:hAnsi="Book Antiqua"/>
          <w:lang w:val="es-PR"/>
        </w:rPr>
        <w:t xml:space="preserve"> citar a vistas públicas o ejecutivas</w:t>
      </w:r>
      <w:r w:rsidRPr="000B4E40">
        <w:rPr>
          <w:rFonts w:ascii="Book Antiqua" w:hAnsi="Book Antiqua"/>
          <w:lang w:val="es-PR"/>
        </w:rPr>
        <w:t>, en las que podrán comparecer funcionarios del Instituto de Cultura Puertorriqueña, arqueólogos, conservacionistas y representantes de instituciones que posean parte de la colección. Estas audiencias permitirán recopilar información clave sobre la situación actual de las piedras y su manejo.</w:t>
      </w:r>
    </w:p>
    <w:p w14:paraId="047B1208" w14:textId="77777777" w:rsidR="002847D1" w:rsidRPr="006360DA" w:rsidRDefault="002847D1" w:rsidP="005D14B8">
      <w:pPr>
        <w:spacing w:line="480" w:lineRule="auto"/>
        <w:ind w:firstLine="567"/>
        <w:jc w:val="both"/>
        <w:rPr>
          <w:rFonts w:ascii="Book Antiqua" w:hAnsi="Book Antiqua"/>
          <w:lang w:val="es-PR"/>
        </w:rPr>
      </w:pPr>
      <w:r w:rsidRPr="006360DA">
        <w:rPr>
          <w:rFonts w:ascii="Book Antiqua" w:hAnsi="Book Antiqua"/>
          <w:lang w:val="es-PR"/>
        </w:rPr>
        <w:t xml:space="preserve">La Comisión podrá </w:t>
      </w:r>
      <w:r w:rsidRPr="006360DA">
        <w:rPr>
          <w:rFonts w:ascii="Book Antiqua" w:hAnsi="Book Antiqua"/>
          <w:b/>
          <w:bCs/>
          <w:lang w:val="es-PR"/>
        </w:rPr>
        <w:t>r</w:t>
      </w:r>
      <w:r w:rsidRPr="006360DA">
        <w:rPr>
          <w:rFonts w:ascii="Book Antiqua" w:hAnsi="Book Antiqua"/>
          <w:lang w:val="es-PR"/>
        </w:rPr>
        <w:t>equerir documentos oficiales, auditorías previas, inventarios y cualquier otro tipo de información relevante que ayude a esclarecer la condición en que se encuentran las piedras. También podrá solicitar información de universidades, museos y entidades en el extranjero que posean o hayan estudiado piezas de esta colección.</w:t>
      </w:r>
    </w:p>
    <w:p w14:paraId="006F6B4B" w14:textId="7AAFDF39" w:rsidR="002847D1" w:rsidRPr="009F42D8" w:rsidRDefault="002847D1" w:rsidP="005D14B8">
      <w:pPr>
        <w:spacing w:line="480" w:lineRule="auto"/>
        <w:ind w:firstLine="567"/>
        <w:jc w:val="both"/>
        <w:rPr>
          <w:rFonts w:ascii="Book Antiqua" w:hAnsi="Book Antiqua"/>
          <w:lang w:val="es-PR"/>
        </w:rPr>
      </w:pPr>
      <w:r w:rsidRPr="009F42D8">
        <w:rPr>
          <w:rFonts w:ascii="Book Antiqua" w:hAnsi="Book Antiqua"/>
          <w:lang w:val="es-PR"/>
        </w:rPr>
        <w:lastRenderedPageBreak/>
        <w:t xml:space="preserve">Sección </w:t>
      </w:r>
      <w:r>
        <w:rPr>
          <w:rFonts w:ascii="Book Antiqua" w:hAnsi="Book Antiqua"/>
          <w:lang w:val="es-PR"/>
        </w:rPr>
        <w:t>3</w:t>
      </w:r>
      <w:r w:rsidRPr="009F42D8">
        <w:rPr>
          <w:rFonts w:ascii="Book Antiqua" w:hAnsi="Book Antiqua"/>
          <w:lang w:val="es-PR"/>
        </w:rPr>
        <w:t>.-</w:t>
      </w:r>
      <w:r w:rsidRPr="003950D2">
        <w:rPr>
          <w:rFonts w:ascii="Book Antiqua" w:hAnsi="Book Antiqua"/>
          <w:lang w:val="es-PR"/>
        </w:rPr>
        <w:t xml:space="preserve">La Comisión podrá rendir </w:t>
      </w:r>
      <w:r w:rsidRPr="00880DD8">
        <w:rPr>
          <w:rFonts w:ascii="Book Antiqua" w:hAnsi="Book Antiqua"/>
          <w:lang w:val="es-PR"/>
        </w:rPr>
        <w:t>informes parciales</w:t>
      </w:r>
      <w:r w:rsidRPr="003950D2">
        <w:rPr>
          <w:rFonts w:ascii="Book Antiqua" w:hAnsi="Book Antiqua"/>
          <w:lang w:val="es-PR"/>
        </w:rPr>
        <w:t xml:space="preserve"> en los que se presenten hallazgos preliminares, análisis de la documentación recopilada y recomendaciones iniciales sobre posibles medidas para mejorar la conservación de la colección.</w:t>
      </w:r>
    </w:p>
    <w:p w14:paraId="4D73BA11" w14:textId="77777777" w:rsidR="002847D1" w:rsidRPr="00764B4B" w:rsidRDefault="002847D1" w:rsidP="005D14B8">
      <w:pPr>
        <w:spacing w:line="480" w:lineRule="auto"/>
        <w:ind w:firstLine="567"/>
        <w:jc w:val="both"/>
        <w:rPr>
          <w:rFonts w:ascii="Book Antiqua" w:hAnsi="Book Antiqua"/>
          <w:lang w:val="es-PR"/>
        </w:rPr>
      </w:pPr>
      <w:r w:rsidRPr="00764B4B">
        <w:rPr>
          <w:rFonts w:ascii="Book Antiqua" w:hAnsi="Book Antiqua"/>
          <w:lang w:val="es-PR"/>
        </w:rPr>
        <w:t>Además, la Comisión deberá presentar un informe final con sus hallazgos y recomendaciones en o antes de que culmine la Octava Sesión Ordinaria de la Vigésima Asamblea Legislativa. Dicho informe deberá incluir</w:t>
      </w:r>
      <w:r>
        <w:rPr>
          <w:rFonts w:ascii="Book Antiqua" w:hAnsi="Book Antiqua"/>
          <w:lang w:val="es-PR"/>
        </w:rPr>
        <w:t xml:space="preserve"> al menos.</w:t>
      </w:r>
    </w:p>
    <w:p w14:paraId="6BB60341" w14:textId="77777777" w:rsidR="002847D1" w:rsidRPr="00D15FA6" w:rsidRDefault="002847D1" w:rsidP="002942CE">
      <w:pPr>
        <w:pStyle w:val="ListParagraph"/>
        <w:numPr>
          <w:ilvl w:val="0"/>
          <w:numId w:val="1"/>
        </w:numPr>
        <w:spacing w:line="480" w:lineRule="auto"/>
        <w:ind w:left="1170" w:hanging="450"/>
        <w:jc w:val="both"/>
        <w:rPr>
          <w:rFonts w:ascii="Book Antiqua" w:hAnsi="Book Antiqua"/>
          <w:lang w:val="es-PR"/>
        </w:rPr>
      </w:pPr>
      <w:r w:rsidRPr="00D15FA6">
        <w:rPr>
          <w:rFonts w:ascii="Book Antiqua" w:hAnsi="Book Antiqua"/>
          <w:lang w:val="es-PR"/>
        </w:rPr>
        <w:t>Evaluación del estado actual de conservación de las Piedras de Padre Nazario.</w:t>
      </w:r>
    </w:p>
    <w:p w14:paraId="40A7BB31" w14:textId="77777777" w:rsidR="002847D1" w:rsidRPr="00D15FA6" w:rsidRDefault="002847D1" w:rsidP="002942CE">
      <w:pPr>
        <w:pStyle w:val="ListParagraph"/>
        <w:numPr>
          <w:ilvl w:val="0"/>
          <w:numId w:val="1"/>
        </w:numPr>
        <w:spacing w:line="480" w:lineRule="auto"/>
        <w:ind w:left="1170" w:hanging="450"/>
        <w:jc w:val="both"/>
        <w:rPr>
          <w:rFonts w:ascii="Book Antiqua" w:hAnsi="Book Antiqua"/>
          <w:lang w:val="es-PR"/>
        </w:rPr>
      </w:pPr>
      <w:r w:rsidRPr="00D15FA6">
        <w:rPr>
          <w:rFonts w:ascii="Book Antiqua" w:hAnsi="Book Antiqua"/>
          <w:lang w:val="es-PR"/>
        </w:rPr>
        <w:t>Análisis de la gestión del ICP y comparación con otras entidades que posean la colección.</w:t>
      </w:r>
    </w:p>
    <w:p w14:paraId="7DC513E6" w14:textId="77777777" w:rsidR="002847D1" w:rsidRDefault="002847D1" w:rsidP="002942CE">
      <w:pPr>
        <w:pStyle w:val="ListParagraph"/>
        <w:numPr>
          <w:ilvl w:val="0"/>
          <w:numId w:val="1"/>
        </w:numPr>
        <w:spacing w:line="480" w:lineRule="auto"/>
        <w:ind w:left="1170" w:hanging="450"/>
        <w:jc w:val="both"/>
        <w:rPr>
          <w:rFonts w:ascii="Book Antiqua" w:hAnsi="Book Antiqua"/>
          <w:lang w:val="es-PR"/>
        </w:rPr>
      </w:pPr>
      <w:r w:rsidRPr="00D15FA6">
        <w:rPr>
          <w:rFonts w:ascii="Book Antiqua" w:hAnsi="Book Antiqua"/>
          <w:lang w:val="es-PR"/>
        </w:rPr>
        <w:t>Medidas recomendadas para mejorar la preservación de estas piezas.</w:t>
      </w:r>
    </w:p>
    <w:p w14:paraId="0C995B3D" w14:textId="77777777" w:rsidR="002847D1" w:rsidRPr="00D15FA6" w:rsidRDefault="002847D1" w:rsidP="002942CE">
      <w:pPr>
        <w:pStyle w:val="ListParagraph"/>
        <w:numPr>
          <w:ilvl w:val="0"/>
          <w:numId w:val="1"/>
        </w:numPr>
        <w:spacing w:line="480" w:lineRule="auto"/>
        <w:ind w:left="1170" w:hanging="450"/>
        <w:jc w:val="both"/>
        <w:rPr>
          <w:rFonts w:ascii="Book Antiqua" w:hAnsi="Book Antiqua"/>
          <w:lang w:val="es-PR"/>
        </w:rPr>
      </w:pPr>
      <w:r w:rsidRPr="00D15FA6">
        <w:rPr>
          <w:rFonts w:ascii="Book Antiqua" w:hAnsi="Book Antiqua"/>
          <w:lang w:val="es-PR"/>
        </w:rPr>
        <w:t>Posibles estrategias para su aprovechamiento en el ámbito académico, turístico y cultural.</w:t>
      </w:r>
    </w:p>
    <w:p w14:paraId="54382911" w14:textId="0AFFCE62" w:rsidR="002847D1" w:rsidRPr="00EF4E1E" w:rsidRDefault="002847D1" w:rsidP="005D14B8">
      <w:pPr>
        <w:spacing w:line="480" w:lineRule="auto"/>
        <w:ind w:firstLine="567"/>
        <w:jc w:val="both"/>
        <w:rPr>
          <w:rFonts w:ascii="Book Antiqua" w:hAnsi="Book Antiqua"/>
          <w:lang w:val="es-PR"/>
        </w:rPr>
      </w:pPr>
      <w:r w:rsidRPr="009F42D8">
        <w:rPr>
          <w:rFonts w:ascii="Book Antiqua" w:hAnsi="Book Antiqua"/>
          <w:lang w:val="es-PR"/>
        </w:rPr>
        <w:t>Sección 4.-Esta Resolución comenzará a regir inmediatamente después de su aprobación</w:t>
      </w:r>
      <w:r w:rsidRPr="00683AD9">
        <w:rPr>
          <w:rFonts w:ascii="Book Antiqua" w:hAnsi="Book Antiqua"/>
          <w:lang w:val="es-PR"/>
        </w:rPr>
        <w:t>.</w:t>
      </w:r>
    </w:p>
    <w:sectPr w:rsidR="002847D1" w:rsidRPr="00EF4E1E"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59789" w14:textId="77777777" w:rsidR="001B1F0D" w:rsidRDefault="001B1F0D">
      <w:r>
        <w:separator/>
      </w:r>
    </w:p>
  </w:endnote>
  <w:endnote w:type="continuationSeparator" w:id="0">
    <w:p w14:paraId="14AF95BD" w14:textId="77777777" w:rsidR="001B1F0D" w:rsidRDefault="001B1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1F342" w14:textId="77777777" w:rsidR="001B1F0D" w:rsidRDefault="001B1F0D">
      <w:r>
        <w:separator/>
      </w:r>
    </w:p>
  </w:footnote>
  <w:footnote w:type="continuationSeparator" w:id="0">
    <w:p w14:paraId="602DFF7D" w14:textId="77777777" w:rsidR="001B1F0D" w:rsidRDefault="001B1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5BC56" w14:textId="77777777" w:rsidR="002847D1" w:rsidRDefault="002847D1">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93914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7D1"/>
    <w:rsid w:val="00030508"/>
    <w:rsid w:val="000E38FF"/>
    <w:rsid w:val="00192A65"/>
    <w:rsid w:val="001B1F0D"/>
    <w:rsid w:val="001F270F"/>
    <w:rsid w:val="00225A39"/>
    <w:rsid w:val="002847D1"/>
    <w:rsid w:val="002942CE"/>
    <w:rsid w:val="003E4D83"/>
    <w:rsid w:val="00590DF9"/>
    <w:rsid w:val="00591BC3"/>
    <w:rsid w:val="005C51E8"/>
    <w:rsid w:val="005D14B8"/>
    <w:rsid w:val="00721538"/>
    <w:rsid w:val="009247EB"/>
    <w:rsid w:val="009C589D"/>
    <w:rsid w:val="00B107D4"/>
    <w:rsid w:val="00B24599"/>
    <w:rsid w:val="00B423FB"/>
    <w:rsid w:val="00C068AE"/>
    <w:rsid w:val="00C73A5B"/>
    <w:rsid w:val="00C92105"/>
    <w:rsid w:val="00EF4E1E"/>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9E131"/>
  <w15:chartTrackingRefBased/>
  <w15:docId w15:val="{54345B90-E555-4756-8C07-52DE17437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2847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47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47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47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47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47D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47D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47D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47D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47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47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47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47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47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47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47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47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47D1"/>
    <w:rPr>
      <w:rFonts w:eastAsiaTheme="majorEastAsia" w:cstheme="majorBidi"/>
      <w:color w:val="272727" w:themeColor="text1" w:themeTint="D8"/>
    </w:rPr>
  </w:style>
  <w:style w:type="paragraph" w:styleId="Title">
    <w:name w:val="Title"/>
    <w:basedOn w:val="Normal"/>
    <w:next w:val="Normal"/>
    <w:link w:val="TitleChar"/>
    <w:uiPriority w:val="10"/>
    <w:qFormat/>
    <w:rsid w:val="002847D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47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47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47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47D1"/>
    <w:pPr>
      <w:spacing w:before="160"/>
      <w:jc w:val="center"/>
    </w:pPr>
    <w:rPr>
      <w:i/>
      <w:iCs/>
      <w:color w:val="404040" w:themeColor="text1" w:themeTint="BF"/>
    </w:rPr>
  </w:style>
  <w:style w:type="character" w:customStyle="1" w:styleId="QuoteChar">
    <w:name w:val="Quote Char"/>
    <w:basedOn w:val="DefaultParagraphFont"/>
    <w:link w:val="Quote"/>
    <w:uiPriority w:val="29"/>
    <w:rsid w:val="002847D1"/>
    <w:rPr>
      <w:i/>
      <w:iCs/>
      <w:color w:val="404040" w:themeColor="text1" w:themeTint="BF"/>
    </w:rPr>
  </w:style>
  <w:style w:type="paragraph" w:styleId="ListParagraph">
    <w:name w:val="List Paragraph"/>
    <w:basedOn w:val="Normal"/>
    <w:uiPriority w:val="34"/>
    <w:qFormat/>
    <w:rsid w:val="002847D1"/>
    <w:pPr>
      <w:ind w:left="720"/>
      <w:contextualSpacing/>
    </w:pPr>
  </w:style>
  <w:style w:type="character" w:styleId="IntenseEmphasis">
    <w:name w:val="Intense Emphasis"/>
    <w:basedOn w:val="DefaultParagraphFont"/>
    <w:uiPriority w:val="21"/>
    <w:qFormat/>
    <w:rsid w:val="002847D1"/>
    <w:rPr>
      <w:i/>
      <w:iCs/>
      <w:color w:val="0F4761" w:themeColor="accent1" w:themeShade="BF"/>
    </w:rPr>
  </w:style>
  <w:style w:type="paragraph" w:styleId="IntenseQuote">
    <w:name w:val="Intense Quote"/>
    <w:basedOn w:val="Normal"/>
    <w:next w:val="Normal"/>
    <w:link w:val="IntenseQuoteChar"/>
    <w:uiPriority w:val="30"/>
    <w:qFormat/>
    <w:rsid w:val="002847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47D1"/>
    <w:rPr>
      <w:i/>
      <w:iCs/>
      <w:color w:val="0F4761" w:themeColor="accent1" w:themeShade="BF"/>
    </w:rPr>
  </w:style>
  <w:style w:type="character" w:styleId="IntenseReference">
    <w:name w:val="Intense Reference"/>
    <w:basedOn w:val="DefaultParagraphFont"/>
    <w:uiPriority w:val="32"/>
    <w:qFormat/>
    <w:rsid w:val="002847D1"/>
    <w:rPr>
      <w:b/>
      <w:bCs/>
      <w:smallCaps/>
      <w:color w:val="0F4761" w:themeColor="accent1" w:themeShade="BF"/>
      <w:spacing w:val="5"/>
    </w:rPr>
  </w:style>
  <w:style w:type="paragraph" w:styleId="Header">
    <w:name w:val="header"/>
    <w:basedOn w:val="Normal"/>
    <w:link w:val="HeaderChar"/>
    <w:rsid w:val="002847D1"/>
    <w:pPr>
      <w:tabs>
        <w:tab w:val="center" w:pos="4320"/>
        <w:tab w:val="right" w:pos="8640"/>
      </w:tabs>
    </w:pPr>
  </w:style>
  <w:style w:type="character" w:customStyle="1" w:styleId="HeaderChar">
    <w:name w:val="Header Char"/>
    <w:basedOn w:val="DefaultParagraphFont"/>
    <w:link w:val="Header"/>
    <w:rsid w:val="002847D1"/>
    <w:rPr>
      <w:rFonts w:ascii="Times New Roman" w:eastAsia="Batang" w:hAnsi="Times New Roman" w:cs="Times New Roman"/>
      <w:kern w:val="0"/>
      <w:szCs w:val="20"/>
      <w:lang w:val="en-US"/>
      <w14:ligatures w14:val="none"/>
    </w:rPr>
  </w:style>
  <w:style w:type="character" w:styleId="PageNumber">
    <w:name w:val="page number"/>
    <w:basedOn w:val="DefaultParagraphFont"/>
    <w:rsid w:val="002847D1"/>
  </w:style>
  <w:style w:type="paragraph" w:styleId="BodyText">
    <w:name w:val="Body Text"/>
    <w:basedOn w:val="Normal"/>
    <w:link w:val="BodyTextChar"/>
    <w:rsid w:val="002847D1"/>
    <w:pPr>
      <w:spacing w:before="120"/>
      <w:jc w:val="both"/>
    </w:pPr>
    <w:rPr>
      <w:rFonts w:ascii="CG Times(w1)" w:hAnsi="CG Times(w1)"/>
      <w:szCs w:val="24"/>
      <w:lang w:val="es-ES_tradnl"/>
    </w:rPr>
  </w:style>
  <w:style w:type="character" w:customStyle="1" w:styleId="BodyTextChar">
    <w:name w:val="Body Text Char"/>
    <w:basedOn w:val="DefaultParagraphFont"/>
    <w:link w:val="BodyText"/>
    <w:rsid w:val="002847D1"/>
    <w:rPr>
      <w:rFonts w:ascii="CG Times(w1)" w:eastAsia="Batang" w:hAnsi="CG Times(w1)" w:cs="Times New Roman"/>
      <w:kern w:val="0"/>
      <w:lang w:val="es-ES_tradnl"/>
      <w14:ligatures w14:val="none"/>
    </w:rPr>
  </w:style>
  <w:style w:type="character" w:styleId="LineNumber">
    <w:name w:val="line number"/>
    <w:basedOn w:val="DefaultParagraphFont"/>
    <w:uiPriority w:val="99"/>
    <w:semiHidden/>
    <w:unhideWhenUsed/>
    <w:rsid w:val="002847D1"/>
  </w:style>
  <w:style w:type="paragraph" w:styleId="NormalWeb">
    <w:name w:val="Normal (Web)"/>
    <w:basedOn w:val="Normal"/>
    <w:uiPriority w:val="99"/>
    <w:semiHidden/>
    <w:unhideWhenUsed/>
    <w:rsid w:val="00B107D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94D95-4D17-4022-9DCA-0C3089DB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1431</Words>
  <Characters>8163</Characters>
  <Application>Microsoft Office Word</Application>
  <DocSecurity>0</DocSecurity>
  <Lines>68</Lines>
  <Paragraphs>19</Paragraphs>
  <ScaleCrop>false</ScaleCrop>
  <Company/>
  <LinksUpToDate>false</LinksUpToDate>
  <CharactersWithSpaces>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Vazquez</dc:creator>
  <cp:keywords/>
  <dc:description/>
  <cp:lastModifiedBy>Gladys J. Burgos Torres</cp:lastModifiedBy>
  <cp:revision>5</cp:revision>
  <cp:lastPrinted>2025-02-14T14:49:00Z</cp:lastPrinted>
  <dcterms:created xsi:type="dcterms:W3CDTF">2025-02-13T19:47:00Z</dcterms:created>
  <dcterms:modified xsi:type="dcterms:W3CDTF">2025-02-14T14:51:00Z</dcterms:modified>
</cp:coreProperties>
</file>