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Default="00CC29FD" w:rsidP="00CC29F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587D3ED2" w:rsidR="00CC29FD" w:rsidRPr="0085283D" w:rsidRDefault="00CC29FD" w:rsidP="00CC29FD">
      <w:pPr>
        <w:suppressLineNumbers/>
        <w:jc w:val="center"/>
        <w:rPr>
          <w:rFonts w:ascii="Book Antiqua" w:hAnsi="Book Antiqua"/>
          <w:color w:val="000000"/>
          <w:szCs w:val="24"/>
          <w:lang w:val="es-PR"/>
        </w:rPr>
      </w:pPr>
    </w:p>
    <w:p w14:paraId="0BB6A0B7" w14:textId="67A6C128" w:rsidR="00CC29FD" w:rsidRPr="00CC29FD" w:rsidRDefault="0085283D" w:rsidP="0085283D">
      <w:pPr>
        <w:pStyle w:val="Title2"/>
        <w:suppressLineNumbers/>
        <w:tabs>
          <w:tab w:val="clear" w:pos="648"/>
          <w:tab w:val="clear" w:pos="7776"/>
          <w:tab w:val="clear" w:pos="7848"/>
        </w:tabs>
        <w:rPr>
          <w:rFonts w:ascii="Book Antiqua" w:hAnsi="Book Antiqua"/>
          <w:color w:val="000000"/>
          <w:lang w:val="es-PR"/>
        </w:rPr>
      </w:pPr>
      <w:r>
        <w:rPr>
          <w:rFonts w:ascii="Book Antiqua" w:hAnsi="Book Antiqua"/>
          <w:color w:val="000000"/>
          <w:lang w:val="es-PR"/>
        </w:rPr>
        <w:t>20ma.</w:t>
      </w:r>
      <w:r w:rsidR="00CC29FD" w:rsidRPr="00CC29FD">
        <w:rPr>
          <w:rFonts w:ascii="Book Antiqua" w:hAnsi="Book Antiqua"/>
          <w:lang w:val="es-PR"/>
        </w:rPr>
        <w:tab/>
      </w:r>
      <w:r w:rsidR="00CC29FD" w:rsidRPr="00CC29FD">
        <w:rPr>
          <w:rFonts w:ascii="Book Antiqua" w:hAnsi="Book Antiqua"/>
          <w:color w:val="000000"/>
          <w:lang w:val="es-PR"/>
        </w:rPr>
        <w:t>Asamblea</w:t>
      </w:r>
      <w:r w:rsidR="00CC29FD" w:rsidRPr="00CC29FD">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w:t>
      </w:r>
      <w:r>
        <w:rPr>
          <w:rFonts w:ascii="Book Antiqua" w:hAnsi="Book Antiqua"/>
          <w:color w:val="000000"/>
          <w:lang w:val="es-PR"/>
        </w:rPr>
        <w:t>1ra.</w:t>
      </w:r>
      <w:r>
        <w:rPr>
          <w:rFonts w:ascii="Book Antiqua" w:hAnsi="Book Antiqua"/>
          <w:lang w:val="es-PR"/>
        </w:rPr>
        <w:t xml:space="preserve"> </w:t>
      </w:r>
      <w:r w:rsidR="00CC29FD" w:rsidRPr="00CC29FD">
        <w:rPr>
          <w:rFonts w:ascii="Book Antiqua" w:hAnsi="Book Antiqua"/>
          <w:color w:val="000000"/>
          <w:lang w:val="es-PR"/>
        </w:rPr>
        <w:t>Sesión</w:t>
      </w:r>
    </w:p>
    <w:p w14:paraId="78405409" w14:textId="234B98C0" w:rsidR="00CC29FD" w:rsidRPr="00CC29FD" w:rsidRDefault="00CC29FD" w:rsidP="0085283D">
      <w:pPr>
        <w:pStyle w:val="Title2"/>
        <w:suppressLineNumbers/>
        <w:tabs>
          <w:tab w:val="clear" w:pos="648"/>
          <w:tab w:val="clear" w:pos="7776"/>
          <w:tab w:val="clear" w:pos="7848"/>
        </w:tabs>
        <w:rPr>
          <w:rFonts w:ascii="Book Antiqua" w:hAnsi="Book Antiqua"/>
          <w:color w:val="000000"/>
          <w:lang w:val="es-PR"/>
        </w:rPr>
      </w:pPr>
      <w:r w:rsidRPr="00CC29FD">
        <w:rPr>
          <w:rFonts w:ascii="Book Antiqua" w:hAnsi="Book Antiqua"/>
          <w:lang w:val="es-PR"/>
        </w:rPr>
        <w:tab/>
      </w:r>
      <w:r w:rsidR="0085283D">
        <w:rPr>
          <w:rFonts w:ascii="Book Antiqua" w:hAnsi="Book Antiqua"/>
          <w:lang w:val="es-PR"/>
        </w:rPr>
        <w:t xml:space="preserve"> </w:t>
      </w:r>
      <w:r w:rsidRPr="00CC29FD">
        <w:rPr>
          <w:rFonts w:ascii="Book Antiqua" w:hAnsi="Book Antiqua"/>
          <w:color w:val="000000"/>
          <w:lang w:val="es-PR"/>
        </w:rPr>
        <w:t>Legislativa</w:t>
      </w:r>
      <w:r w:rsidRPr="00CC29FD">
        <w:rPr>
          <w:rFonts w:ascii="Book Antiqua" w:hAnsi="Book Antiqua"/>
          <w:lang w:val="es-PR"/>
        </w:rPr>
        <w:tab/>
      </w:r>
      <w:r w:rsidRPr="00CC29FD">
        <w:rPr>
          <w:rFonts w:ascii="Book Antiqua" w:hAnsi="Book Antiqua"/>
          <w:lang w:val="es-PR"/>
        </w:rPr>
        <w:tab/>
      </w:r>
      <w:r w:rsidR="0085283D">
        <w:rPr>
          <w:rFonts w:ascii="Book Antiqua" w:hAnsi="Book Antiqua"/>
          <w:lang w:val="es-PR"/>
        </w:rPr>
        <w:t xml:space="preserve">      </w:t>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t xml:space="preserve">      </w:t>
      </w:r>
      <w:r w:rsidRPr="00CC29FD">
        <w:rPr>
          <w:rFonts w:ascii="Book Antiqua" w:hAnsi="Book Antiqua"/>
          <w:color w:val="000000"/>
          <w:lang w:val="es-PR"/>
        </w:rPr>
        <w:t>Ordinaria</w:t>
      </w:r>
    </w:p>
    <w:p w14:paraId="56E4C904" w14:textId="77777777" w:rsidR="00CC29FD" w:rsidRPr="000223B7" w:rsidRDefault="00CC29FD" w:rsidP="00CC29FD">
      <w:pPr>
        <w:rPr>
          <w:lang w:val="es-PR"/>
        </w:rPr>
      </w:pPr>
    </w:p>
    <w:p w14:paraId="22008016" w14:textId="77777777" w:rsidR="00CC29FD" w:rsidRDefault="00CC29FD" w:rsidP="00CC29F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CC29FD">
      <w:pPr>
        <w:suppressLineNumbers/>
        <w:jc w:val="center"/>
        <w:rPr>
          <w:rFonts w:ascii="Book Antiqua" w:hAnsi="Book Antiqua"/>
          <w:b/>
          <w:bCs/>
          <w:color w:val="000000"/>
          <w:szCs w:val="24"/>
          <w:lang w:val="es-PR"/>
        </w:rPr>
      </w:pPr>
    </w:p>
    <w:p w14:paraId="64926363" w14:textId="3D875956" w:rsidR="00CC29FD" w:rsidRDefault="00CC29FD" w:rsidP="00CC29F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D55A2A">
        <w:rPr>
          <w:rFonts w:ascii="Book Antiqua" w:hAnsi="Book Antiqua"/>
          <w:b/>
          <w:bCs/>
          <w:color w:val="000000"/>
          <w:sz w:val="52"/>
          <w:szCs w:val="52"/>
          <w:lang w:val="es-PR"/>
        </w:rPr>
        <w:t xml:space="preserve"> </w:t>
      </w:r>
      <w:r w:rsidR="006F46C0">
        <w:rPr>
          <w:rFonts w:ascii="Book Antiqua" w:hAnsi="Book Antiqua"/>
          <w:b/>
          <w:bCs/>
          <w:color w:val="000000"/>
          <w:sz w:val="52"/>
          <w:szCs w:val="52"/>
          <w:lang w:val="es-PR"/>
        </w:rPr>
        <w:t>333</w:t>
      </w:r>
    </w:p>
    <w:p w14:paraId="5EFBC227" w14:textId="77777777" w:rsidR="00CC29FD" w:rsidRPr="000223B7" w:rsidRDefault="00CC29FD" w:rsidP="00CC29FD">
      <w:pPr>
        <w:suppressLineNumbers/>
        <w:jc w:val="center"/>
        <w:rPr>
          <w:rFonts w:ascii="Book Antiqua" w:hAnsi="Book Antiqua"/>
          <w:b/>
          <w:bCs/>
          <w:color w:val="000000"/>
          <w:szCs w:val="24"/>
          <w:lang w:val="es-PR"/>
        </w:rPr>
      </w:pPr>
    </w:p>
    <w:p w14:paraId="7B542F4D" w14:textId="5BEA107C" w:rsidR="00CC29FD" w:rsidRDefault="006F46C0" w:rsidP="00CC29FD">
      <w:pPr>
        <w:suppressLineNumbers/>
        <w:jc w:val="center"/>
        <w:rPr>
          <w:rFonts w:ascii="Book Antiqua" w:hAnsi="Book Antiqua"/>
          <w:color w:val="000000"/>
          <w:lang w:val="es-PR"/>
        </w:rPr>
      </w:pPr>
      <w:r>
        <w:rPr>
          <w:rFonts w:ascii="Book Antiqua" w:hAnsi="Book Antiqua"/>
          <w:color w:val="000000"/>
          <w:lang w:val="es-PR"/>
        </w:rPr>
        <w:t xml:space="preserve">13 </w:t>
      </w:r>
      <w:r w:rsidR="00D55A2A">
        <w:rPr>
          <w:rFonts w:ascii="Book Antiqua" w:hAnsi="Book Antiqua"/>
          <w:color w:val="000000"/>
          <w:lang w:val="es-PR"/>
        </w:rPr>
        <w:t>DE FEBRERO DE</w:t>
      </w:r>
      <w:r w:rsidR="00CC29FD" w:rsidRPr="00860066">
        <w:rPr>
          <w:rFonts w:ascii="Book Antiqua" w:hAnsi="Book Antiqua"/>
          <w:color w:val="000000"/>
          <w:lang w:val="es-PR"/>
        </w:rPr>
        <w:t xml:space="preserve"> 202</w:t>
      </w:r>
      <w:r w:rsidR="00CC29FD">
        <w:rPr>
          <w:rFonts w:ascii="Book Antiqua" w:hAnsi="Book Antiqua"/>
          <w:color w:val="000000"/>
          <w:lang w:val="es-PR"/>
        </w:rPr>
        <w:t>5</w:t>
      </w:r>
    </w:p>
    <w:p w14:paraId="67A794B5" w14:textId="77777777" w:rsidR="00CC29FD" w:rsidRPr="00860066" w:rsidRDefault="00CC29FD" w:rsidP="00CC29FD">
      <w:pPr>
        <w:suppressLineNumbers/>
        <w:jc w:val="center"/>
        <w:rPr>
          <w:rFonts w:ascii="Book Antiqua" w:hAnsi="Book Antiqua"/>
          <w:color w:val="000000"/>
          <w:lang w:val="es-PR"/>
        </w:rPr>
      </w:pPr>
    </w:p>
    <w:p w14:paraId="5F32E259" w14:textId="6EDB97BF" w:rsidR="00CC29FD" w:rsidRDefault="00CC29FD" w:rsidP="00CC29FD">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77777777" w:rsidR="005B6234" w:rsidRDefault="005B6234" w:rsidP="00CC29FD">
      <w:pPr>
        <w:suppressLineNumbers/>
        <w:ind w:left="720" w:hanging="720"/>
        <w:jc w:val="center"/>
        <w:rPr>
          <w:rFonts w:ascii="Book Antiqua" w:hAnsi="Book Antiqua"/>
          <w:color w:val="000000"/>
          <w:szCs w:val="24"/>
          <w:lang w:val="es-PR"/>
        </w:rPr>
      </w:pPr>
    </w:p>
    <w:p w14:paraId="32C334A9" w14:textId="62782976" w:rsidR="00881C24" w:rsidRPr="00881C24" w:rsidRDefault="00881C24" w:rsidP="00881C24">
      <w:pPr>
        <w:jc w:val="center"/>
        <w:rPr>
          <w:rFonts w:ascii="Book Antiqua" w:eastAsia="Batang" w:hAnsi="Book Antiqua"/>
          <w:iCs/>
          <w:lang w:val="es-ES_tradnl"/>
        </w:rPr>
      </w:pPr>
      <w:r w:rsidRPr="00881C24">
        <w:rPr>
          <w:rFonts w:ascii="Book Antiqua" w:eastAsia="Batang" w:hAnsi="Book Antiqua"/>
          <w:iCs/>
          <w:lang w:val="es-ES_tradnl"/>
        </w:rPr>
        <w:t xml:space="preserve">Referido a la Comisión de </w:t>
      </w:r>
      <w:r w:rsidR="00533ADB">
        <w:rPr>
          <w:rFonts w:ascii="Book Antiqua" w:eastAsia="Batang" w:hAnsi="Book Antiqua"/>
          <w:iCs/>
          <w:lang w:val="es-ES_tradnl"/>
        </w:rPr>
        <w:t>Educación</w:t>
      </w:r>
    </w:p>
    <w:p w14:paraId="63A0AA60" w14:textId="77777777" w:rsidR="00A51E6A" w:rsidRPr="00881C24" w:rsidRDefault="00A51E6A" w:rsidP="00A51E6A">
      <w:pPr>
        <w:jc w:val="both"/>
        <w:rPr>
          <w:rFonts w:ascii="Book Antiqua" w:hAnsi="Book Antiqua"/>
          <w:lang w:val="es-ES_tradnl"/>
        </w:rPr>
      </w:pPr>
    </w:p>
    <w:p w14:paraId="25B50B01" w14:textId="1095DE7B" w:rsidR="00A51E6A" w:rsidRPr="00BE7F3F" w:rsidRDefault="00A51E6A" w:rsidP="00A51E6A">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BE7F3F" w:rsidRDefault="00A51E6A" w:rsidP="00A51E6A">
      <w:pPr>
        <w:jc w:val="center"/>
        <w:rPr>
          <w:rFonts w:ascii="Book Antiqua" w:hAnsi="Book Antiqua"/>
          <w:b/>
          <w:sz w:val="28"/>
          <w:lang w:val="es-ES"/>
        </w:rPr>
      </w:pPr>
    </w:p>
    <w:p w14:paraId="571091D3" w14:textId="1429756D" w:rsidR="009B7621" w:rsidRPr="006E4533" w:rsidRDefault="006E4533" w:rsidP="0085283D">
      <w:pPr>
        <w:ind w:left="567" w:hanging="567"/>
        <w:jc w:val="both"/>
        <w:rPr>
          <w:rFonts w:ascii="Book Antiqua" w:hAnsi="Book Antiqua"/>
          <w:lang w:val="es-PR"/>
        </w:rPr>
      </w:pPr>
      <w:r w:rsidRPr="006E4533">
        <w:rPr>
          <w:rFonts w:ascii="Book Antiqua" w:hAnsi="Book Antiqua"/>
          <w:lang w:val="es-PR"/>
        </w:rPr>
        <w:t xml:space="preserve">Para disponer que el Departamento de Educación del </w:t>
      </w:r>
      <w:r>
        <w:rPr>
          <w:rFonts w:ascii="Book Antiqua" w:hAnsi="Book Antiqua"/>
          <w:lang w:val="es-PR"/>
        </w:rPr>
        <w:t>Gobierno</w:t>
      </w:r>
      <w:r w:rsidRPr="006E4533">
        <w:rPr>
          <w:rFonts w:ascii="Book Antiqua" w:hAnsi="Book Antiqua"/>
          <w:lang w:val="es-PR"/>
        </w:rPr>
        <w:t xml:space="preserve"> de Puerto Rico</w:t>
      </w:r>
      <w:r w:rsidR="003733EA">
        <w:rPr>
          <w:rFonts w:ascii="Book Antiqua" w:hAnsi="Book Antiqua"/>
          <w:lang w:val="es-PR"/>
        </w:rPr>
        <w:t xml:space="preserve"> </w:t>
      </w:r>
      <w:r w:rsidR="0063493D" w:rsidRPr="0063493D">
        <w:rPr>
          <w:rFonts w:ascii="Book Antiqua" w:hAnsi="Book Antiqua"/>
          <w:lang w:val="es-PR"/>
        </w:rPr>
        <w:t xml:space="preserve">establezca un protocolo de clasificación de niveles de seguridad escolar en los planteles con garantías mínimas para </w:t>
      </w:r>
      <w:r w:rsidR="001A56EA">
        <w:rPr>
          <w:rFonts w:ascii="Book Antiqua" w:hAnsi="Book Antiqua"/>
          <w:lang w:val="es-PR"/>
        </w:rPr>
        <w:t>reducir</w:t>
      </w:r>
      <w:r w:rsidR="0063493D" w:rsidRPr="0063493D">
        <w:rPr>
          <w:rFonts w:ascii="Book Antiqua" w:hAnsi="Book Antiqua"/>
          <w:lang w:val="es-PR"/>
        </w:rPr>
        <w:t xml:space="preserve"> riesgos y vulnerabilidades</w:t>
      </w:r>
      <w:r w:rsidR="00D41EE9" w:rsidRPr="00BE7F3F">
        <w:rPr>
          <w:rFonts w:ascii="Book Antiqua" w:hAnsi="Book Antiqua"/>
          <w:lang w:val="es-ES"/>
        </w:rPr>
        <w:t>.</w:t>
      </w:r>
    </w:p>
    <w:p w14:paraId="0040D210" w14:textId="77777777" w:rsidR="00846BCC" w:rsidRPr="00BE7F3F" w:rsidRDefault="00846BCC" w:rsidP="0085283D">
      <w:pPr>
        <w:jc w:val="both"/>
        <w:rPr>
          <w:rFonts w:ascii="Book Antiqua" w:hAnsi="Book Antiqua"/>
          <w:lang w:val="es-ES"/>
        </w:rPr>
      </w:pPr>
    </w:p>
    <w:p w14:paraId="31B71EAD" w14:textId="77777777" w:rsidR="009B7621" w:rsidRPr="00BE7F3F" w:rsidRDefault="009B7621" w:rsidP="00846BCC">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846BCC">
      <w:pPr>
        <w:ind w:firstLine="360"/>
        <w:jc w:val="center"/>
        <w:rPr>
          <w:rFonts w:ascii="Book Antiqua" w:hAnsi="Book Antiqua"/>
          <w:szCs w:val="24"/>
          <w:lang w:val="es-ES"/>
        </w:rPr>
      </w:pPr>
    </w:p>
    <w:p w14:paraId="32B7B511" w14:textId="77777777"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El Departamento de Educación de Puerto Rico ha sostenido que nuestras escuelas son seguras, a pesar de los incidentes que ocasionalmente captan la atención de los medios de comunicación. La agencia ha catalogado los eventos relacionados con armas, actos de violencia y el consumo de sustancias controladas en los planteles como situaciones aisladas, y ha rechazado categóricamente la existencia de puntos de drogas dentro de las escuelas. No obstante, la seguridad escolar no debe limitarse únicamente a aspectos de índole penal o criminal, sino que debe evaluarse en su concepción más amplia, abarcando también la integridad de la infraestructura física, la resiliencia ante desastres naturales, el manejo de la conducta estudiantil y la capacidad de responder ante emergencias que puedan poner en riesgo la vida y el bienestar de la comunidad educativa.</w:t>
      </w:r>
    </w:p>
    <w:p w14:paraId="6FAAE922" w14:textId="77777777" w:rsidR="0085283D" w:rsidRPr="008C3D6A" w:rsidRDefault="0085283D" w:rsidP="0085283D">
      <w:pPr>
        <w:ind w:firstLine="567"/>
        <w:jc w:val="both"/>
        <w:rPr>
          <w:rFonts w:ascii="Book Antiqua" w:hAnsi="Book Antiqua"/>
          <w:szCs w:val="24"/>
          <w:lang w:val="es-PR"/>
        </w:rPr>
      </w:pPr>
    </w:p>
    <w:p w14:paraId="4CAA17BB" w14:textId="77777777"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El Departamento de Educación cuenta con la Oficina del Comisionado de Seguridad Escolar, encargada de garantizar la seguridad de los estudiantes y el personal en escuelas y dependencias. Para el presente año fiscal, la oficina ha recibido una inversión de $60,755,311.70 en fondos federales. En cuanto a las iniciativas de seguridad que ha implementado el Departamento, resaltan la instalación de sistemas de vigilancia electrónica con una inversión de $18 millones para el monitoreo en los planteles escolares, </w:t>
      </w:r>
      <w:r w:rsidRPr="008C3D6A">
        <w:rPr>
          <w:rFonts w:ascii="Book Antiqua" w:hAnsi="Book Antiqua"/>
          <w:szCs w:val="24"/>
          <w:lang w:val="es-PR"/>
        </w:rPr>
        <w:lastRenderedPageBreak/>
        <w:t>así como la implementación de sistemas de comunicación interna con una inversión de $19 millones, los cuales permiten generar alertas automáticas al personal escolar, autoridades de primera respuesta y padres de los estudiantes. Además, se han desarrollado protocolos de seguridad para responder a amenazas específicas, entre ellos la respuesta a tiradores activos, con una inversión de $1.4 millones en la instalación de pasadores de puertas reforzados, y la detección de cigarrillos electrónicos, con una inversión de $1.8 millones en dispositivos especializados. A pesar de estas inversiones, los esfuerzos en seguridad han sido implementados sin una estrategia integral que garantice su coordinación y efectividad en todos los planteles escolares.</w:t>
      </w:r>
    </w:p>
    <w:p w14:paraId="431F1264" w14:textId="77777777" w:rsidR="0085283D" w:rsidRPr="008C3D6A" w:rsidRDefault="0085283D" w:rsidP="0085283D">
      <w:pPr>
        <w:ind w:firstLine="567"/>
        <w:jc w:val="both"/>
        <w:rPr>
          <w:rFonts w:ascii="Book Antiqua" w:hAnsi="Book Antiqua"/>
          <w:szCs w:val="24"/>
          <w:lang w:val="es-PR"/>
        </w:rPr>
      </w:pPr>
    </w:p>
    <w:p w14:paraId="345D3082" w14:textId="77777777"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A pesar de las múltiples iniciativas implementadas para alcanzar la máxima seguridad escolar posible, persisten riesgos y vulnerabilidades que amenazan el bienestar, la paz, la vida y la seguridad de la comunidad educativa en su concepto más amplio. No cabe duda de que el Departamento ha implementado diversas iniciativas en el marco de la política pública educativa, tales como manuales y protocolos para la prevención del </w:t>
      </w:r>
      <w:proofErr w:type="spellStart"/>
      <w:proofErr w:type="gramStart"/>
      <w:r w:rsidRPr="008C3D6A">
        <w:rPr>
          <w:rFonts w:ascii="Book Antiqua" w:hAnsi="Book Antiqua"/>
          <w:szCs w:val="24"/>
          <w:lang w:val="es-PR"/>
        </w:rPr>
        <w:t>bullying</w:t>
      </w:r>
      <w:proofErr w:type="spellEnd"/>
      <w:proofErr w:type="gramEnd"/>
      <w:r w:rsidRPr="008C3D6A">
        <w:rPr>
          <w:rFonts w:ascii="Book Antiqua" w:hAnsi="Book Antiqua"/>
          <w:szCs w:val="24"/>
          <w:lang w:val="es-PR"/>
        </w:rPr>
        <w:t xml:space="preserve"> y la respuesta ante tiradores activos. Sin embargo, ¿Cómo podemos afirmar que nuestras escuelas son espacios plenamente seguros si no contamos con un mecanismo sistemático que identifique, evalúe y mitigue estos riesgos de forma integral? Es imperativo abordar estas áreas de preocupación para garantizar entornos de aprendizaje completamente seguros y propicios para el desarrollo integral de nuestros estudiantes. En este contexto, el protocolo propuesto en esta Ley se presenta como una herramienta fundamental no solo para la gestión pública, sino también para la formulación de estrategias gubernamentales y el fortalecimiento de la organización comunitaria y familiar en torno a la seguridad escolar.</w:t>
      </w:r>
    </w:p>
    <w:p w14:paraId="28EAD48D" w14:textId="77777777" w:rsidR="0085283D" w:rsidRPr="008C3D6A" w:rsidRDefault="0085283D" w:rsidP="0085283D">
      <w:pPr>
        <w:ind w:firstLine="567"/>
        <w:jc w:val="both"/>
        <w:rPr>
          <w:rFonts w:ascii="Book Antiqua" w:hAnsi="Book Antiqua"/>
          <w:szCs w:val="24"/>
          <w:lang w:val="es-PR"/>
        </w:rPr>
      </w:pPr>
    </w:p>
    <w:p w14:paraId="761AC151" w14:textId="6E597DFA"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Aunque estamos convencidos de que la seguridad escolar abarca mucho más que la prevención de la violencia y los </w:t>
      </w:r>
      <w:r w:rsidR="008F68C2" w:rsidRPr="008C3D6A">
        <w:rPr>
          <w:rFonts w:ascii="Book Antiqua" w:hAnsi="Book Antiqua"/>
          <w:szCs w:val="24"/>
          <w:lang w:val="es-PR"/>
        </w:rPr>
        <w:t>delitos</w:t>
      </w:r>
      <w:r w:rsidRPr="008C3D6A">
        <w:rPr>
          <w:rFonts w:ascii="Book Antiqua" w:hAnsi="Book Antiqua"/>
          <w:szCs w:val="24"/>
          <w:lang w:val="es-PR"/>
        </w:rPr>
        <w:t xml:space="preserve"> es imprescindible contextualizar los eventos recientes que evidencian la necesidad de fortalecer las medidas de seguridad en nuestros planteles. En marzo de 2022, estudiantes de la escuela Stella Márquez en Salinas fueron removidos del plantel tras grabarse portando armas blancas y emitiendo amenazas desde el interior de la institución. Asimismo, en diciembre de 2022, una directora sorprendió a un estudiante con una pistola en una escuela de San Juan, lo que generó preocupación entre la comunidad educativa. Además, en septiembre de 2024, un adolescente de 16 años fue herido de bala frente a la escuela intermedia Ana María Negrón, en el barrio Barinas de Yauco, cuando se disponía a abordar un vehículo para ir a unas terapias. Este menor estaba cumpliendo probatoria por faltas a la Ley de Sustancias Controladas.</w:t>
      </w:r>
    </w:p>
    <w:p w14:paraId="27A83C6A" w14:textId="77777777" w:rsidR="0085283D" w:rsidRPr="008C3D6A" w:rsidRDefault="0085283D" w:rsidP="0085283D">
      <w:pPr>
        <w:ind w:firstLine="567"/>
        <w:jc w:val="both"/>
        <w:rPr>
          <w:rFonts w:ascii="Book Antiqua" w:hAnsi="Book Antiqua"/>
          <w:szCs w:val="24"/>
          <w:lang w:val="es-PR"/>
        </w:rPr>
      </w:pPr>
    </w:p>
    <w:p w14:paraId="7B773550" w14:textId="6E7D9E6F"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Además de los factores de seguridad relacionados con la criminalidad, es esencial abordar otros aspectos como la conducta estudiantil, incluyendo el </w:t>
      </w:r>
      <w:proofErr w:type="spellStart"/>
      <w:proofErr w:type="gramStart"/>
      <w:r w:rsidRPr="008C3D6A">
        <w:rPr>
          <w:rFonts w:ascii="Book Antiqua" w:hAnsi="Book Antiqua"/>
          <w:szCs w:val="24"/>
          <w:lang w:val="es-PR"/>
        </w:rPr>
        <w:t>bullying</w:t>
      </w:r>
      <w:proofErr w:type="spellEnd"/>
      <w:proofErr w:type="gramEnd"/>
      <w:r w:rsidRPr="008C3D6A">
        <w:rPr>
          <w:rFonts w:ascii="Book Antiqua" w:hAnsi="Book Antiqua"/>
          <w:szCs w:val="24"/>
          <w:lang w:val="es-PR"/>
        </w:rPr>
        <w:t>,</w:t>
      </w:r>
      <w:r w:rsidR="0085283D">
        <w:rPr>
          <w:rFonts w:ascii="Book Antiqua" w:hAnsi="Book Antiqua"/>
          <w:szCs w:val="24"/>
          <w:lang w:val="es-PR"/>
        </w:rPr>
        <w:t xml:space="preserve"> </w:t>
      </w:r>
      <w:r w:rsidRPr="008C3D6A">
        <w:rPr>
          <w:rFonts w:ascii="Book Antiqua" w:hAnsi="Book Antiqua"/>
          <w:szCs w:val="24"/>
          <w:lang w:val="es-PR"/>
        </w:rPr>
        <w:t xml:space="preserve">el hostigamiento y la cohesión entre estudiantes y facultad. De igual forma, </w:t>
      </w:r>
      <w:r w:rsidR="00F935E8">
        <w:rPr>
          <w:rFonts w:ascii="Book Antiqua" w:hAnsi="Book Antiqua"/>
          <w:szCs w:val="24"/>
          <w:lang w:val="es-PR"/>
        </w:rPr>
        <w:t xml:space="preserve">debemos considerar </w:t>
      </w:r>
      <w:r w:rsidRPr="008C3D6A">
        <w:rPr>
          <w:rFonts w:ascii="Book Antiqua" w:hAnsi="Book Antiqua"/>
          <w:szCs w:val="24"/>
          <w:lang w:val="es-PR"/>
        </w:rPr>
        <w:t xml:space="preserve">la infraestructura escolar </w:t>
      </w:r>
      <w:r w:rsidR="00F935E8">
        <w:rPr>
          <w:rFonts w:ascii="Book Antiqua" w:hAnsi="Book Antiqua"/>
          <w:szCs w:val="24"/>
          <w:lang w:val="es-PR"/>
        </w:rPr>
        <w:t xml:space="preserve">cuando se </w:t>
      </w:r>
      <w:r w:rsidRPr="008C3D6A">
        <w:rPr>
          <w:rFonts w:ascii="Book Antiqua" w:hAnsi="Book Antiqua"/>
          <w:szCs w:val="24"/>
          <w:lang w:val="es-PR"/>
        </w:rPr>
        <w:t xml:space="preserve">requiere atención urgente, especialmente en lo que respecta a su adecuación a los códigos de construcción vigentes y su capacidad de resistir fenómenos atmosféricos extremos. También es clave considerar el ambiente </w:t>
      </w:r>
      <w:r w:rsidRPr="008C3D6A">
        <w:rPr>
          <w:rFonts w:ascii="Book Antiqua" w:hAnsi="Book Antiqua"/>
          <w:szCs w:val="24"/>
          <w:lang w:val="es-PR"/>
        </w:rPr>
        <w:lastRenderedPageBreak/>
        <w:t>comunitario, dado que la seguridad en el entorno escolar está intrínsecamente vinculada a la seguridad en las áreas circundantes a los planteles.</w:t>
      </w:r>
    </w:p>
    <w:p w14:paraId="5B237182" w14:textId="77777777" w:rsidR="0085283D" w:rsidRPr="008C3D6A" w:rsidRDefault="0085283D" w:rsidP="0085283D">
      <w:pPr>
        <w:ind w:firstLine="567"/>
        <w:jc w:val="both"/>
        <w:rPr>
          <w:rFonts w:ascii="Book Antiqua" w:hAnsi="Book Antiqua"/>
          <w:szCs w:val="24"/>
          <w:lang w:val="es-PR"/>
        </w:rPr>
      </w:pPr>
    </w:p>
    <w:p w14:paraId="274525B1" w14:textId="77777777"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Uno de los problemas principales que ha identificado el Departamento de Educación es que los directores escolares no procesan actas de incidentes para evitar la exposición de que su plantel no es seguro. Además, existe reserva en tomar acciones gubernamentales por temor a que se infundan alegaciones de violación de derechos o discriminación contra sectores específicos de la población.</w:t>
      </w:r>
    </w:p>
    <w:p w14:paraId="22EA2D17" w14:textId="77777777" w:rsidR="0085283D" w:rsidRPr="008C3D6A" w:rsidRDefault="0085283D" w:rsidP="0085283D">
      <w:pPr>
        <w:ind w:firstLine="567"/>
        <w:jc w:val="both"/>
        <w:rPr>
          <w:rFonts w:ascii="Book Antiqua" w:hAnsi="Book Antiqua"/>
          <w:szCs w:val="24"/>
          <w:lang w:val="es-PR"/>
        </w:rPr>
      </w:pPr>
    </w:p>
    <w:p w14:paraId="674EF00F" w14:textId="744B0F82" w:rsidR="00E36F69" w:rsidRDefault="008C3D6A" w:rsidP="0085283D">
      <w:pPr>
        <w:ind w:firstLine="567"/>
        <w:jc w:val="both"/>
        <w:rPr>
          <w:rFonts w:ascii="Book Antiqua" w:hAnsi="Book Antiqua"/>
          <w:szCs w:val="24"/>
          <w:lang w:val="es-PR"/>
        </w:rPr>
      </w:pPr>
      <w:r w:rsidRPr="008C3D6A">
        <w:rPr>
          <w:rFonts w:ascii="Book Antiqua" w:hAnsi="Book Antiqua"/>
          <w:szCs w:val="24"/>
          <w:lang w:val="es-PR"/>
        </w:rPr>
        <w:t>Estos desafíos se ven agravados por los retos fiscales que enfrenta el sistema educativo, lo que limita los presupuestos destinados al mantenimiento y modernización de las infraestructuras escolares, dificultando la adaptación a los códigos de construcción más modernos y seguros. En este contexto, es indispensable que el Departamento de Educación establezca un protocolo de clasificación de niveles de seguridad escolar que permita identificar, evaluar y mitigar estos riesgos de manera efectiva. El establecimiento de un protocolo de clasificación de niveles de seguridad escolar y la adopción de medidas adaptadas a cada nivel de riesgo permitirán una gestión más eficiente de los recursos y una respuesta más efectiva ante situaciones de emergencia. Esta Ley es un paso fundamental para garantizar que nuestras escuelas sean espacios seguros, resilientes y propicios para el desarrollo integral de nuestros niños y jóvenes</w:t>
      </w:r>
      <w:r w:rsidR="00CC29FD" w:rsidRPr="00CC29FD">
        <w:rPr>
          <w:rFonts w:ascii="Book Antiqua" w:hAnsi="Book Antiqua"/>
          <w:szCs w:val="24"/>
          <w:lang w:val="es-PR"/>
        </w:rPr>
        <w:t>.</w:t>
      </w:r>
    </w:p>
    <w:p w14:paraId="12522BDD" w14:textId="77777777" w:rsidR="000B2013" w:rsidRPr="000B2013" w:rsidRDefault="000B2013" w:rsidP="0085283D">
      <w:pPr>
        <w:ind w:firstLine="567"/>
        <w:jc w:val="both"/>
        <w:rPr>
          <w:rFonts w:ascii="Book Antiqua" w:hAnsi="Book Antiqua"/>
          <w:szCs w:val="24"/>
          <w:lang w:val="es-PR"/>
        </w:rPr>
      </w:pPr>
    </w:p>
    <w:p w14:paraId="7CD855B2" w14:textId="0FAFD36F" w:rsidR="00A5002D" w:rsidRPr="00BE7F3F" w:rsidRDefault="00672BDB" w:rsidP="0085283D">
      <w:pPr>
        <w:pStyle w:val="BodyText2"/>
        <w:tabs>
          <w:tab w:val="clear" w:pos="684"/>
        </w:tabs>
        <w:spacing w:before="0" w:after="0" w:line="480" w:lineRule="auto"/>
        <w:rPr>
          <w:rFonts w:ascii="Book Antiqua" w:hAnsi="Book Antiqua"/>
          <w:i/>
          <w:szCs w:val="24"/>
          <w:lang w:val="es-ES"/>
        </w:rPr>
        <w:sectPr w:rsidR="00A5002D" w:rsidRPr="00BE7F3F" w:rsidSect="00B41B01">
          <w:headerReference w:type="default" r:id="rId8"/>
          <w:type w:val="continuous"/>
          <w:pgSz w:w="12240" w:h="15840" w:code="1"/>
          <w:pgMar w:top="1440" w:right="1440" w:bottom="1440" w:left="1440" w:header="720" w:footer="720" w:gutter="0"/>
          <w:cols w:space="720"/>
          <w:titlePg/>
        </w:sectPr>
      </w:pPr>
      <w:r w:rsidRPr="00BE7F3F">
        <w:rPr>
          <w:rFonts w:ascii="Book Antiqua" w:hAnsi="Book Antiqua"/>
          <w:i/>
          <w:szCs w:val="24"/>
          <w:lang w:val="es-ES"/>
        </w:rPr>
        <w:t xml:space="preserve">DECRÉTASE </w:t>
      </w:r>
      <w:r w:rsidR="006E2E0B" w:rsidRPr="00BE7F3F">
        <w:rPr>
          <w:rFonts w:ascii="Book Antiqua" w:hAnsi="Book Antiqua"/>
          <w:i/>
          <w:szCs w:val="24"/>
          <w:lang w:val="es-ES"/>
        </w:rPr>
        <w:t>POR LA ASAMBLEA LEGISLATIVA DE PUERTO RICO:</w:t>
      </w:r>
    </w:p>
    <w:p w14:paraId="3BAD0F9A" w14:textId="0ECD94BB" w:rsidR="0000277F" w:rsidRPr="00D81944" w:rsidRDefault="00846BCC" w:rsidP="0085283D">
      <w:pPr>
        <w:spacing w:line="480" w:lineRule="auto"/>
        <w:ind w:firstLine="567"/>
        <w:jc w:val="both"/>
        <w:rPr>
          <w:rFonts w:ascii="Book Antiqua" w:hAnsi="Book Antiqua"/>
          <w:lang w:val="es-ES"/>
        </w:rPr>
      </w:pPr>
      <w:r w:rsidRPr="00BE7F3F">
        <w:rPr>
          <w:rFonts w:ascii="Book Antiqua" w:hAnsi="Book Antiqua"/>
          <w:szCs w:val="24"/>
          <w:lang w:val="es-ES"/>
        </w:rPr>
        <w:tab/>
      </w:r>
      <w:r w:rsidRPr="00D81944">
        <w:rPr>
          <w:rFonts w:ascii="Book Antiqua" w:hAnsi="Book Antiqua"/>
          <w:szCs w:val="24"/>
          <w:lang w:val="es-ES"/>
        </w:rPr>
        <w:t>Artículo 1.</w:t>
      </w:r>
      <w:r w:rsidR="00822D6D" w:rsidRPr="00D81944">
        <w:rPr>
          <w:rFonts w:ascii="Book Antiqua" w:hAnsi="Book Antiqua"/>
          <w:szCs w:val="24"/>
          <w:lang w:val="es-ES"/>
        </w:rPr>
        <w:t>-</w:t>
      </w:r>
      <w:r w:rsidR="004D0C31" w:rsidRPr="00D81944">
        <w:rPr>
          <w:rFonts w:ascii="Book Antiqua" w:hAnsi="Book Antiqua"/>
          <w:lang w:val="es-PR"/>
        </w:rPr>
        <w:t>Esta Ley se conocerá como "</w:t>
      </w:r>
      <w:r w:rsidR="00CF1FA0" w:rsidRPr="00D81944">
        <w:rPr>
          <w:rFonts w:ascii="Book Antiqua" w:hAnsi="Book Antiqua"/>
          <w:lang w:val="es-PR"/>
        </w:rPr>
        <w:t>Ley para el establecimiento de un protocolo de clasificación de niveles de seguridad escolar en los planteles del Departamento de Educación de Puerto Rico</w:t>
      </w:r>
      <w:r w:rsidR="004D0C31" w:rsidRPr="00D81944">
        <w:rPr>
          <w:rFonts w:ascii="Book Antiqua" w:hAnsi="Book Antiqua"/>
          <w:lang w:val="es-PR"/>
        </w:rPr>
        <w:t>"</w:t>
      </w:r>
      <w:r w:rsidR="002D7A14" w:rsidRPr="00D81944">
        <w:rPr>
          <w:rFonts w:ascii="Book Antiqua" w:hAnsi="Book Antiqua"/>
          <w:lang w:val="es-ES"/>
        </w:rPr>
        <w:t xml:space="preserve">. </w:t>
      </w:r>
    </w:p>
    <w:p w14:paraId="1BFD06CB" w14:textId="7923128B" w:rsidR="008608CF" w:rsidRPr="008608CF" w:rsidRDefault="008608CF" w:rsidP="0085283D">
      <w:pPr>
        <w:spacing w:line="480" w:lineRule="auto"/>
        <w:ind w:firstLine="567"/>
        <w:jc w:val="both"/>
        <w:rPr>
          <w:rFonts w:ascii="Book Antiqua" w:hAnsi="Book Antiqua"/>
          <w:lang w:val="es-PR"/>
        </w:rPr>
      </w:pPr>
      <w:r w:rsidRPr="008608CF">
        <w:rPr>
          <w:rFonts w:ascii="Book Antiqua" w:hAnsi="Book Antiqua"/>
          <w:lang w:val="es-PR"/>
        </w:rPr>
        <w:t>Artículo 2.-Definiciones.</w:t>
      </w:r>
      <w:r w:rsidR="00211507">
        <w:rPr>
          <w:rFonts w:ascii="Book Antiqua" w:hAnsi="Book Antiqua"/>
          <w:lang w:val="es-PR"/>
        </w:rPr>
        <w:t xml:space="preserve"> </w:t>
      </w:r>
      <w:r w:rsidRPr="008608CF">
        <w:rPr>
          <w:rFonts w:ascii="Book Antiqua" w:hAnsi="Book Antiqua"/>
          <w:lang w:val="es-PR"/>
        </w:rPr>
        <w:t>Para efectos de esta Ley, los siguientes términos tendrán el significado que a continuación se indica:</w:t>
      </w:r>
    </w:p>
    <w:p w14:paraId="6560647C" w14:textId="73E6BDA9" w:rsidR="00DA4832" w:rsidRPr="006F2754" w:rsidRDefault="00DA4832" w:rsidP="00192E82">
      <w:pPr>
        <w:pStyle w:val="ListParagraph"/>
        <w:numPr>
          <w:ilvl w:val="0"/>
          <w:numId w:val="29"/>
        </w:numPr>
        <w:spacing w:line="480" w:lineRule="auto"/>
        <w:ind w:left="1530" w:hanging="396"/>
        <w:jc w:val="both"/>
        <w:rPr>
          <w:rFonts w:ascii="Book Antiqua" w:hAnsi="Book Antiqua"/>
          <w:lang w:val="es-PR"/>
        </w:rPr>
      </w:pPr>
      <w:r w:rsidRPr="006F2754">
        <w:rPr>
          <w:rFonts w:ascii="Book Antiqua" w:hAnsi="Book Antiqua"/>
          <w:lang w:val="es-PR"/>
        </w:rPr>
        <w:t>Departamento: El Departamento de Educación del Gobierno de Puerto Rico.</w:t>
      </w:r>
    </w:p>
    <w:p w14:paraId="00EA57CC" w14:textId="2B8EB4AE" w:rsidR="008D7BBF" w:rsidRDefault="00DA4832" w:rsidP="00192E82">
      <w:pPr>
        <w:pStyle w:val="ListParagraph"/>
        <w:numPr>
          <w:ilvl w:val="0"/>
          <w:numId w:val="29"/>
        </w:numPr>
        <w:spacing w:line="480" w:lineRule="auto"/>
        <w:ind w:left="1530" w:hanging="396"/>
        <w:jc w:val="both"/>
        <w:rPr>
          <w:rFonts w:ascii="Book Antiqua" w:hAnsi="Book Antiqua"/>
          <w:lang w:val="es-PR"/>
        </w:rPr>
      </w:pPr>
      <w:r w:rsidRPr="006F2754">
        <w:rPr>
          <w:rFonts w:ascii="Book Antiqua" w:hAnsi="Book Antiqua"/>
          <w:lang w:val="es-PR"/>
        </w:rPr>
        <w:t>Escuela: Institución educativa pública o privada que haya sido certificada o acreditada por el Departamento de Educación de Puerto Rico.</w:t>
      </w:r>
    </w:p>
    <w:p w14:paraId="1437B664" w14:textId="44E0E4CC" w:rsidR="00DA4832" w:rsidRPr="008D7BBF" w:rsidRDefault="00DA4832" w:rsidP="00192E82">
      <w:pPr>
        <w:pStyle w:val="ListParagraph"/>
        <w:numPr>
          <w:ilvl w:val="0"/>
          <w:numId w:val="29"/>
        </w:numPr>
        <w:spacing w:line="480" w:lineRule="auto"/>
        <w:ind w:left="1530" w:hanging="396"/>
        <w:jc w:val="both"/>
        <w:rPr>
          <w:rFonts w:ascii="Book Antiqua" w:hAnsi="Book Antiqua"/>
          <w:lang w:val="es-PR"/>
        </w:rPr>
      </w:pPr>
      <w:r w:rsidRPr="008D7BBF">
        <w:rPr>
          <w:rFonts w:ascii="Book Antiqua" w:hAnsi="Book Antiqua"/>
          <w:lang w:val="es-PR"/>
        </w:rPr>
        <w:lastRenderedPageBreak/>
        <w:t>Medidas de Seguridad: Acciones, procedimientos o dispositivos implementados para minimizar los riesgos identificados en los planteles escolares.</w:t>
      </w:r>
    </w:p>
    <w:p w14:paraId="385CE974" w14:textId="318E783C" w:rsidR="00DA4832" w:rsidRPr="00DA4832" w:rsidRDefault="00DA4832" w:rsidP="00192E82">
      <w:pPr>
        <w:numPr>
          <w:ilvl w:val="0"/>
          <w:numId w:val="29"/>
        </w:numPr>
        <w:tabs>
          <w:tab w:val="num" w:pos="720"/>
        </w:tabs>
        <w:spacing w:line="480" w:lineRule="auto"/>
        <w:ind w:left="1530" w:hanging="396"/>
        <w:jc w:val="both"/>
        <w:rPr>
          <w:rFonts w:ascii="Book Antiqua" w:hAnsi="Book Antiqua"/>
          <w:lang w:val="es-PR"/>
        </w:rPr>
      </w:pPr>
      <w:r w:rsidRPr="00DA4832">
        <w:rPr>
          <w:rFonts w:ascii="Book Antiqua" w:hAnsi="Book Antiqua"/>
          <w:lang w:val="es-PR"/>
        </w:rPr>
        <w:t>Protocolo: Conjunto de procedimientos, directrices y criterios establecidos por el Departamento para evaluar, clasificar y gestionar los niveles de seguridad escolar en los planteles.</w:t>
      </w:r>
    </w:p>
    <w:p w14:paraId="176888F0" w14:textId="563F1421" w:rsidR="006F2754" w:rsidRDefault="00BA50FB" w:rsidP="00D81944">
      <w:pPr>
        <w:spacing w:line="480" w:lineRule="auto"/>
        <w:ind w:firstLine="720"/>
        <w:jc w:val="both"/>
        <w:rPr>
          <w:rFonts w:ascii="Book Antiqua" w:hAnsi="Book Antiqua"/>
          <w:lang w:val="es-ES"/>
        </w:rPr>
      </w:pPr>
      <w:r w:rsidRPr="00BA50FB">
        <w:rPr>
          <w:rFonts w:ascii="Book Antiqua" w:hAnsi="Book Antiqua"/>
          <w:lang w:val="es-ES"/>
        </w:rPr>
        <w:t>Artículo 3.-Obligación del Departamento de Educación. El Departamento estará obligado a:</w:t>
      </w:r>
    </w:p>
    <w:p w14:paraId="69225BCF" w14:textId="77777777" w:rsidR="006F2754" w:rsidRDefault="00BA50FB" w:rsidP="00192E82">
      <w:pPr>
        <w:pStyle w:val="ListParagraph"/>
        <w:numPr>
          <w:ilvl w:val="0"/>
          <w:numId w:val="30"/>
        </w:numPr>
        <w:spacing w:line="480" w:lineRule="auto"/>
        <w:ind w:left="1530" w:hanging="396"/>
        <w:jc w:val="both"/>
        <w:rPr>
          <w:rFonts w:ascii="Book Antiqua" w:hAnsi="Book Antiqua"/>
          <w:lang w:val="es-ES"/>
        </w:rPr>
      </w:pPr>
      <w:r w:rsidRPr="006F2754">
        <w:rPr>
          <w:rFonts w:ascii="Book Antiqua" w:hAnsi="Book Antiqua"/>
          <w:lang w:val="es-ES"/>
        </w:rPr>
        <w:t xml:space="preserve">Establecer un protocolo de clasificación de niveles de seguridad escolar </w:t>
      </w:r>
      <w:r w:rsidR="006F2754">
        <w:rPr>
          <w:rFonts w:ascii="Book Antiqua" w:hAnsi="Book Antiqua"/>
          <w:lang w:val="es-ES"/>
        </w:rPr>
        <w:t>para</w:t>
      </w:r>
      <w:r w:rsidRPr="006F2754">
        <w:rPr>
          <w:rFonts w:ascii="Book Antiqua" w:hAnsi="Book Antiqua"/>
          <w:lang w:val="es-ES"/>
        </w:rPr>
        <w:t xml:space="preserve"> tod</w:t>
      </w:r>
      <w:r w:rsidR="006F2754">
        <w:rPr>
          <w:rFonts w:ascii="Book Antiqua" w:hAnsi="Book Antiqua"/>
          <w:lang w:val="es-ES"/>
        </w:rPr>
        <w:t>as las escuelas</w:t>
      </w:r>
      <w:r w:rsidRPr="006F2754">
        <w:rPr>
          <w:rFonts w:ascii="Book Antiqua" w:hAnsi="Book Antiqua"/>
          <w:lang w:val="es-ES"/>
        </w:rPr>
        <w:t>.</w:t>
      </w:r>
    </w:p>
    <w:p w14:paraId="749D7BD4" w14:textId="06744DB1" w:rsidR="006F2754" w:rsidRDefault="00BA50FB" w:rsidP="00192E82">
      <w:pPr>
        <w:pStyle w:val="ListParagraph"/>
        <w:numPr>
          <w:ilvl w:val="0"/>
          <w:numId w:val="30"/>
        </w:numPr>
        <w:spacing w:line="480" w:lineRule="auto"/>
        <w:ind w:left="1530" w:hanging="396"/>
        <w:jc w:val="both"/>
        <w:rPr>
          <w:rFonts w:ascii="Book Antiqua" w:hAnsi="Book Antiqua"/>
          <w:lang w:val="es-ES"/>
        </w:rPr>
      </w:pPr>
      <w:r w:rsidRPr="006F2754">
        <w:rPr>
          <w:rFonts w:ascii="Book Antiqua" w:hAnsi="Book Antiqua"/>
          <w:lang w:val="es-ES"/>
        </w:rPr>
        <w:t>Definir los criterios específicos para la evaluación de la seguridad en</w:t>
      </w:r>
      <w:r w:rsidR="00BC6644">
        <w:rPr>
          <w:rFonts w:ascii="Book Antiqua" w:hAnsi="Book Antiqua"/>
          <w:lang w:val="es-ES"/>
        </w:rPr>
        <w:t xml:space="preserve"> las escuelas</w:t>
      </w:r>
      <w:r w:rsidRPr="006F2754">
        <w:rPr>
          <w:rFonts w:ascii="Book Antiqua" w:hAnsi="Book Antiqua"/>
          <w:lang w:val="es-ES"/>
        </w:rPr>
        <w:t>, considerando factores de criminalidad, vulnerabilidad estructural, riesgos ambientales y sociales</w:t>
      </w:r>
      <w:r w:rsidR="006F2754">
        <w:rPr>
          <w:rFonts w:ascii="Book Antiqua" w:hAnsi="Book Antiqua"/>
          <w:lang w:val="es-ES"/>
        </w:rPr>
        <w:t>, entre otros</w:t>
      </w:r>
      <w:r w:rsidRPr="006F2754">
        <w:rPr>
          <w:rFonts w:ascii="Book Antiqua" w:hAnsi="Book Antiqua"/>
          <w:lang w:val="es-ES"/>
        </w:rPr>
        <w:t>.</w:t>
      </w:r>
    </w:p>
    <w:p w14:paraId="3D134781" w14:textId="21CC0B07" w:rsidR="008D3334" w:rsidRDefault="00BA50FB" w:rsidP="00192E82">
      <w:pPr>
        <w:pStyle w:val="ListParagraph"/>
        <w:numPr>
          <w:ilvl w:val="0"/>
          <w:numId w:val="30"/>
        </w:numPr>
        <w:spacing w:line="480" w:lineRule="auto"/>
        <w:ind w:left="1530" w:hanging="396"/>
        <w:jc w:val="both"/>
        <w:rPr>
          <w:rFonts w:ascii="Book Antiqua" w:hAnsi="Book Antiqua"/>
          <w:lang w:val="es-ES"/>
        </w:rPr>
      </w:pPr>
      <w:r w:rsidRPr="006F2754">
        <w:rPr>
          <w:rFonts w:ascii="Book Antiqua" w:hAnsi="Book Antiqua"/>
          <w:lang w:val="es-ES"/>
        </w:rPr>
        <w:t xml:space="preserve">Implementar medidas de seguridad </w:t>
      </w:r>
      <w:r w:rsidR="008D7BBF">
        <w:rPr>
          <w:rFonts w:ascii="Book Antiqua" w:hAnsi="Book Antiqua"/>
          <w:lang w:val="es-ES"/>
        </w:rPr>
        <w:t>para responder</w:t>
      </w:r>
      <w:r w:rsidRPr="006F2754">
        <w:rPr>
          <w:rFonts w:ascii="Book Antiqua" w:hAnsi="Book Antiqua"/>
          <w:lang w:val="es-ES"/>
        </w:rPr>
        <w:t xml:space="preserve"> </w:t>
      </w:r>
      <w:r w:rsidR="006F2754">
        <w:rPr>
          <w:rFonts w:ascii="Book Antiqua" w:hAnsi="Book Antiqua"/>
          <w:lang w:val="es-ES"/>
        </w:rPr>
        <w:t>a cada</w:t>
      </w:r>
      <w:r w:rsidRPr="006F2754">
        <w:rPr>
          <w:rFonts w:ascii="Book Antiqua" w:hAnsi="Book Antiqua"/>
          <w:lang w:val="es-ES"/>
        </w:rPr>
        <w:t xml:space="preserve"> nivel de </w:t>
      </w:r>
      <w:r w:rsidR="008D7BBF">
        <w:rPr>
          <w:rFonts w:ascii="Book Antiqua" w:hAnsi="Book Antiqua"/>
          <w:lang w:val="es-ES"/>
        </w:rPr>
        <w:t>seguridad</w:t>
      </w:r>
      <w:r w:rsidRPr="006F2754">
        <w:rPr>
          <w:rFonts w:ascii="Book Antiqua" w:hAnsi="Book Antiqua"/>
          <w:lang w:val="es-ES"/>
        </w:rPr>
        <w:t>.</w:t>
      </w:r>
    </w:p>
    <w:p w14:paraId="74150F30" w14:textId="6FB3E4D5" w:rsidR="008D3334" w:rsidRDefault="00BA50FB" w:rsidP="00192E82">
      <w:pPr>
        <w:pStyle w:val="ListParagraph"/>
        <w:numPr>
          <w:ilvl w:val="0"/>
          <w:numId w:val="30"/>
        </w:numPr>
        <w:spacing w:line="480" w:lineRule="auto"/>
        <w:ind w:left="1530" w:hanging="396"/>
        <w:jc w:val="both"/>
        <w:rPr>
          <w:rFonts w:ascii="Book Antiqua" w:hAnsi="Book Antiqua"/>
          <w:lang w:val="es-ES"/>
        </w:rPr>
      </w:pPr>
      <w:r w:rsidRPr="008D3334">
        <w:rPr>
          <w:rFonts w:ascii="Book Antiqua" w:hAnsi="Book Antiqua"/>
          <w:lang w:val="es-ES"/>
        </w:rPr>
        <w:t>Mantener público y actualizado un registro de las clasificaciones de</w:t>
      </w:r>
      <w:r w:rsidR="00A87421">
        <w:rPr>
          <w:rFonts w:ascii="Book Antiqua" w:hAnsi="Book Antiqua"/>
          <w:lang w:val="es-ES"/>
        </w:rPr>
        <w:t xml:space="preserve"> seguridad de</w:t>
      </w:r>
      <w:r w:rsidRPr="008D3334">
        <w:rPr>
          <w:rFonts w:ascii="Book Antiqua" w:hAnsi="Book Antiqua"/>
          <w:lang w:val="es-ES"/>
        </w:rPr>
        <w:t xml:space="preserve"> todas las escuelas, así como proveer dicha información en línea para el fácil acceso y consideración de la ciudadanía.</w:t>
      </w:r>
    </w:p>
    <w:p w14:paraId="6A725E00" w14:textId="3D8E6141" w:rsidR="00BE7F3F" w:rsidRPr="008D3334" w:rsidRDefault="00BA50FB" w:rsidP="00192E82">
      <w:pPr>
        <w:pStyle w:val="ListParagraph"/>
        <w:numPr>
          <w:ilvl w:val="0"/>
          <w:numId w:val="30"/>
        </w:numPr>
        <w:spacing w:line="480" w:lineRule="auto"/>
        <w:ind w:left="1530" w:hanging="396"/>
        <w:jc w:val="both"/>
        <w:rPr>
          <w:rFonts w:ascii="Book Antiqua" w:hAnsi="Book Antiqua"/>
          <w:lang w:val="es-ES"/>
        </w:rPr>
      </w:pPr>
      <w:r w:rsidRPr="008D3334">
        <w:rPr>
          <w:rFonts w:ascii="Book Antiqua" w:hAnsi="Book Antiqua"/>
          <w:lang w:val="es-ES"/>
        </w:rPr>
        <w:t xml:space="preserve">Asegurarse de que cada director escolar, so pena de sanciones, remita informes semanales, mensuales, trimestrales, semestrales y anuales que permitan mantener los datos sobre incidentes que amenazan la seguridad en </w:t>
      </w:r>
      <w:r w:rsidR="00A87421">
        <w:rPr>
          <w:rFonts w:ascii="Book Antiqua" w:hAnsi="Book Antiqua"/>
          <w:lang w:val="es-ES"/>
        </w:rPr>
        <w:t>las escuelas</w:t>
      </w:r>
      <w:r w:rsidRPr="008D3334">
        <w:rPr>
          <w:rFonts w:ascii="Book Antiqua" w:hAnsi="Book Antiqua"/>
          <w:lang w:val="es-ES"/>
        </w:rPr>
        <w:t>, de modo que pueda ser una herramienta útil multisectorial.</w:t>
      </w:r>
    </w:p>
    <w:p w14:paraId="213E12C8" w14:textId="7ECBA9B5" w:rsidR="00070D7E" w:rsidRPr="00070D7E" w:rsidRDefault="00070D7E" w:rsidP="00D81944">
      <w:pPr>
        <w:spacing w:line="480" w:lineRule="auto"/>
        <w:ind w:firstLine="720"/>
        <w:jc w:val="both"/>
        <w:rPr>
          <w:rFonts w:ascii="Book Antiqua" w:hAnsi="Book Antiqua"/>
          <w:lang w:val="es-PR"/>
        </w:rPr>
      </w:pPr>
      <w:r w:rsidRPr="00070D7E">
        <w:rPr>
          <w:rFonts w:ascii="Book Antiqua" w:hAnsi="Book Antiqua"/>
          <w:lang w:val="es-PR"/>
        </w:rPr>
        <w:lastRenderedPageBreak/>
        <w:t>Artículo 4.-Criterios para la Clasificación de Niveles de Seguridad Escolar.</w:t>
      </w:r>
      <w:r w:rsidRPr="00070D7E">
        <w:rPr>
          <w:rFonts w:ascii="Book Antiqua" w:hAnsi="Book Antiqua"/>
          <w:lang w:val="es-PR"/>
        </w:rPr>
        <w:br/>
        <w:t xml:space="preserve">El Departamento establecerá </w:t>
      </w:r>
      <w:r w:rsidR="00374DA7">
        <w:rPr>
          <w:rFonts w:ascii="Book Antiqua" w:hAnsi="Book Antiqua"/>
          <w:lang w:val="es-PR"/>
        </w:rPr>
        <w:t>en el protocolo</w:t>
      </w:r>
      <w:r w:rsidRPr="00070D7E">
        <w:rPr>
          <w:rFonts w:ascii="Book Antiqua" w:hAnsi="Book Antiqua"/>
          <w:lang w:val="es-PR"/>
        </w:rPr>
        <w:t xml:space="preserve"> los criterios específicos para clasificar </w:t>
      </w:r>
      <w:r w:rsidR="00374DA7">
        <w:rPr>
          <w:rFonts w:ascii="Book Antiqua" w:hAnsi="Book Antiqua"/>
          <w:lang w:val="es-PR"/>
        </w:rPr>
        <w:t>el nivel de seguridad de una escuela</w:t>
      </w:r>
      <w:r w:rsidRPr="00070D7E">
        <w:rPr>
          <w:rFonts w:ascii="Book Antiqua" w:hAnsi="Book Antiqua"/>
          <w:lang w:val="es-PR"/>
        </w:rPr>
        <w:t>, considerando:</w:t>
      </w:r>
    </w:p>
    <w:p w14:paraId="28E4A091" w14:textId="3F4394E7" w:rsidR="00070D7E" w:rsidRP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Estadísticas de incidentes violentos, delitos relacionados con armas, drogas,</w:t>
      </w:r>
      <w:r>
        <w:rPr>
          <w:rFonts w:ascii="Book Antiqua" w:hAnsi="Book Antiqua"/>
          <w:lang w:val="es-PR"/>
        </w:rPr>
        <w:t xml:space="preserve"> alcohol, tabaco, cigarrillos electrónicos</w:t>
      </w:r>
      <w:r w:rsidR="00425DEE">
        <w:rPr>
          <w:rFonts w:ascii="Book Antiqua" w:hAnsi="Book Antiqua"/>
          <w:lang w:val="es-PR"/>
        </w:rPr>
        <w:t>,</w:t>
      </w:r>
      <w:r w:rsidRPr="00070D7E">
        <w:rPr>
          <w:rFonts w:ascii="Book Antiqua" w:hAnsi="Book Antiqua"/>
          <w:lang w:val="es-PR"/>
        </w:rPr>
        <w:t xml:space="preserve"> acoso escolar</w:t>
      </w:r>
      <w:r w:rsidR="00425DEE">
        <w:rPr>
          <w:rFonts w:ascii="Book Antiqua" w:hAnsi="Book Antiqua"/>
          <w:lang w:val="es-PR"/>
        </w:rPr>
        <w:t xml:space="preserve"> entre otros factores de índole criminal</w:t>
      </w:r>
      <w:r w:rsidRPr="00070D7E">
        <w:rPr>
          <w:rFonts w:ascii="Book Antiqua" w:hAnsi="Book Antiqua"/>
          <w:lang w:val="es-PR"/>
        </w:rPr>
        <w:t>.</w:t>
      </w:r>
    </w:p>
    <w:p w14:paraId="4F676F7C" w14:textId="34215759" w:rsid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Vulnerabilidad estructural, incluyendo diseños con columnas cortas,</w:t>
      </w:r>
      <w:r w:rsidR="00F60BB0">
        <w:rPr>
          <w:rFonts w:ascii="Book Antiqua" w:hAnsi="Book Antiqua"/>
          <w:lang w:val="es-PR"/>
        </w:rPr>
        <w:t xml:space="preserve"> planteles con más de un nivel,</w:t>
      </w:r>
      <w:r w:rsidRPr="00070D7E">
        <w:rPr>
          <w:rFonts w:ascii="Book Antiqua" w:hAnsi="Book Antiqua"/>
          <w:lang w:val="es-PR"/>
        </w:rPr>
        <w:t xml:space="preserve"> </w:t>
      </w:r>
      <w:r w:rsidR="00F60BB0">
        <w:rPr>
          <w:rFonts w:ascii="Book Antiqua" w:hAnsi="Book Antiqua"/>
          <w:lang w:val="es-PR"/>
        </w:rPr>
        <w:t>necesidades</w:t>
      </w:r>
      <w:r w:rsidRPr="00070D7E">
        <w:rPr>
          <w:rFonts w:ascii="Book Antiqua" w:hAnsi="Book Antiqua"/>
          <w:lang w:val="es-PR"/>
        </w:rPr>
        <w:t xml:space="preserve"> de mantenimiento</w:t>
      </w:r>
      <w:r w:rsidR="00F60BB0">
        <w:rPr>
          <w:rFonts w:ascii="Book Antiqua" w:hAnsi="Book Antiqua"/>
          <w:lang w:val="es-PR"/>
        </w:rPr>
        <w:t>,</w:t>
      </w:r>
      <w:r w:rsidRPr="00070D7E">
        <w:rPr>
          <w:rFonts w:ascii="Book Antiqua" w:hAnsi="Book Antiqua"/>
          <w:lang w:val="es-PR"/>
        </w:rPr>
        <w:t xml:space="preserve"> cumplimiento con los códigos de construcción actuales</w:t>
      </w:r>
      <w:r w:rsidR="007D2A1C">
        <w:rPr>
          <w:rFonts w:ascii="Book Antiqua" w:hAnsi="Book Antiqua"/>
          <w:lang w:val="es-PR"/>
        </w:rPr>
        <w:t xml:space="preserve">, entre otros </w:t>
      </w:r>
      <w:r w:rsidR="00086A26">
        <w:rPr>
          <w:rFonts w:ascii="Book Antiqua" w:hAnsi="Book Antiqua"/>
          <w:lang w:val="es-PR"/>
        </w:rPr>
        <w:t>afines</w:t>
      </w:r>
      <w:r w:rsidR="007D2A1C">
        <w:rPr>
          <w:rFonts w:ascii="Book Antiqua" w:hAnsi="Book Antiqua"/>
          <w:lang w:val="es-PR"/>
        </w:rPr>
        <w:t xml:space="preserve"> </w:t>
      </w:r>
      <w:r w:rsidR="00086A26">
        <w:rPr>
          <w:rFonts w:ascii="Book Antiqua" w:hAnsi="Book Antiqua"/>
          <w:lang w:val="es-PR"/>
        </w:rPr>
        <w:t>con la</w:t>
      </w:r>
      <w:r w:rsidR="007D2A1C">
        <w:rPr>
          <w:rFonts w:ascii="Book Antiqua" w:hAnsi="Book Antiqua"/>
          <w:lang w:val="es-PR"/>
        </w:rPr>
        <w:t xml:space="preserve"> planta física</w:t>
      </w:r>
      <w:r w:rsidRPr="00070D7E">
        <w:rPr>
          <w:rFonts w:ascii="Book Antiqua" w:hAnsi="Book Antiqua"/>
          <w:lang w:val="es-PR"/>
        </w:rPr>
        <w:t>.</w:t>
      </w:r>
    </w:p>
    <w:p w14:paraId="6739F87D" w14:textId="6CA09A2E" w:rsid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 xml:space="preserve">Exposición a riesgos </w:t>
      </w:r>
      <w:r w:rsidR="007D2A1C">
        <w:rPr>
          <w:rFonts w:ascii="Book Antiqua" w:hAnsi="Book Antiqua"/>
          <w:lang w:val="es-PR"/>
        </w:rPr>
        <w:t xml:space="preserve">por eventos </w:t>
      </w:r>
      <w:r w:rsidRPr="00070D7E">
        <w:rPr>
          <w:rFonts w:ascii="Book Antiqua" w:hAnsi="Book Antiqua"/>
          <w:lang w:val="es-PR"/>
        </w:rPr>
        <w:t>naturales como terremotos, huracanes, maremotos,</w:t>
      </w:r>
      <w:r w:rsidR="007D2A1C">
        <w:rPr>
          <w:rFonts w:ascii="Book Antiqua" w:hAnsi="Book Antiqua"/>
          <w:lang w:val="es-PR"/>
        </w:rPr>
        <w:t xml:space="preserve"> tsunamis,</w:t>
      </w:r>
      <w:r w:rsidRPr="00070D7E">
        <w:rPr>
          <w:rFonts w:ascii="Book Antiqua" w:hAnsi="Book Antiqua"/>
          <w:lang w:val="es-PR"/>
        </w:rPr>
        <w:t xml:space="preserve"> inundaciones</w:t>
      </w:r>
      <w:r w:rsidR="007D2A1C">
        <w:rPr>
          <w:rFonts w:ascii="Book Antiqua" w:hAnsi="Book Antiqua"/>
          <w:lang w:val="es-PR"/>
        </w:rPr>
        <w:t>, fuegos</w:t>
      </w:r>
      <w:r w:rsidR="006A5408">
        <w:rPr>
          <w:rFonts w:ascii="Book Antiqua" w:hAnsi="Book Antiqua"/>
          <w:lang w:val="es-PR"/>
        </w:rPr>
        <w:t>,</w:t>
      </w:r>
      <w:r w:rsidRPr="00070D7E">
        <w:rPr>
          <w:rFonts w:ascii="Book Antiqua" w:hAnsi="Book Antiqua"/>
          <w:lang w:val="es-PR"/>
        </w:rPr>
        <w:t xml:space="preserve"> desbordamientos de ríos</w:t>
      </w:r>
      <w:r w:rsidR="006A5408">
        <w:rPr>
          <w:rFonts w:ascii="Book Antiqua" w:hAnsi="Book Antiqua"/>
          <w:lang w:val="es-PR"/>
        </w:rPr>
        <w:t xml:space="preserve"> entre otros </w:t>
      </w:r>
      <w:r w:rsidR="00086A26">
        <w:rPr>
          <w:rFonts w:ascii="Book Antiqua" w:hAnsi="Book Antiqua"/>
          <w:lang w:val="es-PR"/>
        </w:rPr>
        <w:t>relacionados a fenómenos naturales</w:t>
      </w:r>
      <w:r w:rsidRPr="00070D7E">
        <w:rPr>
          <w:rFonts w:ascii="Book Antiqua" w:hAnsi="Book Antiqua"/>
          <w:lang w:val="es-PR"/>
        </w:rPr>
        <w:t>.</w:t>
      </w:r>
    </w:p>
    <w:p w14:paraId="631A87A5" w14:textId="3C42BC2E" w:rsid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Factores sociales y ambientales, incluyendo la seguridad en la comunidad circundante y la capacidad de respuesta ante emergencias.</w:t>
      </w:r>
    </w:p>
    <w:p w14:paraId="691622F4" w14:textId="67DDB9C9" w:rsidR="00C51F05" w:rsidRDefault="00C51F05" w:rsidP="00D81944">
      <w:pPr>
        <w:spacing w:line="480" w:lineRule="auto"/>
        <w:ind w:firstLine="720"/>
        <w:jc w:val="both"/>
        <w:rPr>
          <w:rFonts w:ascii="Book Antiqua" w:hAnsi="Book Antiqua"/>
          <w:lang w:val="es-PR"/>
        </w:rPr>
      </w:pPr>
      <w:r w:rsidRPr="00C51F05">
        <w:rPr>
          <w:rFonts w:ascii="Book Antiqua" w:hAnsi="Book Antiqua"/>
          <w:lang w:val="es-PR"/>
        </w:rPr>
        <w:t>Artículo</w:t>
      </w:r>
      <w:r w:rsidR="0085283D">
        <w:rPr>
          <w:rFonts w:ascii="Book Antiqua" w:hAnsi="Book Antiqua"/>
          <w:lang w:val="es-PR"/>
        </w:rPr>
        <w:t xml:space="preserve"> </w:t>
      </w:r>
      <w:r w:rsidRPr="00C51F05">
        <w:rPr>
          <w:rFonts w:ascii="Book Antiqua" w:hAnsi="Book Antiqua"/>
          <w:lang w:val="es-PR"/>
        </w:rPr>
        <w:t xml:space="preserve">5.-Implementación de Medidas de Seguridad. El Departamento desarrollará e implementará un plan de acción para cada nivel de </w:t>
      </w:r>
      <w:r>
        <w:rPr>
          <w:rFonts w:ascii="Book Antiqua" w:hAnsi="Book Antiqua"/>
          <w:lang w:val="es-PR"/>
        </w:rPr>
        <w:t>seguridad</w:t>
      </w:r>
      <w:r w:rsidRPr="00C51F05">
        <w:rPr>
          <w:rFonts w:ascii="Book Antiqua" w:hAnsi="Book Antiqua"/>
          <w:lang w:val="es-PR"/>
        </w:rPr>
        <w:t xml:space="preserve">, </w:t>
      </w:r>
      <w:r w:rsidR="003B06E8">
        <w:rPr>
          <w:rFonts w:ascii="Book Antiqua" w:hAnsi="Book Antiqua"/>
          <w:lang w:val="es-PR"/>
        </w:rPr>
        <w:t>incluyendo entre otras</w:t>
      </w:r>
      <w:r w:rsidRPr="00C51F05">
        <w:rPr>
          <w:rFonts w:ascii="Book Antiqua" w:hAnsi="Book Antiqua"/>
          <w:lang w:val="es-PR"/>
        </w:rPr>
        <w:t>:</w:t>
      </w:r>
    </w:p>
    <w:p w14:paraId="4AAB3D5B" w14:textId="448EB060" w:rsidR="00356A39" w:rsidRDefault="00C51F05" w:rsidP="00192E82">
      <w:pPr>
        <w:pStyle w:val="ListParagraph"/>
        <w:numPr>
          <w:ilvl w:val="0"/>
          <w:numId w:val="32"/>
        </w:numPr>
        <w:spacing w:line="480" w:lineRule="auto"/>
        <w:ind w:left="1530" w:hanging="396"/>
        <w:jc w:val="both"/>
        <w:rPr>
          <w:rFonts w:ascii="Book Antiqua" w:hAnsi="Book Antiqua"/>
          <w:lang w:val="es-PR"/>
        </w:rPr>
      </w:pPr>
      <w:r w:rsidRPr="00C51F05">
        <w:rPr>
          <w:rFonts w:ascii="Book Antiqua" w:hAnsi="Book Antiqua"/>
          <w:lang w:val="es-PR"/>
        </w:rPr>
        <w:t>Instalación de sistemas de detección de metales, cámaras de vigilancia</w:t>
      </w:r>
      <w:r w:rsidR="00D648D2">
        <w:rPr>
          <w:rFonts w:ascii="Book Antiqua" w:hAnsi="Book Antiqua"/>
          <w:lang w:val="es-PR"/>
        </w:rPr>
        <w:t>, tecnologías de inteligencia artificial</w:t>
      </w:r>
      <w:r w:rsidR="006D0A11">
        <w:rPr>
          <w:rFonts w:ascii="Book Antiqua" w:hAnsi="Book Antiqua"/>
          <w:lang w:val="es-PR"/>
        </w:rPr>
        <w:t xml:space="preserve"> y</w:t>
      </w:r>
      <w:r w:rsidRPr="00C51F05">
        <w:rPr>
          <w:rFonts w:ascii="Book Antiqua" w:hAnsi="Book Antiqua"/>
          <w:lang w:val="es-PR"/>
        </w:rPr>
        <w:t xml:space="preserve"> sistemas de alarma</w:t>
      </w:r>
      <w:r w:rsidR="00D648D2">
        <w:rPr>
          <w:rFonts w:ascii="Book Antiqua" w:hAnsi="Book Antiqua"/>
          <w:lang w:val="es-PR"/>
        </w:rPr>
        <w:t>s</w:t>
      </w:r>
      <w:r w:rsidRPr="00C51F05">
        <w:rPr>
          <w:rFonts w:ascii="Book Antiqua" w:hAnsi="Book Antiqua"/>
          <w:lang w:val="es-PR"/>
        </w:rPr>
        <w:t xml:space="preserve"> para escuelas </w:t>
      </w:r>
      <w:r w:rsidR="006D0A11">
        <w:rPr>
          <w:rFonts w:ascii="Book Antiqua" w:hAnsi="Book Antiqua"/>
          <w:lang w:val="es-PR"/>
        </w:rPr>
        <w:t>donde</w:t>
      </w:r>
      <w:r w:rsidRPr="00C51F05">
        <w:rPr>
          <w:rFonts w:ascii="Book Antiqua" w:hAnsi="Book Antiqua"/>
          <w:lang w:val="es-PR"/>
        </w:rPr>
        <w:t xml:space="preserve"> </w:t>
      </w:r>
      <w:r w:rsidR="006D0A11">
        <w:rPr>
          <w:rFonts w:ascii="Book Antiqua" w:hAnsi="Book Antiqua"/>
          <w:lang w:val="es-PR"/>
        </w:rPr>
        <w:t>se reporten</w:t>
      </w:r>
      <w:r w:rsidRPr="00C51F05">
        <w:rPr>
          <w:rFonts w:ascii="Book Antiqua" w:hAnsi="Book Antiqua"/>
          <w:lang w:val="es-PR"/>
        </w:rPr>
        <w:t xml:space="preserve"> incidentes </w:t>
      </w:r>
      <w:r w:rsidR="006D0A11">
        <w:rPr>
          <w:rFonts w:ascii="Book Antiqua" w:hAnsi="Book Antiqua"/>
          <w:lang w:val="es-PR"/>
        </w:rPr>
        <w:t>relacionados con la</w:t>
      </w:r>
      <w:r w:rsidRPr="00C51F05">
        <w:rPr>
          <w:rFonts w:ascii="Book Antiqua" w:hAnsi="Book Antiqua"/>
          <w:lang w:val="es-PR"/>
        </w:rPr>
        <w:t xml:space="preserve"> presencia de armas blancas</w:t>
      </w:r>
      <w:r w:rsidR="006D0A11">
        <w:rPr>
          <w:rFonts w:ascii="Book Antiqua" w:hAnsi="Book Antiqua"/>
          <w:lang w:val="es-PR"/>
        </w:rPr>
        <w:t xml:space="preserve"> o </w:t>
      </w:r>
      <w:r w:rsidRPr="00C51F05">
        <w:rPr>
          <w:rFonts w:ascii="Book Antiqua" w:hAnsi="Book Antiqua"/>
          <w:lang w:val="es-PR"/>
        </w:rPr>
        <w:t>armas de fuego,</w:t>
      </w:r>
      <w:r w:rsidR="00280873">
        <w:rPr>
          <w:rFonts w:ascii="Book Antiqua" w:hAnsi="Book Antiqua"/>
          <w:lang w:val="es-PR"/>
        </w:rPr>
        <w:t xml:space="preserve"> heridos por ataques con armas,</w:t>
      </w:r>
      <w:r w:rsidRPr="00C51F05">
        <w:rPr>
          <w:rFonts w:ascii="Book Antiqua" w:hAnsi="Book Antiqua"/>
          <w:lang w:val="es-PR"/>
        </w:rPr>
        <w:t xml:space="preserve"> balaceras </w:t>
      </w:r>
      <w:r w:rsidR="006D0A11">
        <w:rPr>
          <w:rFonts w:ascii="Book Antiqua" w:hAnsi="Book Antiqua"/>
          <w:lang w:val="es-PR"/>
        </w:rPr>
        <w:t xml:space="preserve">dentro </w:t>
      </w:r>
      <w:r w:rsidR="006D0A11">
        <w:rPr>
          <w:rFonts w:ascii="Book Antiqua" w:hAnsi="Book Antiqua"/>
          <w:lang w:val="es-PR"/>
        </w:rPr>
        <w:lastRenderedPageBreak/>
        <w:t>o en</w:t>
      </w:r>
      <w:r w:rsidRPr="00C51F05">
        <w:rPr>
          <w:rFonts w:ascii="Book Antiqua" w:hAnsi="Book Antiqua"/>
          <w:lang w:val="es-PR"/>
        </w:rPr>
        <w:t xml:space="preserve"> las inmediaciones del plantel, amenazas</w:t>
      </w:r>
      <w:r w:rsidR="00280873">
        <w:rPr>
          <w:rFonts w:ascii="Book Antiqua" w:hAnsi="Book Antiqua"/>
          <w:lang w:val="es-PR"/>
        </w:rPr>
        <w:t xml:space="preserve"> dentro o fuera del plantel </w:t>
      </w:r>
      <w:r w:rsidR="006D0A11">
        <w:rPr>
          <w:rFonts w:ascii="Book Antiqua" w:hAnsi="Book Antiqua"/>
          <w:lang w:val="es-PR"/>
        </w:rPr>
        <w:t xml:space="preserve">que estén </w:t>
      </w:r>
      <w:r w:rsidR="00280873">
        <w:rPr>
          <w:rFonts w:ascii="Book Antiqua" w:hAnsi="Book Antiqua"/>
          <w:lang w:val="es-PR"/>
        </w:rPr>
        <w:t>dirigidas a</w:t>
      </w:r>
      <w:r w:rsidR="006D0A11">
        <w:rPr>
          <w:rFonts w:ascii="Book Antiqua" w:hAnsi="Book Antiqua"/>
          <w:lang w:val="es-PR"/>
        </w:rPr>
        <w:t xml:space="preserve"> un</w:t>
      </w:r>
      <w:r w:rsidR="00280873">
        <w:rPr>
          <w:rFonts w:ascii="Book Antiqua" w:hAnsi="Book Antiqua"/>
          <w:lang w:val="es-PR"/>
        </w:rPr>
        <w:t xml:space="preserve"> estudiantes o personal de la </w:t>
      </w:r>
      <w:r w:rsidR="006D0A11">
        <w:rPr>
          <w:rFonts w:ascii="Book Antiqua" w:hAnsi="Book Antiqua"/>
          <w:lang w:val="es-PR"/>
        </w:rPr>
        <w:t>escuela</w:t>
      </w:r>
      <w:r w:rsidRPr="00C51F05">
        <w:rPr>
          <w:rFonts w:ascii="Book Antiqua" w:hAnsi="Book Antiqua"/>
          <w:lang w:val="es-PR"/>
        </w:rPr>
        <w:t xml:space="preserve">, o </w:t>
      </w:r>
      <w:r w:rsidR="006D0A11">
        <w:rPr>
          <w:rFonts w:ascii="Book Antiqua" w:hAnsi="Book Antiqua"/>
          <w:lang w:val="es-PR"/>
        </w:rPr>
        <w:t>la activación del protocolo</w:t>
      </w:r>
      <w:r w:rsidRPr="00C51F05">
        <w:rPr>
          <w:rFonts w:ascii="Book Antiqua" w:hAnsi="Book Antiqua"/>
          <w:lang w:val="es-PR"/>
        </w:rPr>
        <w:t xml:space="preserve"> de tiradores activos.</w:t>
      </w:r>
    </w:p>
    <w:p w14:paraId="472D77D2" w14:textId="2678C670" w:rsidR="00356A39" w:rsidRDefault="00C51F05" w:rsidP="00192E82">
      <w:pPr>
        <w:pStyle w:val="ListParagraph"/>
        <w:numPr>
          <w:ilvl w:val="0"/>
          <w:numId w:val="32"/>
        </w:numPr>
        <w:spacing w:line="480" w:lineRule="auto"/>
        <w:ind w:left="1530" w:hanging="396"/>
        <w:jc w:val="both"/>
        <w:rPr>
          <w:rFonts w:ascii="Book Antiqua" w:hAnsi="Book Antiqua"/>
          <w:lang w:val="es-PR"/>
        </w:rPr>
      </w:pPr>
      <w:r w:rsidRPr="00356A39">
        <w:rPr>
          <w:rFonts w:ascii="Book Antiqua" w:hAnsi="Book Antiqua"/>
          <w:lang w:val="es-PR"/>
        </w:rPr>
        <w:t>Fortalecimiento de la infraestructura para mejorar la resiliencia ante desastres naturales</w:t>
      </w:r>
      <w:r w:rsidR="007C424D">
        <w:rPr>
          <w:rFonts w:ascii="Book Antiqua" w:hAnsi="Book Antiqua"/>
          <w:lang w:val="es-PR"/>
        </w:rPr>
        <w:t xml:space="preserve"> por conducto de medidas concretas como la priorización de remodelaciones</w:t>
      </w:r>
      <w:r w:rsidR="00EF30EB">
        <w:rPr>
          <w:rFonts w:ascii="Book Antiqua" w:hAnsi="Book Antiqua"/>
          <w:lang w:val="es-PR"/>
        </w:rPr>
        <w:t xml:space="preserve">, reconstrucciones y reparaciones de la planta física. </w:t>
      </w:r>
    </w:p>
    <w:p w14:paraId="34C85769" w14:textId="60F70675" w:rsidR="00C51F05" w:rsidRPr="003C7026" w:rsidRDefault="00C5636E" w:rsidP="00192E82">
      <w:pPr>
        <w:pStyle w:val="ListParagraph"/>
        <w:numPr>
          <w:ilvl w:val="0"/>
          <w:numId w:val="32"/>
        </w:numPr>
        <w:spacing w:line="480" w:lineRule="auto"/>
        <w:ind w:left="1530" w:hanging="396"/>
        <w:jc w:val="both"/>
        <w:rPr>
          <w:rFonts w:ascii="Book Antiqua" w:hAnsi="Book Antiqua"/>
          <w:lang w:val="es-PR"/>
        </w:rPr>
      </w:pPr>
      <w:r>
        <w:rPr>
          <w:rFonts w:ascii="Book Antiqua" w:hAnsi="Book Antiqua"/>
          <w:lang w:val="es-PR"/>
        </w:rPr>
        <w:t>Prefere</w:t>
      </w:r>
      <w:r w:rsidR="003C7026">
        <w:rPr>
          <w:rFonts w:ascii="Book Antiqua" w:hAnsi="Book Antiqua"/>
          <w:lang w:val="es-PR"/>
        </w:rPr>
        <w:t>ncia en procesos de</w:t>
      </w:r>
      <w:r w:rsidR="00C51F05" w:rsidRPr="00356A39">
        <w:rPr>
          <w:rFonts w:ascii="Book Antiqua" w:hAnsi="Book Antiqua"/>
          <w:lang w:val="es-PR"/>
        </w:rPr>
        <w:t xml:space="preserve"> intervención</w:t>
      </w:r>
      <w:r w:rsidR="009522B0">
        <w:rPr>
          <w:rFonts w:ascii="Book Antiqua" w:hAnsi="Book Antiqua"/>
          <w:lang w:val="es-PR"/>
        </w:rPr>
        <w:t>,</w:t>
      </w:r>
      <w:r w:rsidR="00C51F05" w:rsidRPr="00356A39">
        <w:rPr>
          <w:rFonts w:ascii="Book Antiqua" w:hAnsi="Book Antiqua"/>
          <w:lang w:val="es-PR"/>
        </w:rPr>
        <w:t xml:space="preserve"> prevención</w:t>
      </w:r>
      <w:r w:rsidR="003C7026">
        <w:rPr>
          <w:rFonts w:ascii="Book Antiqua" w:hAnsi="Book Antiqua"/>
          <w:lang w:val="es-PR"/>
        </w:rPr>
        <w:t>, c</w:t>
      </w:r>
      <w:r w:rsidR="00C51F05" w:rsidRPr="003C7026">
        <w:rPr>
          <w:rFonts w:ascii="Book Antiqua" w:hAnsi="Book Antiqua"/>
          <w:lang w:val="es-PR"/>
        </w:rPr>
        <w:t>apacitación y respuesta ante emergencias.</w:t>
      </w:r>
    </w:p>
    <w:p w14:paraId="08F9D710" w14:textId="7115CAB1" w:rsidR="001916FC" w:rsidRDefault="00547023" w:rsidP="0085283D">
      <w:pPr>
        <w:spacing w:line="480" w:lineRule="auto"/>
        <w:ind w:firstLine="567"/>
        <w:jc w:val="both"/>
        <w:rPr>
          <w:rFonts w:ascii="Book Antiqua" w:hAnsi="Book Antiqua"/>
          <w:lang w:val="es-PR"/>
        </w:rPr>
      </w:pPr>
      <w:r w:rsidRPr="00547023">
        <w:rPr>
          <w:rFonts w:ascii="Book Antiqua" w:hAnsi="Book Antiqua"/>
          <w:lang w:val="es-PR"/>
        </w:rPr>
        <w:t xml:space="preserve">Artículo </w:t>
      </w:r>
      <w:r w:rsidR="003B06E8">
        <w:rPr>
          <w:rFonts w:ascii="Book Antiqua" w:hAnsi="Book Antiqua"/>
          <w:lang w:val="es-PR"/>
        </w:rPr>
        <w:t>6</w:t>
      </w:r>
      <w:r w:rsidRPr="00547023">
        <w:rPr>
          <w:rFonts w:ascii="Book Antiqua" w:hAnsi="Book Antiqua"/>
          <w:lang w:val="es-PR"/>
        </w:rPr>
        <w:t>.-Financiamiento.</w:t>
      </w:r>
      <w:r>
        <w:rPr>
          <w:rFonts w:ascii="Book Antiqua" w:hAnsi="Book Antiqua"/>
          <w:lang w:val="es-PR"/>
        </w:rPr>
        <w:t xml:space="preserve"> </w:t>
      </w:r>
      <w:r w:rsidRPr="00547023">
        <w:rPr>
          <w:rFonts w:ascii="Book Antiqua" w:hAnsi="Book Antiqua"/>
          <w:lang w:val="es-PR"/>
        </w:rPr>
        <w:t xml:space="preserve">El Departamento identificará y gestionará los fondos necesarios para la implementación del protocolo </w:t>
      </w:r>
      <w:r w:rsidR="009522B0">
        <w:rPr>
          <w:rFonts w:ascii="Book Antiqua" w:hAnsi="Book Antiqua"/>
          <w:lang w:val="es-PR"/>
        </w:rPr>
        <w:t>reasignando fondos destinado a</w:t>
      </w:r>
      <w:r w:rsidR="00FE0B43">
        <w:rPr>
          <w:rFonts w:ascii="Book Antiqua" w:hAnsi="Book Antiqua"/>
          <w:lang w:val="es-PR"/>
        </w:rPr>
        <w:t xml:space="preserve"> la oficina del comisionado de</w:t>
      </w:r>
      <w:r w:rsidRPr="00547023">
        <w:rPr>
          <w:rFonts w:ascii="Book Antiqua" w:hAnsi="Book Antiqua"/>
          <w:lang w:val="es-PR"/>
        </w:rPr>
        <w:t xml:space="preserve"> seguridad </w:t>
      </w:r>
      <w:r w:rsidR="00FE0B43">
        <w:rPr>
          <w:rFonts w:ascii="Book Antiqua" w:hAnsi="Book Antiqua"/>
          <w:lang w:val="es-PR"/>
        </w:rPr>
        <w:t>del Departamento de Educación</w:t>
      </w:r>
      <w:r w:rsidRPr="00547023">
        <w:rPr>
          <w:rFonts w:ascii="Book Antiqua" w:hAnsi="Book Antiqua"/>
          <w:lang w:val="es-PR"/>
        </w:rPr>
        <w:t xml:space="preserve"> incluyendo la </w:t>
      </w:r>
      <w:r w:rsidR="001916FC">
        <w:rPr>
          <w:rFonts w:ascii="Book Antiqua" w:hAnsi="Book Antiqua"/>
          <w:lang w:val="es-PR"/>
        </w:rPr>
        <w:t>utilización de</w:t>
      </w:r>
      <w:r w:rsidRPr="00547023">
        <w:rPr>
          <w:rFonts w:ascii="Book Antiqua" w:hAnsi="Book Antiqua"/>
          <w:lang w:val="es-PR"/>
        </w:rPr>
        <w:t xml:space="preserve"> fondos federales, estatales y municipales</w:t>
      </w:r>
      <w:r w:rsidR="00FE0B43">
        <w:rPr>
          <w:rFonts w:ascii="Book Antiqua" w:hAnsi="Book Antiqua"/>
          <w:lang w:val="es-PR"/>
        </w:rPr>
        <w:t xml:space="preserve"> para tales fines</w:t>
      </w:r>
      <w:r w:rsidRPr="00547023">
        <w:rPr>
          <w:rFonts w:ascii="Book Antiqua" w:hAnsi="Book Antiqua"/>
          <w:lang w:val="es-PR"/>
        </w:rPr>
        <w:t>.</w:t>
      </w:r>
    </w:p>
    <w:p w14:paraId="5052E586" w14:textId="3B3470DC" w:rsidR="002B74B3" w:rsidRPr="00F67D91" w:rsidRDefault="00AB3E72" w:rsidP="0085283D">
      <w:pPr>
        <w:spacing w:line="480" w:lineRule="auto"/>
        <w:ind w:firstLine="567"/>
        <w:jc w:val="both"/>
        <w:rPr>
          <w:rFonts w:ascii="Book Antiqua" w:hAnsi="Book Antiqua"/>
          <w:lang w:val="es-ES"/>
        </w:rPr>
      </w:pPr>
      <w:r>
        <w:rPr>
          <w:rFonts w:ascii="Book Antiqua" w:hAnsi="Book Antiqua"/>
          <w:lang w:val="es-ES"/>
        </w:rPr>
        <w:t xml:space="preserve">Artículo </w:t>
      </w:r>
      <w:r w:rsidR="003B06E8">
        <w:rPr>
          <w:rFonts w:ascii="Book Antiqua" w:hAnsi="Book Antiqua"/>
          <w:lang w:val="es-ES"/>
        </w:rPr>
        <w:t>7</w:t>
      </w:r>
      <w:r>
        <w:rPr>
          <w:rFonts w:ascii="Book Antiqua" w:hAnsi="Book Antiqua"/>
          <w:lang w:val="es-ES"/>
        </w:rPr>
        <w:t>.</w:t>
      </w:r>
      <w:r w:rsidR="0085283D">
        <w:rPr>
          <w:rFonts w:ascii="Book Antiqua" w:hAnsi="Book Antiqua"/>
          <w:lang w:val="es-ES"/>
        </w:rPr>
        <w:t>-</w:t>
      </w:r>
      <w:r w:rsidR="00BE7F3F" w:rsidRPr="00BE7F3F">
        <w:rPr>
          <w:rFonts w:ascii="Book Antiqua" w:hAnsi="Book Antiqua"/>
          <w:lang w:val="es-ES"/>
        </w:rPr>
        <w:t>Vigencia</w:t>
      </w:r>
      <w:r w:rsidR="00F67D91">
        <w:rPr>
          <w:rFonts w:ascii="Book Antiqua" w:hAnsi="Book Antiqua"/>
          <w:lang w:val="es-ES"/>
        </w:rPr>
        <w:t xml:space="preserve">. </w:t>
      </w:r>
      <w:r w:rsidR="00FC53C5" w:rsidRPr="00FC53C5">
        <w:rPr>
          <w:rFonts w:ascii="Book Antiqua" w:hAnsi="Book Antiqua"/>
          <w:lang w:val="es-PR"/>
        </w:rPr>
        <w:t>El Departamento de Educación contará con un plazo de ciento ochenta (180) días naturales, a partir de la aprobación de esta Ley, para desarrollar, adoptar e implementar el protocolo de clasificación de niveles de seguridad escolar en todos los planteles bajo su jurisdicción.</w:t>
      </w:r>
      <w:r w:rsidR="00FC53C5">
        <w:rPr>
          <w:rFonts w:ascii="Book Antiqua" w:hAnsi="Book Antiqua"/>
          <w:lang w:val="es-PR"/>
        </w:rPr>
        <w:t xml:space="preserve"> </w:t>
      </w:r>
      <w:r w:rsidR="00FC53C5" w:rsidRPr="00FC53C5">
        <w:rPr>
          <w:rFonts w:ascii="Book Antiqua" w:hAnsi="Book Antiqua"/>
          <w:lang w:val="es-PR"/>
        </w:rPr>
        <w:t>Este artículo asegurará que el Departamento de Educación disponga de un tiempo razonable para cumplir con las obligaciones establecidas en la ley, garantizando así una implementación efectiva y oportuna del protocolo de seguridad escolar</w:t>
      </w:r>
      <w:r w:rsidR="00F06528" w:rsidRPr="00BE7F3F">
        <w:rPr>
          <w:rFonts w:ascii="Book Antiqua" w:hAnsi="Book Antiqua"/>
          <w:lang w:val="es-ES"/>
        </w:rPr>
        <w:t>.</w:t>
      </w:r>
    </w:p>
    <w:sectPr w:rsidR="002B74B3" w:rsidRPr="00F67D91"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2674" w14:textId="77777777" w:rsidR="00047041" w:rsidRDefault="00047041">
      <w:r>
        <w:separator/>
      </w:r>
    </w:p>
  </w:endnote>
  <w:endnote w:type="continuationSeparator" w:id="0">
    <w:p w14:paraId="573720B7" w14:textId="77777777" w:rsidR="00047041" w:rsidRDefault="00047041">
      <w:r>
        <w:continuationSeparator/>
      </w:r>
    </w:p>
  </w:endnote>
  <w:endnote w:type="continuationNotice" w:id="1">
    <w:p w14:paraId="008AE384" w14:textId="77777777" w:rsidR="00047041" w:rsidRDefault="00047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877AA" w14:textId="77777777" w:rsidR="00047041" w:rsidRDefault="00047041">
      <w:r>
        <w:separator/>
      </w:r>
    </w:p>
  </w:footnote>
  <w:footnote w:type="continuationSeparator" w:id="0">
    <w:p w14:paraId="0F6762B5" w14:textId="77777777" w:rsidR="00047041" w:rsidRDefault="00047041">
      <w:r>
        <w:continuationSeparator/>
      </w:r>
    </w:p>
  </w:footnote>
  <w:footnote w:type="continuationNotice" w:id="1">
    <w:p w14:paraId="6C50F780" w14:textId="77777777" w:rsidR="00047041" w:rsidRDefault="000470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2F47C63"/>
    <w:multiLevelType w:val="multilevel"/>
    <w:tmpl w:val="21C4E75E"/>
    <w:lvl w:ilvl="0">
      <w:start w:val="1"/>
      <w:numFmt w:val="lowerLetter"/>
      <w:lvlText w:val="%1)"/>
      <w:lvlJc w:val="left"/>
      <w:pPr>
        <w:tabs>
          <w:tab w:val="num" w:pos="720"/>
        </w:tabs>
        <w:ind w:left="720" w:hanging="360"/>
      </w:pPr>
      <w:rPr>
        <w:rFonts w:ascii="Book Antiqua" w:eastAsia="Times New Roman" w:hAnsi="Book Antiqua"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956DF"/>
    <w:multiLevelType w:val="hybridMultilevel"/>
    <w:tmpl w:val="4302FF98"/>
    <w:lvl w:ilvl="0" w:tplc="084CCA6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7"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7943FB8"/>
    <w:multiLevelType w:val="hybridMultilevel"/>
    <w:tmpl w:val="E0526050"/>
    <w:lvl w:ilvl="0" w:tplc="0A7C8F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585FB3"/>
    <w:multiLevelType w:val="hybridMultilevel"/>
    <w:tmpl w:val="033EA046"/>
    <w:lvl w:ilvl="0" w:tplc="50D45CF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1"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2D4AB9"/>
    <w:multiLevelType w:val="hybridMultilevel"/>
    <w:tmpl w:val="5FF6F49E"/>
    <w:lvl w:ilvl="0" w:tplc="39280490">
      <w:start w:val="1"/>
      <w:numFmt w:val="lowerLetter"/>
      <w:lvlText w:val="%1."/>
      <w:lvlJc w:val="left"/>
      <w:pPr>
        <w:ind w:left="2106" w:hanging="360"/>
      </w:pPr>
      <w:rPr>
        <w:rFonts w:hint="default"/>
      </w:rPr>
    </w:lvl>
    <w:lvl w:ilvl="1" w:tplc="500A0019" w:tentative="1">
      <w:start w:val="1"/>
      <w:numFmt w:val="lowerLetter"/>
      <w:lvlText w:val="%2."/>
      <w:lvlJc w:val="left"/>
      <w:pPr>
        <w:ind w:left="2826" w:hanging="360"/>
      </w:pPr>
    </w:lvl>
    <w:lvl w:ilvl="2" w:tplc="500A001B" w:tentative="1">
      <w:start w:val="1"/>
      <w:numFmt w:val="lowerRoman"/>
      <w:lvlText w:val="%3."/>
      <w:lvlJc w:val="right"/>
      <w:pPr>
        <w:ind w:left="3546" w:hanging="180"/>
      </w:pPr>
    </w:lvl>
    <w:lvl w:ilvl="3" w:tplc="500A000F" w:tentative="1">
      <w:start w:val="1"/>
      <w:numFmt w:val="decimal"/>
      <w:lvlText w:val="%4."/>
      <w:lvlJc w:val="left"/>
      <w:pPr>
        <w:ind w:left="4266" w:hanging="360"/>
      </w:pPr>
    </w:lvl>
    <w:lvl w:ilvl="4" w:tplc="500A0019" w:tentative="1">
      <w:start w:val="1"/>
      <w:numFmt w:val="lowerLetter"/>
      <w:lvlText w:val="%5."/>
      <w:lvlJc w:val="left"/>
      <w:pPr>
        <w:ind w:left="4986" w:hanging="360"/>
      </w:pPr>
    </w:lvl>
    <w:lvl w:ilvl="5" w:tplc="500A001B" w:tentative="1">
      <w:start w:val="1"/>
      <w:numFmt w:val="lowerRoman"/>
      <w:lvlText w:val="%6."/>
      <w:lvlJc w:val="right"/>
      <w:pPr>
        <w:ind w:left="5706" w:hanging="180"/>
      </w:pPr>
    </w:lvl>
    <w:lvl w:ilvl="6" w:tplc="500A000F" w:tentative="1">
      <w:start w:val="1"/>
      <w:numFmt w:val="decimal"/>
      <w:lvlText w:val="%7."/>
      <w:lvlJc w:val="left"/>
      <w:pPr>
        <w:ind w:left="6426" w:hanging="360"/>
      </w:pPr>
    </w:lvl>
    <w:lvl w:ilvl="7" w:tplc="500A0019" w:tentative="1">
      <w:start w:val="1"/>
      <w:numFmt w:val="lowerLetter"/>
      <w:lvlText w:val="%8."/>
      <w:lvlJc w:val="left"/>
      <w:pPr>
        <w:ind w:left="7146" w:hanging="360"/>
      </w:pPr>
    </w:lvl>
    <w:lvl w:ilvl="8" w:tplc="500A001B" w:tentative="1">
      <w:start w:val="1"/>
      <w:numFmt w:val="lowerRoman"/>
      <w:lvlText w:val="%9."/>
      <w:lvlJc w:val="right"/>
      <w:pPr>
        <w:ind w:left="7866" w:hanging="180"/>
      </w:pPr>
    </w:lvl>
  </w:abstractNum>
  <w:abstractNum w:abstractNumId="23"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762664BB"/>
    <w:multiLevelType w:val="hybridMultilevel"/>
    <w:tmpl w:val="6A7CB094"/>
    <w:lvl w:ilvl="0" w:tplc="A0F44782">
      <w:start w:val="1"/>
      <w:numFmt w:val="lowerLetter"/>
      <w:lvlText w:val="%1."/>
      <w:lvlJc w:val="left"/>
      <w:pPr>
        <w:ind w:left="1800" w:hanging="360"/>
      </w:pPr>
      <w:rPr>
        <w:rFonts w:hint="default"/>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0"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24"/>
  </w:num>
  <w:num w:numId="2" w16cid:durableId="697586941">
    <w:abstractNumId w:val="5"/>
  </w:num>
  <w:num w:numId="3" w16cid:durableId="332269631">
    <w:abstractNumId w:val="27"/>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3"/>
  </w:num>
  <w:num w:numId="10" w16cid:durableId="937828662">
    <w:abstractNumId w:val="12"/>
  </w:num>
  <w:num w:numId="11" w16cid:durableId="97599510">
    <w:abstractNumId w:val="19"/>
  </w:num>
  <w:num w:numId="12" w16cid:durableId="1700276230">
    <w:abstractNumId w:val="21"/>
  </w:num>
  <w:num w:numId="13" w16cid:durableId="639072555">
    <w:abstractNumId w:val="25"/>
  </w:num>
  <w:num w:numId="14" w16cid:durableId="630980633">
    <w:abstractNumId w:val="28"/>
  </w:num>
  <w:num w:numId="15" w16cid:durableId="357895331">
    <w:abstractNumId w:val="1"/>
  </w:num>
  <w:num w:numId="16" w16cid:durableId="784229085">
    <w:abstractNumId w:val="0"/>
  </w:num>
  <w:num w:numId="17" w16cid:durableId="1395353111">
    <w:abstractNumId w:val="23"/>
  </w:num>
  <w:num w:numId="18" w16cid:durableId="793408005">
    <w:abstractNumId w:val="17"/>
  </w:num>
  <w:num w:numId="19" w16cid:durableId="2056612077">
    <w:abstractNumId w:val="4"/>
  </w:num>
  <w:num w:numId="20" w16cid:durableId="231933052">
    <w:abstractNumId w:val="30"/>
  </w:num>
  <w:num w:numId="21" w16cid:durableId="1504396896">
    <w:abstractNumId w:val="26"/>
  </w:num>
  <w:num w:numId="22" w16cid:durableId="1639148181">
    <w:abstractNumId w:val="31"/>
  </w:num>
  <w:num w:numId="23" w16cid:durableId="2010785594">
    <w:abstractNumId w:val="15"/>
  </w:num>
  <w:num w:numId="24" w16cid:durableId="1688559439">
    <w:abstractNumId w:val="6"/>
  </w:num>
  <w:num w:numId="25" w16cid:durableId="1936745992">
    <w:abstractNumId w:val="8"/>
  </w:num>
  <w:num w:numId="26" w16cid:durableId="136579474">
    <w:abstractNumId w:val="14"/>
  </w:num>
  <w:num w:numId="27" w16cid:durableId="1718701748">
    <w:abstractNumId w:val="18"/>
  </w:num>
  <w:num w:numId="28" w16cid:durableId="325866007">
    <w:abstractNumId w:val="11"/>
  </w:num>
  <w:num w:numId="29" w16cid:durableId="869339891">
    <w:abstractNumId w:val="20"/>
  </w:num>
  <w:num w:numId="30" w16cid:durableId="1057165684">
    <w:abstractNumId w:val="29"/>
  </w:num>
  <w:num w:numId="31" w16cid:durableId="662470264">
    <w:abstractNumId w:val="16"/>
  </w:num>
  <w:num w:numId="32" w16cid:durableId="13325597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135D2"/>
    <w:rsid w:val="0001546B"/>
    <w:rsid w:val="00020BBB"/>
    <w:rsid w:val="000279EC"/>
    <w:rsid w:val="000356A6"/>
    <w:rsid w:val="00035F66"/>
    <w:rsid w:val="000421C2"/>
    <w:rsid w:val="00047041"/>
    <w:rsid w:val="00047EA7"/>
    <w:rsid w:val="00051E2A"/>
    <w:rsid w:val="000551F0"/>
    <w:rsid w:val="00056DF7"/>
    <w:rsid w:val="0006442D"/>
    <w:rsid w:val="00066ECA"/>
    <w:rsid w:val="00070D7E"/>
    <w:rsid w:val="0008343D"/>
    <w:rsid w:val="00085D0C"/>
    <w:rsid w:val="00086A26"/>
    <w:rsid w:val="00091EDE"/>
    <w:rsid w:val="00094F34"/>
    <w:rsid w:val="00095FDE"/>
    <w:rsid w:val="00097FEF"/>
    <w:rsid w:val="000A142D"/>
    <w:rsid w:val="000A163F"/>
    <w:rsid w:val="000A71F1"/>
    <w:rsid w:val="000B2013"/>
    <w:rsid w:val="000B2F40"/>
    <w:rsid w:val="000B4C8D"/>
    <w:rsid w:val="000B72B3"/>
    <w:rsid w:val="000C0F27"/>
    <w:rsid w:val="000C54EE"/>
    <w:rsid w:val="000C6B43"/>
    <w:rsid w:val="000E0ADE"/>
    <w:rsid w:val="000E194C"/>
    <w:rsid w:val="000E2B87"/>
    <w:rsid w:val="000F0FDF"/>
    <w:rsid w:val="000F3E2B"/>
    <w:rsid w:val="000F4469"/>
    <w:rsid w:val="000F4F79"/>
    <w:rsid w:val="000F5275"/>
    <w:rsid w:val="000F63CF"/>
    <w:rsid w:val="000F7631"/>
    <w:rsid w:val="00100C55"/>
    <w:rsid w:val="001044B2"/>
    <w:rsid w:val="00111E71"/>
    <w:rsid w:val="00111F48"/>
    <w:rsid w:val="00113AFB"/>
    <w:rsid w:val="0011583D"/>
    <w:rsid w:val="001204DC"/>
    <w:rsid w:val="00122D54"/>
    <w:rsid w:val="00125AE7"/>
    <w:rsid w:val="00126546"/>
    <w:rsid w:val="00131AA2"/>
    <w:rsid w:val="00133DB0"/>
    <w:rsid w:val="00140B3D"/>
    <w:rsid w:val="001552C2"/>
    <w:rsid w:val="00157DE2"/>
    <w:rsid w:val="0016094B"/>
    <w:rsid w:val="0016230C"/>
    <w:rsid w:val="00166D5C"/>
    <w:rsid w:val="00171BBE"/>
    <w:rsid w:val="00183C65"/>
    <w:rsid w:val="00186363"/>
    <w:rsid w:val="00186EDC"/>
    <w:rsid w:val="00190CD3"/>
    <w:rsid w:val="001916FC"/>
    <w:rsid w:val="00192E82"/>
    <w:rsid w:val="001A56EA"/>
    <w:rsid w:val="001A7FAF"/>
    <w:rsid w:val="001B6DC6"/>
    <w:rsid w:val="001B6FF0"/>
    <w:rsid w:val="001D1142"/>
    <w:rsid w:val="001D36DD"/>
    <w:rsid w:val="001D37B8"/>
    <w:rsid w:val="001D5FB9"/>
    <w:rsid w:val="001E2456"/>
    <w:rsid w:val="001E45F8"/>
    <w:rsid w:val="001E7A73"/>
    <w:rsid w:val="001F2FA8"/>
    <w:rsid w:val="00201F21"/>
    <w:rsid w:val="00206C76"/>
    <w:rsid w:val="00210BFC"/>
    <w:rsid w:val="00211368"/>
    <w:rsid w:val="00211396"/>
    <w:rsid w:val="00211507"/>
    <w:rsid w:val="002117F1"/>
    <w:rsid w:val="00216056"/>
    <w:rsid w:val="0021619B"/>
    <w:rsid w:val="00216C57"/>
    <w:rsid w:val="002212DF"/>
    <w:rsid w:val="00225F10"/>
    <w:rsid w:val="00227192"/>
    <w:rsid w:val="0022720D"/>
    <w:rsid w:val="00236BE8"/>
    <w:rsid w:val="00240393"/>
    <w:rsid w:val="0024191D"/>
    <w:rsid w:val="00245982"/>
    <w:rsid w:val="0024787F"/>
    <w:rsid w:val="002568CF"/>
    <w:rsid w:val="002573C2"/>
    <w:rsid w:val="00260B75"/>
    <w:rsid w:val="00262050"/>
    <w:rsid w:val="00266608"/>
    <w:rsid w:val="00271F90"/>
    <w:rsid w:val="00280873"/>
    <w:rsid w:val="002837C0"/>
    <w:rsid w:val="00284261"/>
    <w:rsid w:val="00286284"/>
    <w:rsid w:val="00291AA3"/>
    <w:rsid w:val="002A01E9"/>
    <w:rsid w:val="002A4BEC"/>
    <w:rsid w:val="002A5832"/>
    <w:rsid w:val="002A5E83"/>
    <w:rsid w:val="002B3666"/>
    <w:rsid w:val="002B59F4"/>
    <w:rsid w:val="002B74B3"/>
    <w:rsid w:val="002C15C3"/>
    <w:rsid w:val="002C5124"/>
    <w:rsid w:val="002D4800"/>
    <w:rsid w:val="002D4AC8"/>
    <w:rsid w:val="002D7A14"/>
    <w:rsid w:val="002E0450"/>
    <w:rsid w:val="002E5971"/>
    <w:rsid w:val="002E7042"/>
    <w:rsid w:val="002F5211"/>
    <w:rsid w:val="002F6F03"/>
    <w:rsid w:val="00304BAD"/>
    <w:rsid w:val="003055B5"/>
    <w:rsid w:val="00313BCD"/>
    <w:rsid w:val="00317030"/>
    <w:rsid w:val="0031717B"/>
    <w:rsid w:val="0032039D"/>
    <w:rsid w:val="003209EB"/>
    <w:rsid w:val="00323870"/>
    <w:rsid w:val="00327E4E"/>
    <w:rsid w:val="00335835"/>
    <w:rsid w:val="00340658"/>
    <w:rsid w:val="0034731A"/>
    <w:rsid w:val="00352B89"/>
    <w:rsid w:val="00355C24"/>
    <w:rsid w:val="00356A39"/>
    <w:rsid w:val="00361354"/>
    <w:rsid w:val="0036577F"/>
    <w:rsid w:val="00367243"/>
    <w:rsid w:val="003719F8"/>
    <w:rsid w:val="00372687"/>
    <w:rsid w:val="003733EA"/>
    <w:rsid w:val="00374DA7"/>
    <w:rsid w:val="00377538"/>
    <w:rsid w:val="00377E11"/>
    <w:rsid w:val="00384054"/>
    <w:rsid w:val="003864C4"/>
    <w:rsid w:val="003865FE"/>
    <w:rsid w:val="0039357A"/>
    <w:rsid w:val="003956E4"/>
    <w:rsid w:val="0039747B"/>
    <w:rsid w:val="003A11DD"/>
    <w:rsid w:val="003A2B71"/>
    <w:rsid w:val="003A51CC"/>
    <w:rsid w:val="003A7E15"/>
    <w:rsid w:val="003B06E8"/>
    <w:rsid w:val="003C4BF9"/>
    <w:rsid w:val="003C7026"/>
    <w:rsid w:val="003C78F5"/>
    <w:rsid w:val="003E4D83"/>
    <w:rsid w:val="003E6F08"/>
    <w:rsid w:val="003F6768"/>
    <w:rsid w:val="004041B0"/>
    <w:rsid w:val="00405DAD"/>
    <w:rsid w:val="00416DD1"/>
    <w:rsid w:val="00417428"/>
    <w:rsid w:val="00422961"/>
    <w:rsid w:val="004257AF"/>
    <w:rsid w:val="00425DEE"/>
    <w:rsid w:val="00430000"/>
    <w:rsid w:val="004306BE"/>
    <w:rsid w:val="00431606"/>
    <w:rsid w:val="0043293B"/>
    <w:rsid w:val="0043686B"/>
    <w:rsid w:val="0043699C"/>
    <w:rsid w:val="00436FC5"/>
    <w:rsid w:val="00441D8E"/>
    <w:rsid w:val="00442E8D"/>
    <w:rsid w:val="004440CB"/>
    <w:rsid w:val="00447833"/>
    <w:rsid w:val="00450DC0"/>
    <w:rsid w:val="00454153"/>
    <w:rsid w:val="00462C97"/>
    <w:rsid w:val="00463BA9"/>
    <w:rsid w:val="00465108"/>
    <w:rsid w:val="00466B64"/>
    <w:rsid w:val="004713D2"/>
    <w:rsid w:val="00474B6E"/>
    <w:rsid w:val="004803EF"/>
    <w:rsid w:val="0048314C"/>
    <w:rsid w:val="00484C80"/>
    <w:rsid w:val="004863C4"/>
    <w:rsid w:val="0049190B"/>
    <w:rsid w:val="004925C2"/>
    <w:rsid w:val="004A5A1C"/>
    <w:rsid w:val="004A700E"/>
    <w:rsid w:val="004A75C2"/>
    <w:rsid w:val="004A7E55"/>
    <w:rsid w:val="004B1555"/>
    <w:rsid w:val="004B184E"/>
    <w:rsid w:val="004B4F54"/>
    <w:rsid w:val="004B57F1"/>
    <w:rsid w:val="004B73C3"/>
    <w:rsid w:val="004C1E96"/>
    <w:rsid w:val="004C3646"/>
    <w:rsid w:val="004C5C04"/>
    <w:rsid w:val="004D0C31"/>
    <w:rsid w:val="004D2E44"/>
    <w:rsid w:val="004E6939"/>
    <w:rsid w:val="004F116C"/>
    <w:rsid w:val="004F2167"/>
    <w:rsid w:val="004F6FCA"/>
    <w:rsid w:val="004F7715"/>
    <w:rsid w:val="004F7A8E"/>
    <w:rsid w:val="00500124"/>
    <w:rsid w:val="00511F62"/>
    <w:rsid w:val="005162CD"/>
    <w:rsid w:val="00522F58"/>
    <w:rsid w:val="00531FC9"/>
    <w:rsid w:val="00533ADB"/>
    <w:rsid w:val="00533EA6"/>
    <w:rsid w:val="00535B4E"/>
    <w:rsid w:val="00537BE2"/>
    <w:rsid w:val="005420F8"/>
    <w:rsid w:val="0054464C"/>
    <w:rsid w:val="00546E6B"/>
    <w:rsid w:val="00547023"/>
    <w:rsid w:val="00551BE9"/>
    <w:rsid w:val="0055373A"/>
    <w:rsid w:val="00554062"/>
    <w:rsid w:val="00555018"/>
    <w:rsid w:val="005652E9"/>
    <w:rsid w:val="0057027A"/>
    <w:rsid w:val="005723DC"/>
    <w:rsid w:val="00573B7F"/>
    <w:rsid w:val="00582DD0"/>
    <w:rsid w:val="00586EC8"/>
    <w:rsid w:val="00591533"/>
    <w:rsid w:val="00596B28"/>
    <w:rsid w:val="005B0E94"/>
    <w:rsid w:val="005B1744"/>
    <w:rsid w:val="005B6234"/>
    <w:rsid w:val="005B66A6"/>
    <w:rsid w:val="005C09CD"/>
    <w:rsid w:val="005C4B68"/>
    <w:rsid w:val="005C4D4A"/>
    <w:rsid w:val="005D16AE"/>
    <w:rsid w:val="005D3419"/>
    <w:rsid w:val="005D5756"/>
    <w:rsid w:val="005E2888"/>
    <w:rsid w:val="005F6061"/>
    <w:rsid w:val="005F7758"/>
    <w:rsid w:val="006060E8"/>
    <w:rsid w:val="00616564"/>
    <w:rsid w:val="00620654"/>
    <w:rsid w:val="006240DF"/>
    <w:rsid w:val="00625BEF"/>
    <w:rsid w:val="0063493D"/>
    <w:rsid w:val="0064709E"/>
    <w:rsid w:val="006476BA"/>
    <w:rsid w:val="00647EF3"/>
    <w:rsid w:val="00650CC1"/>
    <w:rsid w:val="006538DD"/>
    <w:rsid w:val="00660BE9"/>
    <w:rsid w:val="00666B20"/>
    <w:rsid w:val="00672428"/>
    <w:rsid w:val="00672B31"/>
    <w:rsid w:val="00672BDB"/>
    <w:rsid w:val="00672F34"/>
    <w:rsid w:val="0067470A"/>
    <w:rsid w:val="00681404"/>
    <w:rsid w:val="0068389B"/>
    <w:rsid w:val="00684045"/>
    <w:rsid w:val="00691253"/>
    <w:rsid w:val="00691402"/>
    <w:rsid w:val="006A4E82"/>
    <w:rsid w:val="006A5408"/>
    <w:rsid w:val="006B6547"/>
    <w:rsid w:val="006B6AD1"/>
    <w:rsid w:val="006C08BE"/>
    <w:rsid w:val="006C35F0"/>
    <w:rsid w:val="006C7F58"/>
    <w:rsid w:val="006D0A11"/>
    <w:rsid w:val="006E2E0B"/>
    <w:rsid w:val="006E4533"/>
    <w:rsid w:val="006F1AC4"/>
    <w:rsid w:val="006F2754"/>
    <w:rsid w:val="006F46C0"/>
    <w:rsid w:val="00704838"/>
    <w:rsid w:val="00710733"/>
    <w:rsid w:val="00721538"/>
    <w:rsid w:val="007245A7"/>
    <w:rsid w:val="00725E15"/>
    <w:rsid w:val="00732000"/>
    <w:rsid w:val="00732046"/>
    <w:rsid w:val="00734F14"/>
    <w:rsid w:val="0073726B"/>
    <w:rsid w:val="00754B7B"/>
    <w:rsid w:val="007552A4"/>
    <w:rsid w:val="00783BCF"/>
    <w:rsid w:val="00794163"/>
    <w:rsid w:val="007955EB"/>
    <w:rsid w:val="007A440C"/>
    <w:rsid w:val="007B0216"/>
    <w:rsid w:val="007B29C5"/>
    <w:rsid w:val="007C0E48"/>
    <w:rsid w:val="007C424D"/>
    <w:rsid w:val="007C4E3F"/>
    <w:rsid w:val="007D2A1C"/>
    <w:rsid w:val="007D3A72"/>
    <w:rsid w:val="007D781C"/>
    <w:rsid w:val="007E4020"/>
    <w:rsid w:val="007E4961"/>
    <w:rsid w:val="007F4D01"/>
    <w:rsid w:val="007F51BB"/>
    <w:rsid w:val="007F7E09"/>
    <w:rsid w:val="008030D0"/>
    <w:rsid w:val="008036FA"/>
    <w:rsid w:val="008055E5"/>
    <w:rsid w:val="00810058"/>
    <w:rsid w:val="0081473A"/>
    <w:rsid w:val="008150C5"/>
    <w:rsid w:val="008151E7"/>
    <w:rsid w:val="00820C41"/>
    <w:rsid w:val="00822D6D"/>
    <w:rsid w:val="008249FB"/>
    <w:rsid w:val="00825EDE"/>
    <w:rsid w:val="00826F21"/>
    <w:rsid w:val="00833C7C"/>
    <w:rsid w:val="008359B1"/>
    <w:rsid w:val="00846BCC"/>
    <w:rsid w:val="00847031"/>
    <w:rsid w:val="00847DFA"/>
    <w:rsid w:val="00852066"/>
    <w:rsid w:val="0085283D"/>
    <w:rsid w:val="008539BD"/>
    <w:rsid w:val="008608CF"/>
    <w:rsid w:val="00861BE2"/>
    <w:rsid w:val="00863042"/>
    <w:rsid w:val="00864AB6"/>
    <w:rsid w:val="00865B71"/>
    <w:rsid w:val="00867E18"/>
    <w:rsid w:val="008716C9"/>
    <w:rsid w:val="00872BBB"/>
    <w:rsid w:val="008809B7"/>
    <w:rsid w:val="00881C24"/>
    <w:rsid w:val="00891A43"/>
    <w:rsid w:val="0089391E"/>
    <w:rsid w:val="00894D95"/>
    <w:rsid w:val="008A39ED"/>
    <w:rsid w:val="008B0A93"/>
    <w:rsid w:val="008B468A"/>
    <w:rsid w:val="008B5847"/>
    <w:rsid w:val="008C0030"/>
    <w:rsid w:val="008C0E91"/>
    <w:rsid w:val="008C3D6A"/>
    <w:rsid w:val="008C4566"/>
    <w:rsid w:val="008D3334"/>
    <w:rsid w:val="008D7BBF"/>
    <w:rsid w:val="008E1EBA"/>
    <w:rsid w:val="008E224C"/>
    <w:rsid w:val="008F1C5C"/>
    <w:rsid w:val="008F5D43"/>
    <w:rsid w:val="008F68C2"/>
    <w:rsid w:val="008F6C2E"/>
    <w:rsid w:val="00902500"/>
    <w:rsid w:val="00905CE5"/>
    <w:rsid w:val="00907032"/>
    <w:rsid w:val="00913A92"/>
    <w:rsid w:val="00917CC1"/>
    <w:rsid w:val="00923770"/>
    <w:rsid w:val="0092428A"/>
    <w:rsid w:val="009242BD"/>
    <w:rsid w:val="0092735F"/>
    <w:rsid w:val="009431BD"/>
    <w:rsid w:val="009459C5"/>
    <w:rsid w:val="00946F1E"/>
    <w:rsid w:val="009522B0"/>
    <w:rsid w:val="009568D4"/>
    <w:rsid w:val="009656FA"/>
    <w:rsid w:val="00982C1A"/>
    <w:rsid w:val="00983AB6"/>
    <w:rsid w:val="0098541C"/>
    <w:rsid w:val="00992E7E"/>
    <w:rsid w:val="009931FA"/>
    <w:rsid w:val="00994F91"/>
    <w:rsid w:val="0099635E"/>
    <w:rsid w:val="009A0459"/>
    <w:rsid w:val="009A1696"/>
    <w:rsid w:val="009A1B28"/>
    <w:rsid w:val="009A25AD"/>
    <w:rsid w:val="009A3F77"/>
    <w:rsid w:val="009A7260"/>
    <w:rsid w:val="009B32C3"/>
    <w:rsid w:val="009B3EC9"/>
    <w:rsid w:val="009B5C4F"/>
    <w:rsid w:val="009B7621"/>
    <w:rsid w:val="009C05CC"/>
    <w:rsid w:val="009C3CA3"/>
    <w:rsid w:val="009C589D"/>
    <w:rsid w:val="009C7613"/>
    <w:rsid w:val="009D179A"/>
    <w:rsid w:val="009E283A"/>
    <w:rsid w:val="009E61F3"/>
    <w:rsid w:val="009F0960"/>
    <w:rsid w:val="009F299E"/>
    <w:rsid w:val="00A01401"/>
    <w:rsid w:val="00A06136"/>
    <w:rsid w:val="00A10332"/>
    <w:rsid w:val="00A20F36"/>
    <w:rsid w:val="00A2408B"/>
    <w:rsid w:val="00A24FF0"/>
    <w:rsid w:val="00A31043"/>
    <w:rsid w:val="00A31728"/>
    <w:rsid w:val="00A3463D"/>
    <w:rsid w:val="00A3526E"/>
    <w:rsid w:val="00A42870"/>
    <w:rsid w:val="00A5002D"/>
    <w:rsid w:val="00A50C6B"/>
    <w:rsid w:val="00A51E6A"/>
    <w:rsid w:val="00A53C3E"/>
    <w:rsid w:val="00A55696"/>
    <w:rsid w:val="00A5635B"/>
    <w:rsid w:val="00A601FB"/>
    <w:rsid w:val="00A63DA1"/>
    <w:rsid w:val="00A652F4"/>
    <w:rsid w:val="00A71420"/>
    <w:rsid w:val="00A76B35"/>
    <w:rsid w:val="00A85B33"/>
    <w:rsid w:val="00A87421"/>
    <w:rsid w:val="00A9029D"/>
    <w:rsid w:val="00A96AFE"/>
    <w:rsid w:val="00AA0572"/>
    <w:rsid w:val="00AA5403"/>
    <w:rsid w:val="00AA747B"/>
    <w:rsid w:val="00AA7C09"/>
    <w:rsid w:val="00AB116C"/>
    <w:rsid w:val="00AB2211"/>
    <w:rsid w:val="00AB3E72"/>
    <w:rsid w:val="00AB47B7"/>
    <w:rsid w:val="00AE0816"/>
    <w:rsid w:val="00AE502C"/>
    <w:rsid w:val="00AE61B7"/>
    <w:rsid w:val="00AF6B6E"/>
    <w:rsid w:val="00AF78F5"/>
    <w:rsid w:val="00B01E59"/>
    <w:rsid w:val="00B025F1"/>
    <w:rsid w:val="00B10CFD"/>
    <w:rsid w:val="00B12CB1"/>
    <w:rsid w:val="00B16332"/>
    <w:rsid w:val="00B1727E"/>
    <w:rsid w:val="00B25D7F"/>
    <w:rsid w:val="00B27A23"/>
    <w:rsid w:val="00B31424"/>
    <w:rsid w:val="00B31666"/>
    <w:rsid w:val="00B379CD"/>
    <w:rsid w:val="00B41B01"/>
    <w:rsid w:val="00B55A2E"/>
    <w:rsid w:val="00B5619A"/>
    <w:rsid w:val="00B61D17"/>
    <w:rsid w:val="00B667AD"/>
    <w:rsid w:val="00B677A5"/>
    <w:rsid w:val="00B70D78"/>
    <w:rsid w:val="00B80495"/>
    <w:rsid w:val="00B82E15"/>
    <w:rsid w:val="00B85CAD"/>
    <w:rsid w:val="00B86DAF"/>
    <w:rsid w:val="00B96183"/>
    <w:rsid w:val="00BA4773"/>
    <w:rsid w:val="00BA50A7"/>
    <w:rsid w:val="00BA50FB"/>
    <w:rsid w:val="00BB11DD"/>
    <w:rsid w:val="00BB51F9"/>
    <w:rsid w:val="00BC13E4"/>
    <w:rsid w:val="00BC1413"/>
    <w:rsid w:val="00BC219F"/>
    <w:rsid w:val="00BC2FF9"/>
    <w:rsid w:val="00BC5327"/>
    <w:rsid w:val="00BC5366"/>
    <w:rsid w:val="00BC6644"/>
    <w:rsid w:val="00BD3E7C"/>
    <w:rsid w:val="00BD3EDB"/>
    <w:rsid w:val="00BD695C"/>
    <w:rsid w:val="00BE3C56"/>
    <w:rsid w:val="00BE7F3F"/>
    <w:rsid w:val="00BF2D9E"/>
    <w:rsid w:val="00BF5118"/>
    <w:rsid w:val="00BF730D"/>
    <w:rsid w:val="00C02317"/>
    <w:rsid w:val="00C03D0E"/>
    <w:rsid w:val="00C05F5F"/>
    <w:rsid w:val="00C07219"/>
    <w:rsid w:val="00C10130"/>
    <w:rsid w:val="00C10670"/>
    <w:rsid w:val="00C1245E"/>
    <w:rsid w:val="00C13304"/>
    <w:rsid w:val="00C15BE6"/>
    <w:rsid w:val="00C24E03"/>
    <w:rsid w:val="00C25A59"/>
    <w:rsid w:val="00C33ADE"/>
    <w:rsid w:val="00C413BE"/>
    <w:rsid w:val="00C4227C"/>
    <w:rsid w:val="00C51640"/>
    <w:rsid w:val="00C51A98"/>
    <w:rsid w:val="00C51F05"/>
    <w:rsid w:val="00C551BC"/>
    <w:rsid w:val="00C5636E"/>
    <w:rsid w:val="00C56E89"/>
    <w:rsid w:val="00C575C3"/>
    <w:rsid w:val="00C57B47"/>
    <w:rsid w:val="00C62936"/>
    <w:rsid w:val="00C679E6"/>
    <w:rsid w:val="00C71022"/>
    <w:rsid w:val="00C83326"/>
    <w:rsid w:val="00C93674"/>
    <w:rsid w:val="00C94CB9"/>
    <w:rsid w:val="00CA313F"/>
    <w:rsid w:val="00CA73C3"/>
    <w:rsid w:val="00CB4C6F"/>
    <w:rsid w:val="00CB5029"/>
    <w:rsid w:val="00CC0A38"/>
    <w:rsid w:val="00CC29FD"/>
    <w:rsid w:val="00CC5096"/>
    <w:rsid w:val="00CD1C8C"/>
    <w:rsid w:val="00CD2DE7"/>
    <w:rsid w:val="00CF1FA0"/>
    <w:rsid w:val="00CF635C"/>
    <w:rsid w:val="00CF656F"/>
    <w:rsid w:val="00D04026"/>
    <w:rsid w:val="00D044DF"/>
    <w:rsid w:val="00D0564F"/>
    <w:rsid w:val="00D074DC"/>
    <w:rsid w:val="00D11EE6"/>
    <w:rsid w:val="00D12D27"/>
    <w:rsid w:val="00D131A9"/>
    <w:rsid w:val="00D21706"/>
    <w:rsid w:val="00D23610"/>
    <w:rsid w:val="00D3281A"/>
    <w:rsid w:val="00D41EE9"/>
    <w:rsid w:val="00D4695C"/>
    <w:rsid w:val="00D52740"/>
    <w:rsid w:val="00D52967"/>
    <w:rsid w:val="00D55A2A"/>
    <w:rsid w:val="00D62BD8"/>
    <w:rsid w:val="00D648D2"/>
    <w:rsid w:val="00D729D7"/>
    <w:rsid w:val="00D74C61"/>
    <w:rsid w:val="00D764B2"/>
    <w:rsid w:val="00D77F6B"/>
    <w:rsid w:val="00D800A0"/>
    <w:rsid w:val="00D80956"/>
    <w:rsid w:val="00D81944"/>
    <w:rsid w:val="00D825F4"/>
    <w:rsid w:val="00D90C2A"/>
    <w:rsid w:val="00D9162E"/>
    <w:rsid w:val="00D921D7"/>
    <w:rsid w:val="00D93FCD"/>
    <w:rsid w:val="00D95B55"/>
    <w:rsid w:val="00DA2E24"/>
    <w:rsid w:val="00DA4832"/>
    <w:rsid w:val="00DA50E1"/>
    <w:rsid w:val="00DA53BF"/>
    <w:rsid w:val="00DA6D52"/>
    <w:rsid w:val="00DA6E2C"/>
    <w:rsid w:val="00DA767F"/>
    <w:rsid w:val="00DB0AC6"/>
    <w:rsid w:val="00DB1F39"/>
    <w:rsid w:val="00DC2188"/>
    <w:rsid w:val="00DC23FD"/>
    <w:rsid w:val="00DE06CE"/>
    <w:rsid w:val="00DF3052"/>
    <w:rsid w:val="00DF76AE"/>
    <w:rsid w:val="00E01D0D"/>
    <w:rsid w:val="00E01E0D"/>
    <w:rsid w:val="00E03133"/>
    <w:rsid w:val="00E07038"/>
    <w:rsid w:val="00E1539E"/>
    <w:rsid w:val="00E23330"/>
    <w:rsid w:val="00E24F85"/>
    <w:rsid w:val="00E30776"/>
    <w:rsid w:val="00E32245"/>
    <w:rsid w:val="00E326A0"/>
    <w:rsid w:val="00E33AAB"/>
    <w:rsid w:val="00E36F69"/>
    <w:rsid w:val="00E37DFA"/>
    <w:rsid w:val="00E37F0A"/>
    <w:rsid w:val="00E43766"/>
    <w:rsid w:val="00E51AF5"/>
    <w:rsid w:val="00E5754E"/>
    <w:rsid w:val="00E6600C"/>
    <w:rsid w:val="00E74FE2"/>
    <w:rsid w:val="00E81D63"/>
    <w:rsid w:val="00E832F8"/>
    <w:rsid w:val="00E91552"/>
    <w:rsid w:val="00E919C9"/>
    <w:rsid w:val="00E9335B"/>
    <w:rsid w:val="00E93639"/>
    <w:rsid w:val="00EA3D72"/>
    <w:rsid w:val="00EB05C9"/>
    <w:rsid w:val="00EB0E66"/>
    <w:rsid w:val="00EB7E17"/>
    <w:rsid w:val="00EC711D"/>
    <w:rsid w:val="00EC78B0"/>
    <w:rsid w:val="00ED730C"/>
    <w:rsid w:val="00EE37F1"/>
    <w:rsid w:val="00EE4109"/>
    <w:rsid w:val="00EE4273"/>
    <w:rsid w:val="00EE77C9"/>
    <w:rsid w:val="00EF0F6B"/>
    <w:rsid w:val="00EF30EB"/>
    <w:rsid w:val="00F00D28"/>
    <w:rsid w:val="00F01751"/>
    <w:rsid w:val="00F024FA"/>
    <w:rsid w:val="00F042CB"/>
    <w:rsid w:val="00F05138"/>
    <w:rsid w:val="00F06528"/>
    <w:rsid w:val="00F1001A"/>
    <w:rsid w:val="00F10B0A"/>
    <w:rsid w:val="00F1156A"/>
    <w:rsid w:val="00F12BB4"/>
    <w:rsid w:val="00F14B83"/>
    <w:rsid w:val="00F205AE"/>
    <w:rsid w:val="00F257D7"/>
    <w:rsid w:val="00F32A02"/>
    <w:rsid w:val="00F35BC6"/>
    <w:rsid w:val="00F40C6E"/>
    <w:rsid w:val="00F4582D"/>
    <w:rsid w:val="00F51457"/>
    <w:rsid w:val="00F5772F"/>
    <w:rsid w:val="00F60BB0"/>
    <w:rsid w:val="00F63468"/>
    <w:rsid w:val="00F640E0"/>
    <w:rsid w:val="00F67D91"/>
    <w:rsid w:val="00F70BCF"/>
    <w:rsid w:val="00F710E9"/>
    <w:rsid w:val="00F7392D"/>
    <w:rsid w:val="00F75CEC"/>
    <w:rsid w:val="00F86609"/>
    <w:rsid w:val="00F87D0C"/>
    <w:rsid w:val="00F935E8"/>
    <w:rsid w:val="00F94690"/>
    <w:rsid w:val="00F96D77"/>
    <w:rsid w:val="00FA0B16"/>
    <w:rsid w:val="00FA3215"/>
    <w:rsid w:val="00FA377D"/>
    <w:rsid w:val="00FA6DF1"/>
    <w:rsid w:val="00FA7708"/>
    <w:rsid w:val="00FB33D3"/>
    <w:rsid w:val="00FB690E"/>
    <w:rsid w:val="00FC0BF4"/>
    <w:rsid w:val="00FC3DDF"/>
    <w:rsid w:val="00FC53C5"/>
    <w:rsid w:val="00FD14DB"/>
    <w:rsid w:val="00FD3033"/>
    <w:rsid w:val="00FD50C7"/>
    <w:rsid w:val="00FE0B43"/>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70D7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92670310">
      <w:bodyDiv w:val="1"/>
      <w:marLeft w:val="0"/>
      <w:marRight w:val="0"/>
      <w:marTop w:val="0"/>
      <w:marBottom w:val="0"/>
      <w:divBdr>
        <w:top w:val="none" w:sz="0" w:space="0" w:color="auto"/>
        <w:left w:val="none" w:sz="0" w:space="0" w:color="auto"/>
        <w:bottom w:val="none" w:sz="0" w:space="0" w:color="auto"/>
        <w:right w:val="none" w:sz="0" w:space="0" w:color="auto"/>
      </w:divBdr>
    </w:div>
    <w:div w:id="337004153">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30323979">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458232624">
      <w:bodyDiv w:val="1"/>
      <w:marLeft w:val="0"/>
      <w:marRight w:val="0"/>
      <w:marTop w:val="0"/>
      <w:marBottom w:val="0"/>
      <w:divBdr>
        <w:top w:val="none" w:sz="0" w:space="0" w:color="auto"/>
        <w:left w:val="none" w:sz="0" w:space="0" w:color="auto"/>
        <w:bottom w:val="none" w:sz="0" w:space="0" w:color="auto"/>
        <w:right w:val="none" w:sz="0" w:space="0" w:color="auto"/>
      </w:divBdr>
    </w:div>
    <w:div w:id="461046575">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669866088">
      <w:bodyDiv w:val="1"/>
      <w:marLeft w:val="0"/>
      <w:marRight w:val="0"/>
      <w:marTop w:val="0"/>
      <w:marBottom w:val="0"/>
      <w:divBdr>
        <w:top w:val="none" w:sz="0" w:space="0" w:color="auto"/>
        <w:left w:val="none" w:sz="0" w:space="0" w:color="auto"/>
        <w:bottom w:val="none" w:sz="0" w:space="0" w:color="auto"/>
        <w:right w:val="none" w:sz="0" w:space="0" w:color="auto"/>
      </w:divBdr>
    </w:div>
    <w:div w:id="690956705">
      <w:bodyDiv w:val="1"/>
      <w:marLeft w:val="0"/>
      <w:marRight w:val="0"/>
      <w:marTop w:val="0"/>
      <w:marBottom w:val="0"/>
      <w:divBdr>
        <w:top w:val="none" w:sz="0" w:space="0" w:color="auto"/>
        <w:left w:val="none" w:sz="0" w:space="0" w:color="auto"/>
        <w:bottom w:val="none" w:sz="0" w:space="0" w:color="auto"/>
        <w:right w:val="none" w:sz="0" w:space="0" w:color="auto"/>
      </w:divBdr>
    </w:div>
    <w:div w:id="855655084">
      <w:bodyDiv w:val="1"/>
      <w:marLeft w:val="0"/>
      <w:marRight w:val="0"/>
      <w:marTop w:val="0"/>
      <w:marBottom w:val="0"/>
      <w:divBdr>
        <w:top w:val="none" w:sz="0" w:space="0" w:color="auto"/>
        <w:left w:val="none" w:sz="0" w:space="0" w:color="auto"/>
        <w:bottom w:val="none" w:sz="0" w:space="0" w:color="auto"/>
        <w:right w:val="none" w:sz="0" w:space="0" w:color="auto"/>
      </w:divBdr>
    </w:div>
    <w:div w:id="89346644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45848200">
      <w:bodyDiv w:val="1"/>
      <w:marLeft w:val="0"/>
      <w:marRight w:val="0"/>
      <w:marTop w:val="0"/>
      <w:marBottom w:val="0"/>
      <w:divBdr>
        <w:top w:val="none" w:sz="0" w:space="0" w:color="auto"/>
        <w:left w:val="none" w:sz="0" w:space="0" w:color="auto"/>
        <w:bottom w:val="none" w:sz="0" w:space="0" w:color="auto"/>
        <w:right w:val="none" w:sz="0" w:space="0" w:color="auto"/>
      </w:divBdr>
    </w:div>
    <w:div w:id="968900442">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999429548">
      <w:bodyDiv w:val="1"/>
      <w:marLeft w:val="0"/>
      <w:marRight w:val="0"/>
      <w:marTop w:val="0"/>
      <w:marBottom w:val="0"/>
      <w:divBdr>
        <w:top w:val="none" w:sz="0" w:space="0" w:color="auto"/>
        <w:left w:val="none" w:sz="0" w:space="0" w:color="auto"/>
        <w:bottom w:val="none" w:sz="0" w:space="0" w:color="auto"/>
        <w:right w:val="none" w:sz="0" w:space="0" w:color="auto"/>
      </w:divBdr>
    </w:div>
    <w:div w:id="1031078920">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345857872">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68486468">
      <w:bodyDiv w:val="1"/>
      <w:marLeft w:val="0"/>
      <w:marRight w:val="0"/>
      <w:marTop w:val="0"/>
      <w:marBottom w:val="0"/>
      <w:divBdr>
        <w:top w:val="none" w:sz="0" w:space="0" w:color="auto"/>
        <w:left w:val="none" w:sz="0" w:space="0" w:color="auto"/>
        <w:bottom w:val="none" w:sz="0" w:space="0" w:color="auto"/>
        <w:right w:val="none" w:sz="0" w:space="0" w:color="auto"/>
      </w:divBdr>
      <w:divsChild>
        <w:div w:id="460803343">
          <w:marLeft w:val="0"/>
          <w:marRight w:val="0"/>
          <w:marTop w:val="0"/>
          <w:marBottom w:val="0"/>
          <w:divBdr>
            <w:top w:val="none" w:sz="0" w:space="0" w:color="auto"/>
            <w:left w:val="none" w:sz="0" w:space="0" w:color="auto"/>
            <w:bottom w:val="none" w:sz="0" w:space="0" w:color="auto"/>
            <w:right w:val="none" w:sz="0" w:space="0" w:color="auto"/>
          </w:divBdr>
        </w:div>
      </w:divsChild>
    </w:div>
    <w:div w:id="1412115229">
      <w:bodyDiv w:val="1"/>
      <w:marLeft w:val="0"/>
      <w:marRight w:val="0"/>
      <w:marTop w:val="0"/>
      <w:marBottom w:val="0"/>
      <w:divBdr>
        <w:top w:val="none" w:sz="0" w:space="0" w:color="auto"/>
        <w:left w:val="none" w:sz="0" w:space="0" w:color="auto"/>
        <w:bottom w:val="none" w:sz="0" w:space="0" w:color="auto"/>
        <w:right w:val="none" w:sz="0" w:space="0" w:color="auto"/>
      </w:divBdr>
    </w:div>
    <w:div w:id="1418675900">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19415719">
      <w:bodyDiv w:val="1"/>
      <w:marLeft w:val="0"/>
      <w:marRight w:val="0"/>
      <w:marTop w:val="0"/>
      <w:marBottom w:val="0"/>
      <w:divBdr>
        <w:top w:val="none" w:sz="0" w:space="0" w:color="auto"/>
        <w:left w:val="none" w:sz="0" w:space="0" w:color="auto"/>
        <w:bottom w:val="none" w:sz="0" w:space="0" w:color="auto"/>
        <w:right w:val="none" w:sz="0" w:space="0" w:color="auto"/>
      </w:divBdr>
      <w:divsChild>
        <w:div w:id="1237667478">
          <w:marLeft w:val="0"/>
          <w:marRight w:val="0"/>
          <w:marTop w:val="0"/>
          <w:marBottom w:val="0"/>
          <w:divBdr>
            <w:top w:val="none" w:sz="0" w:space="0" w:color="auto"/>
            <w:left w:val="none" w:sz="0" w:space="0" w:color="auto"/>
            <w:bottom w:val="none" w:sz="0" w:space="0" w:color="auto"/>
            <w:right w:val="none" w:sz="0" w:space="0" w:color="auto"/>
          </w:divBdr>
        </w:div>
      </w:divsChild>
    </w:div>
    <w:div w:id="1634213309">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879664016">
      <w:bodyDiv w:val="1"/>
      <w:marLeft w:val="0"/>
      <w:marRight w:val="0"/>
      <w:marTop w:val="0"/>
      <w:marBottom w:val="0"/>
      <w:divBdr>
        <w:top w:val="none" w:sz="0" w:space="0" w:color="auto"/>
        <w:left w:val="none" w:sz="0" w:space="0" w:color="auto"/>
        <w:bottom w:val="none" w:sz="0" w:space="0" w:color="auto"/>
        <w:right w:val="none" w:sz="0" w:space="0" w:color="auto"/>
      </w:divBdr>
    </w:div>
    <w:div w:id="1914780324">
      <w:bodyDiv w:val="1"/>
      <w:marLeft w:val="0"/>
      <w:marRight w:val="0"/>
      <w:marTop w:val="0"/>
      <w:marBottom w:val="0"/>
      <w:divBdr>
        <w:top w:val="none" w:sz="0" w:space="0" w:color="auto"/>
        <w:left w:val="none" w:sz="0" w:space="0" w:color="auto"/>
        <w:bottom w:val="none" w:sz="0" w:space="0" w:color="auto"/>
        <w:right w:val="none" w:sz="0" w:space="0" w:color="auto"/>
      </w:divBdr>
    </w:div>
    <w:div w:id="2024504273">
      <w:bodyDiv w:val="1"/>
      <w:marLeft w:val="0"/>
      <w:marRight w:val="0"/>
      <w:marTop w:val="0"/>
      <w:marBottom w:val="0"/>
      <w:divBdr>
        <w:top w:val="none" w:sz="0" w:space="0" w:color="auto"/>
        <w:left w:val="none" w:sz="0" w:space="0" w:color="auto"/>
        <w:bottom w:val="none" w:sz="0" w:space="0" w:color="auto"/>
        <w:right w:val="none" w:sz="0" w:space="0" w:color="auto"/>
      </w:divBdr>
    </w:div>
    <w:div w:id="2029024287">
      <w:bodyDiv w:val="1"/>
      <w:marLeft w:val="0"/>
      <w:marRight w:val="0"/>
      <w:marTop w:val="0"/>
      <w:marBottom w:val="0"/>
      <w:divBdr>
        <w:top w:val="none" w:sz="0" w:space="0" w:color="auto"/>
        <w:left w:val="none" w:sz="0" w:space="0" w:color="auto"/>
        <w:bottom w:val="none" w:sz="0" w:space="0" w:color="auto"/>
        <w:right w:val="none" w:sz="0" w:space="0" w:color="auto"/>
      </w:divBdr>
    </w:div>
    <w:div w:id="2058237671">
      <w:bodyDiv w:val="1"/>
      <w:marLeft w:val="0"/>
      <w:marRight w:val="0"/>
      <w:marTop w:val="0"/>
      <w:marBottom w:val="0"/>
      <w:divBdr>
        <w:top w:val="none" w:sz="0" w:space="0" w:color="auto"/>
        <w:left w:val="none" w:sz="0" w:space="0" w:color="auto"/>
        <w:bottom w:val="none" w:sz="0" w:space="0" w:color="auto"/>
        <w:right w:val="none" w:sz="0" w:space="0" w:color="auto"/>
      </w:divBdr>
    </w:div>
    <w:div w:id="2082435640">
      <w:bodyDiv w:val="1"/>
      <w:marLeft w:val="0"/>
      <w:marRight w:val="0"/>
      <w:marTop w:val="0"/>
      <w:marBottom w:val="0"/>
      <w:divBdr>
        <w:top w:val="none" w:sz="0" w:space="0" w:color="auto"/>
        <w:left w:val="none" w:sz="0" w:space="0" w:color="auto"/>
        <w:bottom w:val="none" w:sz="0" w:space="0" w:color="auto"/>
        <w:right w:val="none" w:sz="0" w:space="0" w:color="auto"/>
      </w:divBdr>
    </w:div>
    <w:div w:id="2125463986">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13</TotalTime>
  <Pages>6</Pages>
  <Words>1649</Words>
  <Characters>9672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Gladys J. Burgos Torres</cp:lastModifiedBy>
  <cp:revision>7</cp:revision>
  <cp:lastPrinted>2025-02-14T17:34:00Z</cp:lastPrinted>
  <dcterms:created xsi:type="dcterms:W3CDTF">2025-02-13T19:53:00Z</dcterms:created>
  <dcterms:modified xsi:type="dcterms:W3CDTF">2025-02-14T17:34:00Z</dcterms:modified>
</cp:coreProperties>
</file>