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85328" w14:textId="05C7322A" w:rsidR="00056A35" w:rsidRDefault="00BE5442" w:rsidP="0040644C">
      <w:pPr>
        <w:spacing w:after="0" w:line="240" w:lineRule="auto"/>
        <w:contextualSpacing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56A35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746D9FF9" w:rsidR="00056A35" w:rsidRDefault="009C756A" w:rsidP="0040644C">
      <w:pPr>
        <w:pStyle w:val="Title2"/>
        <w:tabs>
          <w:tab w:val="clear" w:pos="648"/>
          <w:tab w:val="left" w:pos="72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056A35">
        <w:rPr>
          <w:rFonts w:ascii="Book Antiqua" w:hAnsi="Book Antiqua"/>
          <w:lang w:val="es-ES_tradnl"/>
        </w:rPr>
        <w:t>a. Asamblea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</w:t>
      </w:r>
      <w:r>
        <w:rPr>
          <w:rFonts w:ascii="Book Antiqua" w:hAnsi="Book Antiqua"/>
          <w:lang w:val="es-ES_tradnl"/>
        </w:rPr>
        <w:t>1</w:t>
      </w:r>
      <w:r w:rsidR="00056A35">
        <w:rPr>
          <w:rFonts w:ascii="Book Antiqua" w:hAnsi="Book Antiqua"/>
          <w:lang w:val="es-ES_tradnl"/>
        </w:rPr>
        <w:t>ra. Sesión</w:t>
      </w:r>
    </w:p>
    <w:p w14:paraId="2626B9BE" w14:textId="49C9E03E" w:rsidR="00056A35" w:rsidRDefault="00056A35" w:rsidP="0040644C">
      <w:pPr>
        <w:pStyle w:val="Title2"/>
        <w:tabs>
          <w:tab w:val="left" w:pos="48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  Legislativa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Ordinaria</w:t>
      </w:r>
    </w:p>
    <w:p w14:paraId="36B07462" w14:textId="77777777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4A1CD6D2" w14:textId="343614B3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4779392" w14:textId="77777777" w:rsidR="0040644C" w:rsidRPr="007F199F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</w:p>
    <w:p w14:paraId="33E26930" w14:textId="643A1113" w:rsidR="00056A35" w:rsidRPr="007F199F" w:rsidRDefault="00066776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40644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6F604E">
        <w:rPr>
          <w:rFonts w:ascii="Book Antiqua" w:hAnsi="Book Antiqua"/>
          <w:b/>
          <w:sz w:val="52"/>
          <w:szCs w:val="52"/>
          <w:lang w:val="es-ES_tradnl"/>
        </w:rPr>
        <w:t>335</w:t>
      </w:r>
    </w:p>
    <w:p w14:paraId="37CEB20F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53D1D3B1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63E2C7C4" w14:textId="6E506D95" w:rsidR="0040644C" w:rsidRP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b/>
          <w:bCs/>
          <w:caps/>
          <w:sz w:val="24"/>
          <w:szCs w:val="24"/>
          <w:lang w:val="es-ES_tradnl"/>
        </w:rPr>
      </w:pPr>
      <w:r w:rsidRPr="0040644C">
        <w:rPr>
          <w:rFonts w:ascii="Book Antiqua" w:hAnsi="Book Antiqua"/>
          <w:b/>
          <w:bCs/>
          <w:caps/>
          <w:sz w:val="24"/>
          <w:szCs w:val="24"/>
          <w:lang w:val="es-ES_tradnl"/>
        </w:rPr>
        <w:t>INFORME POSITIVO</w:t>
      </w:r>
    </w:p>
    <w:p w14:paraId="796D1BFC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2231B4AC" w14:textId="1B3C8247" w:rsidR="00056A35" w:rsidRDefault="00BF4201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 xml:space="preserve">20 </w:t>
      </w:r>
      <w:r w:rsidR="00056A35">
        <w:rPr>
          <w:rFonts w:ascii="Book Antiqua" w:hAnsi="Book Antiqua"/>
          <w:caps/>
          <w:lang w:val="es-ES_tradnl"/>
        </w:rPr>
        <w:t xml:space="preserve">DE </w:t>
      </w:r>
      <w:r w:rsidR="00E53BFD">
        <w:rPr>
          <w:rFonts w:ascii="Book Antiqua" w:hAnsi="Book Antiqua"/>
          <w:caps/>
          <w:lang w:val="es-ES_tradnl"/>
        </w:rPr>
        <w:t>JUNI</w:t>
      </w:r>
      <w:r w:rsidR="00056A35">
        <w:rPr>
          <w:rFonts w:ascii="Book Antiqua" w:hAnsi="Book Antiqua"/>
          <w:caps/>
          <w:lang w:val="es-ES_tradnl"/>
        </w:rPr>
        <w:t>o DE 202</w:t>
      </w:r>
      <w:r w:rsidR="00B52DEC">
        <w:rPr>
          <w:rFonts w:ascii="Book Antiqua" w:hAnsi="Book Antiqua"/>
          <w:caps/>
          <w:lang w:val="es-ES_tradnl"/>
        </w:rPr>
        <w:t>5</w:t>
      </w:r>
    </w:p>
    <w:p w14:paraId="71B552A4" w14:textId="77777777" w:rsid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lang w:val="es-ES_tradnl"/>
        </w:rPr>
      </w:pPr>
    </w:p>
    <w:p w14:paraId="0BF7FA97" w14:textId="77777777" w:rsid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lang w:val="es-ES_tradnl"/>
        </w:rPr>
      </w:pPr>
    </w:p>
    <w:p w14:paraId="5F81C848" w14:textId="5FEADC4C" w:rsidR="0040644C" w:rsidRP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40644C">
        <w:rPr>
          <w:rFonts w:ascii="Book Antiqua" w:hAnsi="Book Antiqua"/>
          <w:b/>
          <w:bCs/>
          <w:sz w:val="24"/>
          <w:szCs w:val="24"/>
          <w:lang w:val="es-ES_tradnl"/>
        </w:rPr>
        <w:t>A LA CÁMARA DE REPRESENTANTES DE PUERTO RICO:</w:t>
      </w:r>
    </w:p>
    <w:p w14:paraId="7A24ABD5" w14:textId="77777777" w:rsidR="0040644C" w:rsidRDefault="0040644C" w:rsidP="00BE0146">
      <w:pPr>
        <w:suppressAutoHyphens/>
        <w:spacing w:line="240" w:lineRule="atLeast"/>
        <w:ind w:left="720" w:hanging="720"/>
        <w:jc w:val="both"/>
        <w:rPr>
          <w:rFonts w:ascii="Book Antiqua" w:hAnsi="Book Antiqua"/>
          <w:lang w:val="es-ES_tradnl"/>
        </w:rPr>
      </w:pPr>
    </w:p>
    <w:p w14:paraId="32496DE1" w14:textId="31D3A9D2" w:rsidR="00056A35" w:rsidRPr="002C6D7D" w:rsidRDefault="0040644C" w:rsidP="00CD0DE5">
      <w:pPr>
        <w:suppressAutoHyphens/>
        <w:spacing w:line="240" w:lineRule="atLeast"/>
        <w:ind w:firstLine="720"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Comisión de Turismo, tras el correspondiente análisis y evaluación, recomienda a este Honorable Cuerpo Legislativo la aprobación del Proyecto de la Cámara </w:t>
      </w:r>
      <w:r w:rsidR="006F604E">
        <w:rPr>
          <w:rFonts w:ascii="Book Antiqua" w:hAnsi="Book Antiqua"/>
          <w:sz w:val="24"/>
          <w:szCs w:val="24"/>
          <w:lang w:val="es-ES_tradnl"/>
        </w:rPr>
        <w:t>335</w:t>
      </w:r>
      <w:r>
        <w:rPr>
          <w:rFonts w:ascii="Book Antiqua" w:hAnsi="Book Antiqua"/>
          <w:sz w:val="24"/>
          <w:szCs w:val="24"/>
          <w:lang w:val="es-ES_tradnl"/>
        </w:rPr>
        <w:t xml:space="preserve"> (“PC </w:t>
      </w:r>
      <w:r w:rsidR="006F604E">
        <w:rPr>
          <w:rFonts w:ascii="Book Antiqua" w:hAnsi="Book Antiqua"/>
          <w:sz w:val="24"/>
          <w:szCs w:val="24"/>
          <w:lang w:val="es-ES_tradnl"/>
        </w:rPr>
        <w:t>335</w:t>
      </w:r>
      <w:r>
        <w:rPr>
          <w:rFonts w:ascii="Book Antiqua" w:hAnsi="Book Antiqua"/>
          <w:sz w:val="24"/>
          <w:szCs w:val="24"/>
          <w:lang w:val="es-ES_tradnl"/>
        </w:rPr>
        <w:t xml:space="preserve">”), incorporando las enmiendas sugeridas al título y texto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decretativo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que se detallan en el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electrónico que se acompaña.</w:t>
      </w:r>
    </w:p>
    <w:p w14:paraId="66A42A26" w14:textId="77777777" w:rsidR="006D309C" w:rsidRDefault="006D309C" w:rsidP="002C0C1B">
      <w:pPr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51D30080" w14:textId="7D48A30D" w:rsidR="002C0C1B" w:rsidRPr="00495194" w:rsidRDefault="00495194" w:rsidP="002C0C1B">
      <w:pPr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>
        <w:rPr>
          <w:rFonts w:ascii="Book Antiqua" w:hAnsi="Book Antiqua"/>
          <w:b/>
          <w:bCs/>
          <w:sz w:val="24"/>
          <w:szCs w:val="24"/>
          <w:lang w:val="es-ES_tradnl"/>
        </w:rPr>
        <w:t>ALCANCE DE LA MEDIDA</w:t>
      </w:r>
    </w:p>
    <w:p w14:paraId="7054D8EE" w14:textId="77777777" w:rsidR="00BE37AD" w:rsidRPr="00BE37AD" w:rsidRDefault="00BE37AD" w:rsidP="00BE37AD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incluyendo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Malecón Edwin Rivera Sierra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se ha consolidado como un eje central del desarrollo cultural, turístico y económico del municipio, atrayendo tanto a residentes como a visitantes de toda la isla y del extranjero. Su privilegiada ubicación frente a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Bahía de San Juan</w:t>
      </w:r>
      <w:r w:rsidRPr="00BE37AD">
        <w:rPr>
          <w:rFonts w:ascii="Book Antiqua" w:hAnsi="Book Antiqua"/>
          <w:sz w:val="24"/>
          <w:szCs w:val="24"/>
          <w:lang w:val="es-ES_tradnl"/>
        </w:rPr>
        <w:t>, combinada con su rica oferta gastronómica y su vibrante vida cultural, lo posiciona como un espacio único para el disfrute y la convivencia.</w:t>
      </w:r>
    </w:p>
    <w:p w14:paraId="02132225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3118656" w14:textId="77777777" w:rsidR="00BE37AD" w:rsidRPr="00BE37AD" w:rsidRDefault="00BE37AD" w:rsidP="00BE37AD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El turismo gastronómico ha evolucionado como un componente esencial del desarrollo turístico global. De acuerdo con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Organización Mundial del Turismo (OMT)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hasta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40% del gasto turístico a nivel mundial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está relacionado con experiencias gastronómicas, lo que demuestra su capacidad para generar crecimiento económico y promover la identidad cultural de los destinos. En Puerto Rico, el turismo gastronómico ha sido clave en el desarrollo de municipios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Cabo Rojo, Caguas, Arecibo y Toa Baja</w:t>
      </w:r>
      <w:r w:rsidRPr="00BE37AD">
        <w:rPr>
          <w:rFonts w:ascii="Book Antiqua" w:hAnsi="Book Antiqua"/>
          <w:sz w:val="24"/>
          <w:szCs w:val="24"/>
          <w:lang w:val="es-ES_tradnl"/>
        </w:rPr>
        <w:t>, donde la designación de Zonas Gastronómicas ha impulsado el comercio local, aumentado el flujo de visitantes y generado nuevas oportunidades para pequeños y medianos empresarios.</w:t>
      </w:r>
    </w:p>
    <w:p w14:paraId="425B611E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6A99E81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Cataño es reconocido por ser un municipio con una identidad cultural profundamente ligada a su litoral. A lo largo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y en particular en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Malecón Edwin Rivera Sierra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los visitantes pueden disfrutar de vistas espectaculares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Castillo San Felipe del Morro y de la Bahía de San Juan</w:t>
      </w:r>
      <w:r w:rsidRPr="00BE37AD">
        <w:rPr>
          <w:rFonts w:ascii="Book Antiqua" w:hAnsi="Book Antiqua"/>
          <w:sz w:val="24"/>
          <w:szCs w:val="24"/>
          <w:lang w:val="es-ES_tradnl"/>
        </w:rPr>
        <w:t>, además de una variada oferta gastronómica en restaurantes, quioscos y establecimientos especializados en platos típicos puertorriqueños, especialmente aquellos elaborados con mariscos frescos y productos locales.</w:t>
      </w:r>
    </w:p>
    <w:p w14:paraId="74329633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3B90C7A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Un componente esencial de esta oferta es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Villa Pesquera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ubicada en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Avenida Las Nereidas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centro es un pilar de la economía local, donde pescadores de la comunidad ofrecen pescados y mariscos frescos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chillo, carrucho, langosta, pulpo y dorado</w:t>
      </w:r>
      <w:r w:rsidRPr="00BE37AD">
        <w:rPr>
          <w:rFonts w:ascii="Book Antiqua" w:hAnsi="Book Antiqua"/>
          <w:sz w:val="24"/>
          <w:szCs w:val="24"/>
          <w:lang w:val="es-ES_tradnl"/>
        </w:rPr>
        <w:t>, dependiendo de la temporada. Además de proveer productos frescos, algunos establecimientos en la villa preparan recetas tradicionales y contemporáneas, permitiendo a los visitantes disfrutar del auténtico sabor del mar directamente en el corazón de Cataño.</w:t>
      </w:r>
    </w:p>
    <w:p w14:paraId="7D207829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1AEC6E9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Otro elemento clave es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Terminal de Lanchas de Cataño</w:t>
      </w:r>
      <w:r w:rsidRPr="00BE37AD">
        <w:rPr>
          <w:rFonts w:ascii="Book Antiqua" w:hAnsi="Book Antiqua"/>
          <w:sz w:val="24"/>
          <w:szCs w:val="24"/>
          <w:lang w:val="es-ES_tradnl"/>
        </w:rPr>
        <w:t>, conocido como la “</w:t>
      </w:r>
      <w:r w:rsidRPr="00BE37AD">
        <w:rPr>
          <w:rFonts w:ascii="Book Antiqua" w:hAnsi="Book Antiqua"/>
          <w:iCs/>
          <w:sz w:val="24"/>
          <w:szCs w:val="24"/>
          <w:lang w:val="es-ES_tradnl"/>
        </w:rPr>
        <w:t>Lancha de Cataño”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servicio, que opera desde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1853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conecta de manera eficiente a Cataño con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Viejo San Juan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Durante este recorrido, los pasajeros disfrutan de vistas panorámicas de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Bahía de San Juan y monumentos históricos como el Castillo San Felipe del Morro</w:t>
      </w:r>
      <w:r w:rsidRPr="00BE37AD">
        <w:rPr>
          <w:rFonts w:ascii="Book Antiqua" w:hAnsi="Book Antiqua"/>
          <w:sz w:val="24"/>
          <w:szCs w:val="24"/>
          <w:lang w:val="es-ES_tradnl"/>
        </w:rPr>
        <w:t>. El ferry no solo facilita el transporte diario de residentes y turistas, sino que también genera un flujo constante de visitantes a la zona, beneficiando a los comercios locales y fortaleciendo la economía del municipio.</w:t>
      </w:r>
    </w:p>
    <w:p w14:paraId="0911C8F7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A5769ED" w14:textId="77777777" w:rsidR="00BE37AD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Además, 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es sede de la reconocida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Feria en Cataño</w:t>
      </w:r>
      <w:r w:rsidRPr="00BE37AD">
        <w:rPr>
          <w:rFonts w:ascii="Book Antiqua" w:hAnsi="Book Antiqua"/>
          <w:sz w:val="24"/>
          <w:szCs w:val="24"/>
          <w:lang w:val="es-ES_tradnl"/>
        </w:rPr>
        <w:t>, un evento anual que celebra la cultura, tradición y gastronomía puertorriqueña. En su más reciente edición, realizada durante el pasado mes de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 diciembre de 2024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se esperaba la asistencia de más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200,000 personas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evento se destaca por la participación de más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240 artesanos de diversas disciplinas, música en vivo con reconocidos exponentes de géneros populares, trovadores y una amplia oferta gastronómica</w:t>
      </w:r>
      <w:r w:rsidRPr="00BE37AD">
        <w:rPr>
          <w:rFonts w:ascii="Book Antiqua" w:hAnsi="Book Antiqua"/>
          <w:sz w:val="24"/>
          <w:szCs w:val="24"/>
          <w:lang w:val="es-ES_tradnl"/>
        </w:rPr>
        <w:t>. La feria no solo fomenta el desarrollo cultural, sino que también ofrece una plataforma esencial para la exposición y venta de artesanías locales, promoviendo la economía de la región y el sentido de comunidad.</w:t>
      </w:r>
    </w:p>
    <w:p w14:paraId="5687536E" w14:textId="77777777" w:rsidR="00BE37AD" w:rsidRPr="00BE37AD" w:rsidRDefault="00BE37AD" w:rsidP="00BE37AD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7A3B9D8" w14:textId="4881139D" w:rsidR="00BE37AD" w:rsidRPr="00BE37AD" w:rsidRDefault="00BE37AD" w:rsidP="0045285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La designación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Zona Gastronómica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busca ampliar y fortalecer la oferta gastronómica y cultural del municipio, alineándose con la estructura comercial y turística ya existente. Esta zona estará delimitada por las mismas áreas establecidas en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Ordenanza Núm. 16, Serie 2024-2025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, que regulan el horario de cierre de comercios en la región. La delimitación comprende la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Avenida Las Nereidas, desde la Calle Destino hasta la Avenida Barbosa, y la Avenida Barbosa, desde la Calle José I. Correa hasta La Puntilla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. Este espacio integra la mayor parte de los </w:t>
      </w:r>
      <w:r w:rsidRPr="00BE37AD">
        <w:rPr>
          <w:rFonts w:ascii="Book Antiqua" w:hAnsi="Book Antiqua"/>
          <w:sz w:val="24"/>
          <w:szCs w:val="24"/>
          <w:lang w:val="es-ES_tradnl"/>
        </w:rPr>
        <w:lastRenderedPageBreak/>
        <w:t>restaurantes, quioscos, establecimientos gastronómicos y áreas culturales del municipio, consolidando su identidad como un punto de referencia culinario y turístico.</w:t>
      </w:r>
    </w:p>
    <w:p w14:paraId="34D76162" w14:textId="77777777" w:rsidR="00BE37AD" w:rsidRPr="00BE37AD" w:rsidRDefault="00BE37AD" w:rsidP="00452850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5EC0ACC" w14:textId="7313D0AD" w:rsidR="00EF50CA" w:rsidRPr="00BE37AD" w:rsidRDefault="00BE37AD" w:rsidP="00B570D0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Con esta designación, se impulsará un modelo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desarrollo sostenible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que beneficiará a los comerciantes locales, ampliará la oferta culinaria y fomentará la integración comunitaria. Además, esta iniciativa consolidará al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como un eje de desarrollo económico y cultural en Puerto Rico, asegurando su permanencia y evolución como destino gastronómico de primer nivel. La declaración de esta zona gastronómica no solo reconoce su valor actual, sino que garantiza su crecimiento y posicionamiento en el panorama turístico y culinario de la isla.</w:t>
      </w:r>
    </w:p>
    <w:p w14:paraId="02D7F414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762C935C" w14:textId="07A4A170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ANÁLISIS DE LA MEDIDA</w:t>
      </w:r>
    </w:p>
    <w:p w14:paraId="7D9BA59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5A3E4AAC" w14:textId="122596F1" w:rsidR="006D309C" w:rsidRDefault="005D04D3" w:rsidP="00CD0DE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En aras de evaluar el P</w:t>
      </w:r>
      <w:r w:rsidR="00D01097">
        <w:rPr>
          <w:rFonts w:ascii="Book Antiqua" w:hAnsi="Book Antiqua"/>
          <w:sz w:val="24"/>
          <w:szCs w:val="24"/>
        </w:rPr>
        <w:t>C</w:t>
      </w:r>
      <w:r>
        <w:rPr>
          <w:rFonts w:ascii="Book Antiqua" w:hAnsi="Book Antiqua"/>
          <w:sz w:val="24"/>
          <w:szCs w:val="24"/>
        </w:rPr>
        <w:t xml:space="preserve"> </w:t>
      </w:r>
      <w:r w:rsidR="006F604E">
        <w:rPr>
          <w:rFonts w:ascii="Book Antiqua" w:hAnsi="Book Antiqua"/>
          <w:sz w:val="24"/>
          <w:szCs w:val="24"/>
        </w:rPr>
        <w:t>335</w:t>
      </w:r>
      <w:r>
        <w:rPr>
          <w:rFonts w:ascii="Book Antiqua" w:hAnsi="Book Antiqua"/>
          <w:sz w:val="24"/>
          <w:szCs w:val="24"/>
        </w:rPr>
        <w:t xml:space="preserve">, la Comisión de Turismo de la Cámara de Representantes </w:t>
      </w:r>
      <w:r w:rsidR="006F604E">
        <w:rPr>
          <w:rFonts w:ascii="Book Antiqua" w:hAnsi="Book Antiqua"/>
          <w:sz w:val="24"/>
          <w:szCs w:val="24"/>
        </w:rPr>
        <w:t>llevó a cabo dos (2) vistas públicas en torno a esta medida y otras medidas análogas,</w:t>
      </w:r>
      <w:r w:rsidR="00BE37AD">
        <w:rPr>
          <w:rFonts w:ascii="Book Antiqua" w:hAnsi="Book Antiqua"/>
          <w:sz w:val="24"/>
          <w:szCs w:val="24"/>
        </w:rPr>
        <w:t xml:space="preserve"> tanto el 22 de abril, como el 8 de mayo. </w:t>
      </w:r>
      <w:proofErr w:type="gramStart"/>
      <w:r w:rsidR="00BE37AD">
        <w:rPr>
          <w:rFonts w:ascii="Book Antiqua" w:hAnsi="Book Antiqua"/>
          <w:sz w:val="24"/>
          <w:szCs w:val="24"/>
        </w:rPr>
        <w:t>Además</w:t>
      </w:r>
      <w:proofErr w:type="gramEnd"/>
      <w:r w:rsidR="00BE37AD">
        <w:rPr>
          <w:rFonts w:ascii="Book Antiqua" w:hAnsi="Book Antiqua"/>
          <w:sz w:val="24"/>
          <w:szCs w:val="24"/>
        </w:rPr>
        <w:t xml:space="preserve"> se</w:t>
      </w:r>
      <w:r w:rsidR="006F604E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tomó en consideración los siguientes memoriales que le fueron sometidos:</w:t>
      </w:r>
    </w:p>
    <w:p w14:paraId="037348EA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6FF67E1D" w14:textId="4CEE3086" w:rsidR="006D309C" w:rsidRPr="006D309C" w:rsidRDefault="006F604E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Municipio de Cataño</w:t>
      </w:r>
    </w:p>
    <w:p w14:paraId="18404BAD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6FE9CCA" w14:textId="1C57F5E4" w:rsidR="00A958DC" w:rsidRDefault="006F604E" w:rsidP="00AE2EA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 Municipio de Cataño</w:t>
      </w:r>
      <w:r w:rsidR="00B24D95">
        <w:rPr>
          <w:rFonts w:ascii="Book Antiqua" w:hAnsi="Book Antiqua"/>
          <w:sz w:val="24"/>
          <w:szCs w:val="24"/>
        </w:rPr>
        <w:t xml:space="preserve"> (“Municipio”)</w:t>
      </w:r>
      <w:r w:rsidR="00BE37AD">
        <w:rPr>
          <w:rFonts w:ascii="Book Antiqua" w:hAnsi="Book Antiqua"/>
          <w:sz w:val="24"/>
          <w:szCs w:val="24"/>
        </w:rPr>
        <w:t xml:space="preserve">, con la participación en vista pública de su Alcalde, </w:t>
      </w:r>
      <w:proofErr w:type="spellStart"/>
      <w:r w:rsidR="00BE37AD">
        <w:rPr>
          <w:rFonts w:ascii="Book Antiqua" w:hAnsi="Book Antiqua"/>
          <w:sz w:val="24"/>
          <w:szCs w:val="24"/>
        </w:rPr>
        <w:t>Hon</w:t>
      </w:r>
      <w:proofErr w:type="spellEnd"/>
      <w:r w:rsidR="00BE37AD">
        <w:rPr>
          <w:rFonts w:ascii="Book Antiqua" w:hAnsi="Book Antiqua"/>
          <w:sz w:val="24"/>
          <w:szCs w:val="24"/>
        </w:rPr>
        <w:t>. Julio Alicea Vasallo, comenzó dejando meridianamente claro que apoya la aprobación del PC 335, indicando que la misma es una “excelente iniciativa… que llega en un momento idóneo para Cataño.”</w:t>
      </w:r>
      <w:r w:rsidR="00AE2EA5">
        <w:rPr>
          <w:rFonts w:ascii="Book Antiqua" w:hAnsi="Book Antiqua"/>
          <w:sz w:val="24"/>
          <w:szCs w:val="24"/>
        </w:rPr>
        <w:t xml:space="preserve"> El </w:t>
      </w:r>
      <w:r w:rsidR="00B24D95">
        <w:rPr>
          <w:rFonts w:ascii="Book Antiqua" w:hAnsi="Book Antiqua"/>
          <w:sz w:val="24"/>
          <w:szCs w:val="24"/>
        </w:rPr>
        <w:t>Municipio</w:t>
      </w:r>
      <w:r w:rsidR="00AE2EA5">
        <w:rPr>
          <w:rFonts w:ascii="Book Antiqua" w:hAnsi="Book Antiqua"/>
          <w:sz w:val="24"/>
          <w:szCs w:val="24"/>
        </w:rPr>
        <w:t xml:space="preserve"> expuso que el Frente Marítimo del Municipio ya es una zona gastronómica en la práctica y que “[l]o que este proyecto haría es ponerle nombre y dirección a una transformación que nuestro pueblo ha impulsado con sacrificio y visión.”</w:t>
      </w:r>
    </w:p>
    <w:p w14:paraId="09D2590B" w14:textId="77777777" w:rsidR="00AE2EA5" w:rsidRDefault="00AE2EA5" w:rsidP="00AE2EA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78FAEE8A" w14:textId="409B4FB1" w:rsidR="00AE2EA5" w:rsidRPr="00A958DC" w:rsidRDefault="00AE2EA5" w:rsidP="00AE2EA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4"/>
          <w:szCs w:val="24"/>
        </w:rPr>
        <w:t xml:space="preserve">Dada la crisis fiscal enfrentada por la mayoría de nuestros municipios, el </w:t>
      </w:r>
      <w:r w:rsidR="00B24D95">
        <w:rPr>
          <w:rFonts w:ascii="Book Antiqua" w:hAnsi="Book Antiqua"/>
          <w:sz w:val="24"/>
          <w:szCs w:val="24"/>
        </w:rPr>
        <w:t>Municipio</w:t>
      </w:r>
      <w:r>
        <w:rPr>
          <w:rFonts w:ascii="Book Antiqua" w:hAnsi="Book Antiqua"/>
          <w:sz w:val="24"/>
          <w:szCs w:val="24"/>
        </w:rPr>
        <w:t xml:space="preserve"> expuso que “nos queda crear ambientes que ayuden al desarrollo económico”. A renglón seguido, el Alcalde expuso las razones por las cuales este Frente Marítimo merece ser designado como Zona Gastronómica, tal y como propone el PC 335.</w:t>
      </w:r>
      <w:r w:rsidR="00B24D95">
        <w:rPr>
          <w:rFonts w:ascii="Book Antiqua" w:hAnsi="Book Antiqua"/>
          <w:sz w:val="24"/>
          <w:szCs w:val="24"/>
        </w:rPr>
        <w:t xml:space="preserve"> Más aún, puntualizó indicando como esta medida es cónsona con el plan integral de desarrollo socioeconómico que </w:t>
      </w:r>
      <w:r w:rsidR="00487D05">
        <w:rPr>
          <w:rFonts w:ascii="Book Antiqua" w:hAnsi="Book Antiqua"/>
          <w:sz w:val="24"/>
          <w:szCs w:val="24"/>
        </w:rPr>
        <w:t>tiene el Municipio.</w:t>
      </w:r>
    </w:p>
    <w:p w14:paraId="1429EA72" w14:textId="63B44D19" w:rsidR="000D3B20" w:rsidRDefault="000D3B20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</w:p>
    <w:p w14:paraId="5D7ECF47" w14:textId="44E4E79A" w:rsidR="00203D28" w:rsidRDefault="00AE2EA5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Compañía de Turismo de Puerto Rico</w:t>
      </w:r>
    </w:p>
    <w:p w14:paraId="012A76A9" w14:textId="77777777" w:rsidR="00203D28" w:rsidRDefault="00203D28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</w:p>
    <w:p w14:paraId="0CCDCA16" w14:textId="456B03BB" w:rsidR="00A958DC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 Compañía de Turismo de Puerto Rico</w:t>
      </w:r>
      <w:r w:rsidR="00487D05">
        <w:rPr>
          <w:rFonts w:ascii="Book Antiqua" w:hAnsi="Book Antiqua"/>
          <w:sz w:val="24"/>
          <w:szCs w:val="24"/>
        </w:rPr>
        <w:t xml:space="preserve"> (“Compañía”)</w:t>
      </w:r>
      <w:r>
        <w:rPr>
          <w:rFonts w:ascii="Book Antiqua" w:hAnsi="Book Antiqua"/>
          <w:sz w:val="24"/>
          <w:szCs w:val="24"/>
        </w:rPr>
        <w:t xml:space="preserve"> reconoce el fin loable de este tipo de iniciativas. A esos efectos, ha indicado que ellos mantienen “un firme compromiso con las iniciativas que potencien el turismo como herramienta de desarrollo económico y cohesión comunitaria” y el mismo es aún más firme “con aquellas medidas que representen una oportunidad concreta de formalizar, mercadear y fortalecer zonas con amplio reconocimiento y potencial turístico.”</w:t>
      </w:r>
    </w:p>
    <w:p w14:paraId="214A5645" w14:textId="77777777" w:rsidR="00B24D95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0E339E86" w14:textId="302FCA98" w:rsidR="00B24D95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No obstante, la </w:t>
      </w:r>
      <w:r w:rsidR="00487D05">
        <w:rPr>
          <w:rFonts w:ascii="Book Antiqua" w:hAnsi="Book Antiqua"/>
          <w:sz w:val="24"/>
          <w:szCs w:val="24"/>
        </w:rPr>
        <w:t>Compañía también expuso sus reservas y preocupaciones. A esos efectos expresó:</w:t>
      </w:r>
    </w:p>
    <w:p w14:paraId="1465E9EF" w14:textId="77777777" w:rsidR="00487D05" w:rsidRDefault="00487D05" w:rsidP="00487D05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68290250" w14:textId="04117036" w:rsidR="00203D28" w:rsidRPr="00B00A1B" w:rsidRDefault="00487D05" w:rsidP="00B00A1B">
      <w:pPr>
        <w:spacing w:after="0" w:line="240" w:lineRule="auto"/>
        <w:ind w:left="720" w:right="720"/>
        <w:contextualSpacing/>
        <w:jc w:val="both"/>
        <w:rPr>
          <w:rFonts w:ascii="Book Antiqua" w:hAnsi="Book Antiqua"/>
          <w:sz w:val="20"/>
          <w:szCs w:val="20"/>
        </w:rPr>
      </w:pPr>
      <w:r w:rsidRPr="0030644E">
        <w:rPr>
          <w:rFonts w:ascii="Book Antiqua" w:hAnsi="Book Antiqua"/>
          <w:sz w:val="20"/>
          <w:szCs w:val="20"/>
        </w:rPr>
        <w:t xml:space="preserve">La designación recurrente y acelerada de nuevas zonas gastronómicas sin un marco uniforme de planificación podría provocar lo contrario a lo que se pretende y derrotar el propósito de estas zonas. La proliferación excesiva dispersa tiene el efecto de diluir los recursos humanos y fiscales limitados. Esto, a su vez reduciría la efectividad de las campañas promocionales. Por otro lado, la medida </w:t>
      </w:r>
      <w:r w:rsidR="0030644E" w:rsidRPr="0030644E">
        <w:rPr>
          <w:rFonts w:ascii="Book Antiqua" w:hAnsi="Book Antiqua"/>
          <w:sz w:val="20"/>
          <w:szCs w:val="20"/>
        </w:rPr>
        <w:t>impone nuevas obligaciones a la [Compañía], sin considerar la capacidad operativa actual de la agencia. Así mismo debemos señalar que no se presentan criterios objetivos de evaluación como potencial turístico, capacidad de carga o integración con planes regionales. Resaltamos por otro lado, que no se toma en cuenta el impacto fiscal que estas nuevas obligaciones tendrían sobre la [Compañía], el cual no se encuentra contemplado en su presupuesto.</w:t>
      </w:r>
    </w:p>
    <w:p w14:paraId="14E83015" w14:textId="77777777" w:rsidR="0030644E" w:rsidRDefault="0030644E" w:rsidP="00A958DC">
      <w:pPr>
        <w:spacing w:after="0" w:line="240" w:lineRule="auto"/>
        <w:contextualSpacing/>
        <w:rPr>
          <w:rFonts w:ascii="Book Antiqua" w:hAnsi="Book Antiqua"/>
          <w:b/>
          <w:bCs/>
          <w:sz w:val="24"/>
          <w:szCs w:val="24"/>
        </w:rPr>
      </w:pPr>
    </w:p>
    <w:p w14:paraId="3966EA82" w14:textId="64E2B43A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DETERMINACIÓN DE IMPACTO ECONÓMICO</w:t>
      </w:r>
    </w:p>
    <w:p w14:paraId="275E5D8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66A55861" w14:textId="595EAF6A" w:rsidR="00B00A1B" w:rsidRPr="00B570D0" w:rsidRDefault="005A64A9" w:rsidP="00B00A1B">
      <w:pPr>
        <w:pStyle w:val="ListParagraph"/>
        <w:ind w:left="0" w:firstLine="720"/>
        <w:jc w:val="both"/>
        <w:rPr>
          <w:rFonts w:ascii="Book Antiqua" w:hAnsi="Book Antiqua"/>
          <w:lang w:val="es-ES_tradnl"/>
        </w:rPr>
      </w:pPr>
      <w:r w:rsidRPr="008A6239">
        <w:rPr>
          <w:rFonts w:ascii="Book Antiqua" w:hAnsi="Book Antiqua"/>
          <w:szCs w:val="24"/>
          <w:lang w:val="es-PR"/>
        </w:rPr>
        <w:t>Conforme al análisis y los hallazgos de la medida, la Comisión de Turismo considera que su aprobación NO tendrá un impacto fiscal significativo en los presupuestos de las agencias, departamentos, organismos, instrumentalidades o corporaciones públicas que requiera certificación de la Oficina de Gerencia y Presupuesto.</w:t>
      </w:r>
      <w:r w:rsidR="00A958DC" w:rsidRPr="008A6239">
        <w:rPr>
          <w:rFonts w:ascii="Book Antiqua" w:hAnsi="Book Antiqua"/>
          <w:szCs w:val="24"/>
          <w:lang w:val="es-PR"/>
        </w:rPr>
        <w:t xml:space="preserve"> </w:t>
      </w:r>
      <w:r w:rsidR="00A958DC" w:rsidRPr="00B00A1B">
        <w:rPr>
          <w:rFonts w:ascii="Book Antiqua" w:hAnsi="Book Antiqua"/>
          <w:szCs w:val="24"/>
          <w:lang w:val="es-PR"/>
        </w:rPr>
        <w:t>A esos efectos</w:t>
      </w:r>
      <w:r w:rsidR="00B00A1B" w:rsidRPr="00B00A1B">
        <w:rPr>
          <w:rFonts w:ascii="Book Antiqua" w:hAnsi="Book Antiqua"/>
          <w:szCs w:val="24"/>
          <w:lang w:val="es-PR"/>
        </w:rPr>
        <w:t xml:space="preserve">, es menester reiterar </w:t>
      </w:r>
      <w:proofErr w:type="gramStart"/>
      <w:r w:rsidR="00B00A1B" w:rsidRPr="00B00A1B">
        <w:rPr>
          <w:rFonts w:ascii="Book Antiqua" w:hAnsi="Book Antiqua"/>
          <w:szCs w:val="24"/>
          <w:lang w:val="es-PR"/>
        </w:rPr>
        <w:t>que</w:t>
      </w:r>
      <w:proofErr w:type="gramEnd"/>
      <w:r w:rsidR="00B00A1B" w:rsidRPr="00B00A1B">
        <w:rPr>
          <w:rFonts w:ascii="Book Antiqua" w:hAnsi="Book Antiqua"/>
          <w:szCs w:val="24"/>
          <w:lang w:val="es-PR"/>
        </w:rPr>
        <w:t xml:space="preserve"> </w:t>
      </w:r>
      <w:r w:rsidR="00B570D0">
        <w:rPr>
          <w:rFonts w:ascii="Book Antiqua" w:hAnsi="Book Antiqua"/>
          <w:szCs w:val="24"/>
          <w:lang w:val="es-PR"/>
        </w:rPr>
        <w:t xml:space="preserve">si la Compañía </w:t>
      </w:r>
      <w:r w:rsidR="00B00A1B" w:rsidRPr="00B570D0">
        <w:rPr>
          <w:rFonts w:ascii="Book Antiqua" w:hAnsi="Book Antiqua"/>
          <w:lang w:val="es-ES_tradnl"/>
        </w:rPr>
        <w:t xml:space="preserve">identifica que alguno de los requerimientos no puede ser atendido con el presupuesto y los recursos existentes, ésta tendrá que asegurarse que los mismos estén específicamente consignados en los presupuestos subsiguientes. </w:t>
      </w:r>
    </w:p>
    <w:p w14:paraId="327F4CAD" w14:textId="77777777" w:rsidR="00B00A1B" w:rsidRPr="00B570D0" w:rsidRDefault="00B00A1B" w:rsidP="00B00A1B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F12891F" w14:textId="589EE8B0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CONCLUSIÓN Y RECOMENDACIÓN</w:t>
      </w:r>
    </w:p>
    <w:p w14:paraId="3691C10E" w14:textId="77777777" w:rsidR="00B570D0" w:rsidRDefault="00B570D0" w:rsidP="00B570D0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5B1966B8" w14:textId="37340290" w:rsidR="00B570D0" w:rsidRPr="00B570D0" w:rsidRDefault="00B570D0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La designación del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Frente Marítimo de Cataño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como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Zona Gastronómica</w:t>
      </w:r>
      <w:r>
        <w:rPr>
          <w:rFonts w:ascii="Book Antiqua" w:hAnsi="Book Antiqua"/>
          <w:bCs/>
          <w:sz w:val="24"/>
          <w:szCs w:val="24"/>
          <w:lang w:val="es-ES_tradnl"/>
        </w:rPr>
        <w:t>, según propone el PC 335,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impulsará un modelo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desarrollo </w:t>
      </w:r>
      <w:r w:rsidR="00712BFF">
        <w:rPr>
          <w:rFonts w:ascii="Book Antiqua" w:hAnsi="Book Antiqua"/>
          <w:bCs/>
          <w:sz w:val="24"/>
          <w:szCs w:val="24"/>
          <w:lang w:val="es-ES_tradnl"/>
        </w:rPr>
        <w:t xml:space="preserve">económico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sostenible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que beneficiará a los comerciantes locales, ampliará la oferta culinaria y fomentará la integración comunitaria</w:t>
      </w:r>
      <w:r w:rsidR="00452850">
        <w:rPr>
          <w:rFonts w:ascii="Book Antiqua" w:hAnsi="Book Antiqua"/>
          <w:sz w:val="24"/>
          <w:szCs w:val="24"/>
          <w:lang w:val="es-ES_tradnl"/>
        </w:rPr>
        <w:t>, asegurando el posicionamiento de Cataño como un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destino gastronómico de primer nivel.</w:t>
      </w:r>
    </w:p>
    <w:p w14:paraId="59FADECC" w14:textId="77777777" w:rsidR="00B570D0" w:rsidRDefault="00B570D0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3EB7AEF5" w14:textId="61DDDC89" w:rsidR="006D309C" w:rsidRDefault="006D309C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Por </w:t>
      </w:r>
      <w:r w:rsidR="00712BFF">
        <w:rPr>
          <w:rFonts w:ascii="Book Antiqua" w:hAnsi="Book Antiqua"/>
          <w:sz w:val="24"/>
          <w:szCs w:val="24"/>
        </w:rPr>
        <w:t xml:space="preserve">todo </w:t>
      </w:r>
      <w:r>
        <w:rPr>
          <w:rFonts w:ascii="Book Antiqua" w:hAnsi="Book Antiqua"/>
          <w:sz w:val="24"/>
          <w:szCs w:val="24"/>
        </w:rPr>
        <w:t xml:space="preserve">lo antes expuesto, recomendamos la aprobación del PC </w:t>
      </w:r>
      <w:r w:rsidR="00B570D0">
        <w:rPr>
          <w:rFonts w:ascii="Book Antiqua" w:hAnsi="Book Antiqua"/>
          <w:sz w:val="24"/>
          <w:szCs w:val="24"/>
        </w:rPr>
        <w:t>335</w:t>
      </w:r>
      <w:r>
        <w:rPr>
          <w:rFonts w:ascii="Book Antiqua" w:hAnsi="Book Antiqua"/>
          <w:sz w:val="24"/>
          <w:szCs w:val="24"/>
        </w:rPr>
        <w:t xml:space="preserve">, incorporando las enmiendas sugeridas al título y al texto </w:t>
      </w:r>
      <w:proofErr w:type="spellStart"/>
      <w:r>
        <w:rPr>
          <w:rFonts w:ascii="Book Antiqua" w:hAnsi="Book Antiqua"/>
          <w:sz w:val="24"/>
          <w:szCs w:val="24"/>
        </w:rPr>
        <w:t>decretativo</w:t>
      </w:r>
      <w:proofErr w:type="spellEnd"/>
      <w:r>
        <w:rPr>
          <w:rFonts w:ascii="Book Antiqua" w:hAnsi="Book Antiqua"/>
          <w:sz w:val="24"/>
          <w:szCs w:val="24"/>
        </w:rPr>
        <w:t xml:space="preserve"> que se detallan en el </w:t>
      </w:r>
      <w:proofErr w:type="spellStart"/>
      <w:r>
        <w:rPr>
          <w:rFonts w:ascii="Book Antiqua" w:hAnsi="Book Antiqua"/>
          <w:sz w:val="24"/>
          <w:szCs w:val="24"/>
        </w:rPr>
        <w:t>entirillado</w:t>
      </w:r>
      <w:proofErr w:type="spellEnd"/>
      <w:r>
        <w:rPr>
          <w:rFonts w:ascii="Book Antiqua" w:hAnsi="Book Antiqua"/>
          <w:sz w:val="24"/>
          <w:szCs w:val="24"/>
        </w:rPr>
        <w:t xml:space="preserve"> electrónico que se acompaña.</w:t>
      </w:r>
    </w:p>
    <w:p w14:paraId="0133486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9D89AE3" w14:textId="4B06F110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Respetuosamente sometido,</w:t>
      </w:r>
    </w:p>
    <w:p w14:paraId="0D5B1276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D94C7FD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CE648D8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5B3DA1C" w14:textId="5E8F0168" w:rsidR="006D309C" w:rsidRP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b/>
          <w:bCs/>
          <w:sz w:val="24"/>
          <w:szCs w:val="24"/>
        </w:rPr>
      </w:pPr>
      <w:proofErr w:type="spellStart"/>
      <w:r w:rsidRPr="006D309C">
        <w:rPr>
          <w:rFonts w:ascii="Book Antiqua" w:hAnsi="Book Antiqua"/>
          <w:b/>
          <w:bCs/>
          <w:sz w:val="24"/>
          <w:szCs w:val="24"/>
        </w:rPr>
        <w:t>Hon</w:t>
      </w:r>
      <w:proofErr w:type="spellEnd"/>
      <w:r w:rsidRPr="006D309C">
        <w:rPr>
          <w:rFonts w:ascii="Book Antiqua" w:hAnsi="Book Antiqua"/>
          <w:b/>
          <w:bCs/>
          <w:sz w:val="24"/>
          <w:szCs w:val="24"/>
        </w:rPr>
        <w:t>. Axel “Chino” Roque Gracia</w:t>
      </w:r>
    </w:p>
    <w:p w14:paraId="3E95DA52" w14:textId="0B1BCBFD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Presidente</w:t>
      </w:r>
    </w:p>
    <w:p w14:paraId="31759F89" w14:textId="0D054D42" w:rsidR="006D309C" w:rsidRPr="00495194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Comisión de Turismo</w:t>
      </w:r>
    </w:p>
    <w:sectPr w:rsidR="006D309C" w:rsidRPr="00495194" w:rsidSect="00D8517B">
      <w:footerReference w:type="default" r:id="rId7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6FDBA" w14:textId="77777777" w:rsidR="00D8517B" w:rsidRDefault="00D8517B" w:rsidP="00D8517B">
      <w:pPr>
        <w:spacing w:after="0" w:line="240" w:lineRule="auto"/>
      </w:pPr>
      <w:r>
        <w:separator/>
      </w:r>
    </w:p>
  </w:endnote>
  <w:endnote w:type="continuationSeparator" w:id="0">
    <w:p w14:paraId="003B6C7C" w14:textId="77777777" w:rsidR="00D8517B" w:rsidRDefault="00D8517B" w:rsidP="00D85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24BB" w14:textId="77777777" w:rsidR="00D8517B" w:rsidRDefault="00D8517B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998A156" w14:textId="77777777" w:rsidR="00D8517B" w:rsidRDefault="00D851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65338" w14:textId="77777777" w:rsidR="00D8517B" w:rsidRDefault="00D8517B" w:rsidP="00D8517B">
      <w:pPr>
        <w:spacing w:after="0" w:line="240" w:lineRule="auto"/>
      </w:pPr>
      <w:r>
        <w:separator/>
      </w:r>
    </w:p>
  </w:footnote>
  <w:footnote w:type="continuationSeparator" w:id="0">
    <w:p w14:paraId="690F5BBF" w14:textId="77777777" w:rsidR="00D8517B" w:rsidRDefault="00D8517B" w:rsidP="00D85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ABA21376"/>
    <w:lvl w:ilvl="0" w:tplc="C8B087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011E5"/>
    <w:multiLevelType w:val="hybridMultilevel"/>
    <w:tmpl w:val="6D1A0E2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943819">
    <w:abstractNumId w:val="1"/>
  </w:num>
  <w:num w:numId="2" w16cid:durableId="213512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A1B40"/>
    <w:rsid w:val="000A23E8"/>
    <w:rsid w:val="000A59A5"/>
    <w:rsid w:val="000A63B6"/>
    <w:rsid w:val="000C1E77"/>
    <w:rsid w:val="000D2C21"/>
    <w:rsid w:val="000D3B20"/>
    <w:rsid w:val="000D7B43"/>
    <w:rsid w:val="000E3304"/>
    <w:rsid w:val="000E5923"/>
    <w:rsid w:val="000F08D9"/>
    <w:rsid w:val="000F0E1C"/>
    <w:rsid w:val="00100DAB"/>
    <w:rsid w:val="0010204A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34D"/>
    <w:rsid w:val="001625CC"/>
    <w:rsid w:val="00163FD0"/>
    <w:rsid w:val="00166A62"/>
    <w:rsid w:val="001801FA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7F33"/>
    <w:rsid w:val="001C0214"/>
    <w:rsid w:val="001C23A4"/>
    <w:rsid w:val="001C2F8C"/>
    <w:rsid w:val="001C651A"/>
    <w:rsid w:val="001D24E3"/>
    <w:rsid w:val="001D27FC"/>
    <w:rsid w:val="001E0EB9"/>
    <w:rsid w:val="001F1C41"/>
    <w:rsid w:val="001F5342"/>
    <w:rsid w:val="00202A25"/>
    <w:rsid w:val="00203D28"/>
    <w:rsid w:val="002059E7"/>
    <w:rsid w:val="00206F8C"/>
    <w:rsid w:val="0020752C"/>
    <w:rsid w:val="00215596"/>
    <w:rsid w:val="00221D80"/>
    <w:rsid w:val="00221F6C"/>
    <w:rsid w:val="0022440E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6A4C"/>
    <w:rsid w:val="002B3A09"/>
    <w:rsid w:val="002B76D4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0644E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1FAA"/>
    <w:rsid w:val="0034204E"/>
    <w:rsid w:val="00345DD9"/>
    <w:rsid w:val="003507E1"/>
    <w:rsid w:val="0035113C"/>
    <w:rsid w:val="00362327"/>
    <w:rsid w:val="00364381"/>
    <w:rsid w:val="003647D8"/>
    <w:rsid w:val="00373D07"/>
    <w:rsid w:val="00374859"/>
    <w:rsid w:val="003751C5"/>
    <w:rsid w:val="00375C09"/>
    <w:rsid w:val="0037717C"/>
    <w:rsid w:val="003850E1"/>
    <w:rsid w:val="003868EF"/>
    <w:rsid w:val="003A05C4"/>
    <w:rsid w:val="003B0BF5"/>
    <w:rsid w:val="003B34FF"/>
    <w:rsid w:val="003C1771"/>
    <w:rsid w:val="003E3F89"/>
    <w:rsid w:val="003F19EE"/>
    <w:rsid w:val="003F4F48"/>
    <w:rsid w:val="003F5977"/>
    <w:rsid w:val="0040074B"/>
    <w:rsid w:val="004008D2"/>
    <w:rsid w:val="0040129F"/>
    <w:rsid w:val="004028BC"/>
    <w:rsid w:val="00402DC0"/>
    <w:rsid w:val="0040644C"/>
    <w:rsid w:val="0041185A"/>
    <w:rsid w:val="0041353A"/>
    <w:rsid w:val="00417B43"/>
    <w:rsid w:val="004204B2"/>
    <w:rsid w:val="00421E82"/>
    <w:rsid w:val="00423CCD"/>
    <w:rsid w:val="00424649"/>
    <w:rsid w:val="004259B1"/>
    <w:rsid w:val="0043257E"/>
    <w:rsid w:val="004459E9"/>
    <w:rsid w:val="004467BB"/>
    <w:rsid w:val="004506FF"/>
    <w:rsid w:val="00452850"/>
    <w:rsid w:val="0045435B"/>
    <w:rsid w:val="004564C7"/>
    <w:rsid w:val="004610E2"/>
    <w:rsid w:val="00461708"/>
    <w:rsid w:val="00463652"/>
    <w:rsid w:val="0046682C"/>
    <w:rsid w:val="00472B33"/>
    <w:rsid w:val="00475C2C"/>
    <w:rsid w:val="00476648"/>
    <w:rsid w:val="00484E68"/>
    <w:rsid w:val="00487763"/>
    <w:rsid w:val="00487D05"/>
    <w:rsid w:val="00492D77"/>
    <w:rsid w:val="0049315E"/>
    <w:rsid w:val="00495194"/>
    <w:rsid w:val="004962A4"/>
    <w:rsid w:val="0049769B"/>
    <w:rsid w:val="00497FE7"/>
    <w:rsid w:val="004A54D9"/>
    <w:rsid w:val="004A55C0"/>
    <w:rsid w:val="004B3306"/>
    <w:rsid w:val="004C003C"/>
    <w:rsid w:val="004C063A"/>
    <w:rsid w:val="004C5C6B"/>
    <w:rsid w:val="004C7FAC"/>
    <w:rsid w:val="004D0501"/>
    <w:rsid w:val="004D0AA6"/>
    <w:rsid w:val="004D6BC8"/>
    <w:rsid w:val="004D7E89"/>
    <w:rsid w:val="004E4394"/>
    <w:rsid w:val="004F5CD0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37D0C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4F2D"/>
    <w:rsid w:val="005A64A9"/>
    <w:rsid w:val="005C4C8D"/>
    <w:rsid w:val="005C53BB"/>
    <w:rsid w:val="005D04D3"/>
    <w:rsid w:val="005E1B54"/>
    <w:rsid w:val="005F62C1"/>
    <w:rsid w:val="00602B37"/>
    <w:rsid w:val="00611C2B"/>
    <w:rsid w:val="00613E2D"/>
    <w:rsid w:val="00625F3F"/>
    <w:rsid w:val="006267F0"/>
    <w:rsid w:val="006307DE"/>
    <w:rsid w:val="006324A6"/>
    <w:rsid w:val="006345D0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AB7"/>
    <w:rsid w:val="00666C68"/>
    <w:rsid w:val="00667F4F"/>
    <w:rsid w:val="00672EA5"/>
    <w:rsid w:val="006807BB"/>
    <w:rsid w:val="00686128"/>
    <w:rsid w:val="006879FF"/>
    <w:rsid w:val="006949CD"/>
    <w:rsid w:val="00696392"/>
    <w:rsid w:val="006B52A8"/>
    <w:rsid w:val="006B601D"/>
    <w:rsid w:val="006C175C"/>
    <w:rsid w:val="006C4D28"/>
    <w:rsid w:val="006C7668"/>
    <w:rsid w:val="006D309C"/>
    <w:rsid w:val="006D400F"/>
    <w:rsid w:val="006E17F9"/>
    <w:rsid w:val="006F5C8B"/>
    <w:rsid w:val="006F604E"/>
    <w:rsid w:val="00701242"/>
    <w:rsid w:val="00712BFF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810C02"/>
    <w:rsid w:val="00811CB2"/>
    <w:rsid w:val="00815FCE"/>
    <w:rsid w:val="008212F2"/>
    <w:rsid w:val="00825F17"/>
    <w:rsid w:val="00826738"/>
    <w:rsid w:val="00827AA8"/>
    <w:rsid w:val="00832EEC"/>
    <w:rsid w:val="00833965"/>
    <w:rsid w:val="00837861"/>
    <w:rsid w:val="00837DF1"/>
    <w:rsid w:val="0085131F"/>
    <w:rsid w:val="00852191"/>
    <w:rsid w:val="00861E46"/>
    <w:rsid w:val="00867655"/>
    <w:rsid w:val="00870359"/>
    <w:rsid w:val="0087097F"/>
    <w:rsid w:val="00876B85"/>
    <w:rsid w:val="00880AB8"/>
    <w:rsid w:val="00880D57"/>
    <w:rsid w:val="008834E0"/>
    <w:rsid w:val="00897844"/>
    <w:rsid w:val="008A6239"/>
    <w:rsid w:val="008B152B"/>
    <w:rsid w:val="008C16E3"/>
    <w:rsid w:val="008C2DC0"/>
    <w:rsid w:val="008C69EB"/>
    <w:rsid w:val="008C7ED7"/>
    <w:rsid w:val="008D4EC9"/>
    <w:rsid w:val="008D5DCA"/>
    <w:rsid w:val="008E2E71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33687"/>
    <w:rsid w:val="00944376"/>
    <w:rsid w:val="00947326"/>
    <w:rsid w:val="00971CD2"/>
    <w:rsid w:val="0098167D"/>
    <w:rsid w:val="0099362A"/>
    <w:rsid w:val="00997248"/>
    <w:rsid w:val="009A43A7"/>
    <w:rsid w:val="009B3F69"/>
    <w:rsid w:val="009C20C8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7C61"/>
    <w:rsid w:val="00A0191D"/>
    <w:rsid w:val="00A019D5"/>
    <w:rsid w:val="00A02A91"/>
    <w:rsid w:val="00A043E7"/>
    <w:rsid w:val="00A054B6"/>
    <w:rsid w:val="00A07286"/>
    <w:rsid w:val="00A20386"/>
    <w:rsid w:val="00A216AB"/>
    <w:rsid w:val="00A34E8F"/>
    <w:rsid w:val="00A4361A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87613"/>
    <w:rsid w:val="00A90A91"/>
    <w:rsid w:val="00A958DC"/>
    <w:rsid w:val="00AA6A88"/>
    <w:rsid w:val="00AA7F2D"/>
    <w:rsid w:val="00AA7F3B"/>
    <w:rsid w:val="00AA7F40"/>
    <w:rsid w:val="00AB4063"/>
    <w:rsid w:val="00AB6145"/>
    <w:rsid w:val="00AC21D9"/>
    <w:rsid w:val="00AC68C4"/>
    <w:rsid w:val="00AD0B4E"/>
    <w:rsid w:val="00AE134B"/>
    <w:rsid w:val="00AE2EA5"/>
    <w:rsid w:val="00AF2088"/>
    <w:rsid w:val="00AF6E70"/>
    <w:rsid w:val="00B00A1B"/>
    <w:rsid w:val="00B06312"/>
    <w:rsid w:val="00B10C1B"/>
    <w:rsid w:val="00B16043"/>
    <w:rsid w:val="00B24D95"/>
    <w:rsid w:val="00B26F75"/>
    <w:rsid w:val="00B32ED3"/>
    <w:rsid w:val="00B35E23"/>
    <w:rsid w:val="00B418AA"/>
    <w:rsid w:val="00B479CE"/>
    <w:rsid w:val="00B52DEC"/>
    <w:rsid w:val="00B551CB"/>
    <w:rsid w:val="00B570D0"/>
    <w:rsid w:val="00B630E3"/>
    <w:rsid w:val="00B6552A"/>
    <w:rsid w:val="00B7456D"/>
    <w:rsid w:val="00B82890"/>
    <w:rsid w:val="00B95001"/>
    <w:rsid w:val="00B96451"/>
    <w:rsid w:val="00BA5281"/>
    <w:rsid w:val="00BA7EAA"/>
    <w:rsid w:val="00BB1123"/>
    <w:rsid w:val="00BB36A7"/>
    <w:rsid w:val="00BC526D"/>
    <w:rsid w:val="00BC5FD2"/>
    <w:rsid w:val="00BC74B8"/>
    <w:rsid w:val="00BD18A0"/>
    <w:rsid w:val="00BE0146"/>
    <w:rsid w:val="00BE1C61"/>
    <w:rsid w:val="00BE37AD"/>
    <w:rsid w:val="00BE4AA5"/>
    <w:rsid w:val="00BE4F49"/>
    <w:rsid w:val="00BE5405"/>
    <w:rsid w:val="00BE5442"/>
    <w:rsid w:val="00BE6490"/>
    <w:rsid w:val="00BF1B31"/>
    <w:rsid w:val="00BF4201"/>
    <w:rsid w:val="00BF6197"/>
    <w:rsid w:val="00C01830"/>
    <w:rsid w:val="00C12143"/>
    <w:rsid w:val="00C1592C"/>
    <w:rsid w:val="00C24320"/>
    <w:rsid w:val="00C24E1A"/>
    <w:rsid w:val="00C27C9F"/>
    <w:rsid w:val="00C35CF5"/>
    <w:rsid w:val="00C3732A"/>
    <w:rsid w:val="00C417E7"/>
    <w:rsid w:val="00C5244D"/>
    <w:rsid w:val="00C66706"/>
    <w:rsid w:val="00C7105C"/>
    <w:rsid w:val="00C760B4"/>
    <w:rsid w:val="00C83C95"/>
    <w:rsid w:val="00C8606D"/>
    <w:rsid w:val="00C908C3"/>
    <w:rsid w:val="00CA49B8"/>
    <w:rsid w:val="00CB50A9"/>
    <w:rsid w:val="00CB556D"/>
    <w:rsid w:val="00CB6DD5"/>
    <w:rsid w:val="00CC1119"/>
    <w:rsid w:val="00CC38F4"/>
    <w:rsid w:val="00CC7828"/>
    <w:rsid w:val="00CD0DE5"/>
    <w:rsid w:val="00CD1FFB"/>
    <w:rsid w:val="00CD202D"/>
    <w:rsid w:val="00CD2E6D"/>
    <w:rsid w:val="00CD3BEE"/>
    <w:rsid w:val="00CD5D0A"/>
    <w:rsid w:val="00CF2509"/>
    <w:rsid w:val="00CF6004"/>
    <w:rsid w:val="00CF7329"/>
    <w:rsid w:val="00D01097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8216F"/>
    <w:rsid w:val="00D8219C"/>
    <w:rsid w:val="00D82A00"/>
    <w:rsid w:val="00D8517B"/>
    <w:rsid w:val="00D86CCB"/>
    <w:rsid w:val="00D92787"/>
    <w:rsid w:val="00D95F72"/>
    <w:rsid w:val="00D974D4"/>
    <w:rsid w:val="00DA13F2"/>
    <w:rsid w:val="00DA43B6"/>
    <w:rsid w:val="00DA46BB"/>
    <w:rsid w:val="00DA723B"/>
    <w:rsid w:val="00DB02DF"/>
    <w:rsid w:val="00DB2FAC"/>
    <w:rsid w:val="00DC23B9"/>
    <w:rsid w:val="00DC6EB2"/>
    <w:rsid w:val="00DD6772"/>
    <w:rsid w:val="00DD77DB"/>
    <w:rsid w:val="00DE7D27"/>
    <w:rsid w:val="00DF55D3"/>
    <w:rsid w:val="00DF7A4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3BFD"/>
    <w:rsid w:val="00E54927"/>
    <w:rsid w:val="00E6058B"/>
    <w:rsid w:val="00E67EE9"/>
    <w:rsid w:val="00E82448"/>
    <w:rsid w:val="00E87F4A"/>
    <w:rsid w:val="00E93579"/>
    <w:rsid w:val="00EA4360"/>
    <w:rsid w:val="00EA678D"/>
    <w:rsid w:val="00EB0D5A"/>
    <w:rsid w:val="00EC1DA6"/>
    <w:rsid w:val="00EC1FFC"/>
    <w:rsid w:val="00EC28C5"/>
    <w:rsid w:val="00ED11D4"/>
    <w:rsid w:val="00ED1A4D"/>
    <w:rsid w:val="00ED6058"/>
    <w:rsid w:val="00ED7F94"/>
    <w:rsid w:val="00EE009B"/>
    <w:rsid w:val="00EE411F"/>
    <w:rsid w:val="00EE4646"/>
    <w:rsid w:val="00EE679B"/>
    <w:rsid w:val="00EE6B73"/>
    <w:rsid w:val="00EF0589"/>
    <w:rsid w:val="00EF4DCC"/>
    <w:rsid w:val="00EF50CA"/>
    <w:rsid w:val="00EF778E"/>
    <w:rsid w:val="00F01AE2"/>
    <w:rsid w:val="00F04538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3441"/>
    <w:rsid w:val="00F3727E"/>
    <w:rsid w:val="00F40AB7"/>
    <w:rsid w:val="00F46A16"/>
    <w:rsid w:val="00F5555A"/>
    <w:rsid w:val="00F6602C"/>
    <w:rsid w:val="00F7541D"/>
    <w:rsid w:val="00F80184"/>
    <w:rsid w:val="00F86A08"/>
    <w:rsid w:val="00F95BC3"/>
    <w:rsid w:val="00F97BB1"/>
    <w:rsid w:val="00FA384C"/>
    <w:rsid w:val="00FA51A9"/>
    <w:rsid w:val="00FA61D6"/>
    <w:rsid w:val="00FB4B5A"/>
    <w:rsid w:val="00FB6EC3"/>
    <w:rsid w:val="00FC248B"/>
    <w:rsid w:val="00FD25D1"/>
    <w:rsid w:val="00FD36F3"/>
    <w:rsid w:val="00FD66B3"/>
    <w:rsid w:val="00FE0A37"/>
    <w:rsid w:val="00FE31F2"/>
    <w:rsid w:val="00FF03B8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BodyTextIndent2">
    <w:name w:val="Body Text Indent 2"/>
    <w:basedOn w:val="Normal"/>
    <w:link w:val="BodyTextIndent2Char"/>
    <w:semiHidden/>
    <w:unhideWhenUsed/>
    <w:rsid w:val="00E53BFD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53BFD"/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ListParagraph">
    <w:name w:val="List Paragraph"/>
    <w:basedOn w:val="Normal"/>
    <w:uiPriority w:val="34"/>
    <w:qFormat/>
    <w:rsid w:val="00B00A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51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17B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D851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17B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1430</Words>
  <Characters>8154</Characters>
  <Application>Microsoft Office Word</Application>
  <DocSecurity>4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Camyl Moreno Pantojas</cp:lastModifiedBy>
  <cp:revision>2</cp:revision>
  <cp:lastPrinted>2025-06-19T20:41:00Z</cp:lastPrinted>
  <dcterms:created xsi:type="dcterms:W3CDTF">2025-06-20T13:49:00Z</dcterms:created>
  <dcterms:modified xsi:type="dcterms:W3CDTF">2025-06-20T13:49:00Z</dcterms:modified>
</cp:coreProperties>
</file>