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F10434" w:rsidRDefault="00ED30AA" w:rsidP="00ED30AA">
      <w:pPr>
        <w:jc w:val="center"/>
        <w:rPr>
          <w:rFonts w:ascii="Book Antiqua" w:hAnsi="Book Antiqua"/>
          <w:sz w:val="28"/>
          <w:szCs w:val="28"/>
          <w:lang w:val="es-ES"/>
        </w:rPr>
      </w:pPr>
      <w:r w:rsidRPr="00F10434">
        <w:rPr>
          <w:rFonts w:ascii="Book Antiqua" w:hAnsi="Book Antiqua"/>
          <w:b/>
          <w:sz w:val="28"/>
          <w:szCs w:val="28"/>
          <w:lang w:val="es-ES"/>
        </w:rPr>
        <w:t>GOBIERNO DE PUERTO RICO</w:t>
      </w:r>
    </w:p>
    <w:p w14:paraId="73AB2208" w14:textId="77777777" w:rsidR="00ED30AA" w:rsidRPr="00F1043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F10434" w14:paraId="53F9BF01" w14:textId="77777777" w:rsidTr="00ED30AA">
        <w:tc>
          <w:tcPr>
            <w:tcW w:w="3139" w:type="dxa"/>
            <w:hideMark/>
          </w:tcPr>
          <w:p w14:paraId="0745955B" w14:textId="77777777" w:rsidR="00ED30AA" w:rsidRPr="00F10434" w:rsidRDefault="00ED30AA" w:rsidP="00ED30AA">
            <w:pPr>
              <w:rPr>
                <w:rFonts w:ascii="Book Antiqua" w:hAnsi="Book Antiqua"/>
                <w:szCs w:val="24"/>
                <w:lang w:val="es-ES"/>
              </w:rPr>
            </w:pPr>
            <w:r w:rsidRPr="00F10434">
              <w:rPr>
                <w:rFonts w:ascii="Book Antiqua" w:hAnsi="Book Antiqua"/>
                <w:szCs w:val="24"/>
                <w:lang w:val="es-ES"/>
              </w:rPr>
              <w:t>20</w:t>
            </w:r>
            <w:r w:rsidRPr="00F10434">
              <w:rPr>
                <w:rFonts w:ascii="Book Antiqua" w:hAnsi="Book Antiqua"/>
                <w:szCs w:val="24"/>
                <w:vertAlign w:val="superscript"/>
                <w:lang w:val="es-ES"/>
              </w:rPr>
              <w:t>ma</w:t>
            </w:r>
            <w:r w:rsidRPr="00F10434">
              <w:rPr>
                <w:rFonts w:ascii="Book Antiqua" w:hAnsi="Book Antiqua"/>
                <w:szCs w:val="24"/>
                <w:lang w:val="es-ES"/>
              </w:rPr>
              <w:t>Asamblea</w:t>
            </w:r>
          </w:p>
          <w:p w14:paraId="137F6EB2" w14:textId="4171334E" w:rsidR="00ED30AA" w:rsidRPr="00F10434" w:rsidRDefault="00ED30AA" w:rsidP="00ED30AA">
            <w:pPr>
              <w:rPr>
                <w:rFonts w:ascii="Book Antiqua" w:hAnsi="Book Antiqua"/>
                <w:szCs w:val="24"/>
                <w:lang w:val="es-ES"/>
              </w:rPr>
            </w:pPr>
            <w:r w:rsidRPr="00F10434">
              <w:rPr>
                <w:rFonts w:ascii="Book Antiqua" w:hAnsi="Book Antiqua"/>
                <w:szCs w:val="24"/>
                <w:lang w:val="es-ES"/>
              </w:rPr>
              <w:t xml:space="preserve">        Legislativa</w:t>
            </w:r>
          </w:p>
        </w:tc>
        <w:tc>
          <w:tcPr>
            <w:tcW w:w="3095" w:type="dxa"/>
          </w:tcPr>
          <w:p w14:paraId="1AC663B4" w14:textId="77777777" w:rsidR="00ED30AA" w:rsidRPr="00F10434" w:rsidRDefault="00ED30AA" w:rsidP="00ED30AA">
            <w:pPr>
              <w:jc w:val="center"/>
              <w:rPr>
                <w:rFonts w:ascii="Book Antiqua" w:hAnsi="Book Antiqua"/>
                <w:szCs w:val="24"/>
                <w:lang w:val="es-ES"/>
              </w:rPr>
            </w:pPr>
          </w:p>
        </w:tc>
        <w:tc>
          <w:tcPr>
            <w:tcW w:w="3126" w:type="dxa"/>
            <w:hideMark/>
          </w:tcPr>
          <w:p w14:paraId="47EBBD58" w14:textId="73F3999D" w:rsidR="00ED30AA" w:rsidRPr="00F10434" w:rsidRDefault="00ED30AA" w:rsidP="00ED30AA">
            <w:pPr>
              <w:jc w:val="center"/>
              <w:rPr>
                <w:rFonts w:ascii="Book Antiqua" w:hAnsi="Book Antiqua"/>
                <w:szCs w:val="24"/>
                <w:lang w:val="es-ES"/>
              </w:rPr>
            </w:pPr>
            <w:r w:rsidRPr="00F10434">
              <w:rPr>
                <w:rFonts w:ascii="Book Antiqua" w:hAnsi="Book Antiqua"/>
                <w:szCs w:val="24"/>
                <w:lang w:val="es-ES"/>
              </w:rPr>
              <w:t xml:space="preserve">                1</w:t>
            </w:r>
            <w:r w:rsidRPr="00F10434">
              <w:rPr>
                <w:rFonts w:ascii="Book Antiqua" w:hAnsi="Book Antiqua"/>
                <w:szCs w:val="24"/>
                <w:vertAlign w:val="superscript"/>
                <w:lang w:val="es-ES"/>
              </w:rPr>
              <w:t>ra</w:t>
            </w:r>
            <w:r w:rsidRPr="00F10434">
              <w:rPr>
                <w:rFonts w:ascii="Book Antiqua" w:hAnsi="Book Antiqua"/>
                <w:szCs w:val="24"/>
                <w:lang w:val="es-ES"/>
              </w:rPr>
              <w:t xml:space="preserve"> Sesión </w:t>
            </w:r>
          </w:p>
          <w:p w14:paraId="39CBA15A" w14:textId="076179CC" w:rsidR="00ED30AA" w:rsidRPr="00F10434" w:rsidRDefault="00ED30AA" w:rsidP="00ED30AA">
            <w:pPr>
              <w:jc w:val="center"/>
              <w:rPr>
                <w:rFonts w:ascii="Book Antiqua" w:hAnsi="Book Antiqua"/>
                <w:szCs w:val="24"/>
                <w:lang w:val="es-ES"/>
              </w:rPr>
            </w:pPr>
            <w:r w:rsidRPr="00F10434">
              <w:rPr>
                <w:rFonts w:ascii="Book Antiqua" w:hAnsi="Book Antiqua"/>
                <w:szCs w:val="24"/>
                <w:lang w:val="es-ES"/>
              </w:rPr>
              <w:t xml:space="preserve">                           Ordinaria</w:t>
            </w:r>
          </w:p>
        </w:tc>
      </w:tr>
      <w:tr w:rsidR="00ED30AA" w:rsidRPr="00F10434" w14:paraId="3E96E575" w14:textId="77777777" w:rsidTr="00ED30AA">
        <w:tc>
          <w:tcPr>
            <w:tcW w:w="3139" w:type="dxa"/>
          </w:tcPr>
          <w:p w14:paraId="090A4341" w14:textId="77777777" w:rsidR="00ED30AA" w:rsidRPr="00F10434" w:rsidRDefault="00ED30AA" w:rsidP="00ED30AA">
            <w:pPr>
              <w:rPr>
                <w:rFonts w:ascii="Book Antiqua" w:hAnsi="Book Antiqua"/>
                <w:szCs w:val="24"/>
                <w:lang w:val="es-ES"/>
              </w:rPr>
            </w:pPr>
          </w:p>
        </w:tc>
        <w:tc>
          <w:tcPr>
            <w:tcW w:w="3095" w:type="dxa"/>
          </w:tcPr>
          <w:p w14:paraId="69C2BD72" w14:textId="77777777" w:rsidR="00ED30AA" w:rsidRPr="00F10434" w:rsidRDefault="00ED30AA" w:rsidP="00D1046C">
            <w:pPr>
              <w:rPr>
                <w:rFonts w:ascii="Book Antiqua" w:hAnsi="Book Antiqua"/>
                <w:szCs w:val="24"/>
                <w:lang w:val="es-ES"/>
              </w:rPr>
            </w:pPr>
          </w:p>
        </w:tc>
        <w:tc>
          <w:tcPr>
            <w:tcW w:w="3126" w:type="dxa"/>
          </w:tcPr>
          <w:p w14:paraId="6EEABE64" w14:textId="77777777" w:rsidR="00ED30AA" w:rsidRPr="00F10434" w:rsidRDefault="00ED30AA" w:rsidP="00ED30AA">
            <w:pPr>
              <w:jc w:val="center"/>
              <w:rPr>
                <w:rFonts w:ascii="Book Antiqua" w:hAnsi="Book Antiqua"/>
                <w:szCs w:val="24"/>
                <w:lang w:val="es-ES"/>
              </w:rPr>
            </w:pPr>
          </w:p>
        </w:tc>
      </w:tr>
    </w:tbl>
    <w:p w14:paraId="2F017266" w14:textId="77777777" w:rsidR="00ED30AA" w:rsidRPr="00F10434" w:rsidRDefault="00ED30AA" w:rsidP="00ED30AA">
      <w:pPr>
        <w:jc w:val="center"/>
        <w:rPr>
          <w:rFonts w:ascii="Book Antiqua" w:hAnsi="Book Antiqua"/>
          <w:b/>
          <w:bCs/>
          <w:sz w:val="36"/>
          <w:szCs w:val="36"/>
          <w:lang w:val="es-ES"/>
        </w:rPr>
      </w:pPr>
      <w:r w:rsidRPr="00F10434">
        <w:rPr>
          <w:rFonts w:ascii="Book Antiqua" w:hAnsi="Book Antiqua"/>
          <w:b/>
          <w:bCs/>
          <w:sz w:val="36"/>
          <w:szCs w:val="36"/>
          <w:lang w:val="es-ES"/>
        </w:rPr>
        <w:t>CÁMARA DE REPRESENTANTES</w:t>
      </w:r>
    </w:p>
    <w:p w14:paraId="658E8DB7" w14:textId="77777777" w:rsidR="00ED30AA" w:rsidRPr="00F10434" w:rsidRDefault="00ED30AA" w:rsidP="00ED30AA">
      <w:pPr>
        <w:jc w:val="center"/>
        <w:rPr>
          <w:rFonts w:ascii="Book Antiqua" w:hAnsi="Book Antiqua"/>
          <w:sz w:val="28"/>
          <w:szCs w:val="28"/>
          <w:lang w:val="es-ES"/>
        </w:rPr>
      </w:pPr>
    </w:p>
    <w:p w14:paraId="28DF9D71" w14:textId="69EAE86D" w:rsidR="00ED30AA" w:rsidRPr="00F10434" w:rsidRDefault="00ED30AA" w:rsidP="00ED30AA">
      <w:pPr>
        <w:jc w:val="center"/>
        <w:rPr>
          <w:rFonts w:ascii="Book Antiqua" w:hAnsi="Book Antiqua"/>
          <w:b/>
          <w:sz w:val="52"/>
          <w:szCs w:val="52"/>
          <w:lang w:val="es-ES"/>
        </w:rPr>
      </w:pPr>
      <w:r w:rsidRPr="00F10434">
        <w:rPr>
          <w:rFonts w:ascii="Book Antiqua" w:hAnsi="Book Antiqua"/>
          <w:b/>
          <w:sz w:val="52"/>
          <w:szCs w:val="52"/>
          <w:lang w:val="es-ES"/>
        </w:rPr>
        <w:t>P. del S. 3</w:t>
      </w:r>
      <w:r w:rsidR="00124C9C">
        <w:rPr>
          <w:rFonts w:ascii="Book Antiqua" w:hAnsi="Book Antiqua"/>
          <w:b/>
          <w:sz w:val="52"/>
          <w:szCs w:val="52"/>
          <w:lang w:val="es-ES"/>
        </w:rPr>
        <w:t>31</w:t>
      </w:r>
    </w:p>
    <w:p w14:paraId="35CFB7DE" w14:textId="77777777" w:rsidR="00ED30AA" w:rsidRPr="00F10434" w:rsidRDefault="00ED30AA" w:rsidP="00ED30AA">
      <w:pPr>
        <w:jc w:val="center"/>
        <w:rPr>
          <w:rFonts w:ascii="Book Antiqua" w:hAnsi="Book Antiqua"/>
          <w:sz w:val="28"/>
          <w:szCs w:val="28"/>
          <w:lang w:val="es-ES"/>
        </w:rPr>
      </w:pPr>
    </w:p>
    <w:p w14:paraId="25A7CA79" w14:textId="04792010" w:rsidR="00ED30AA" w:rsidRPr="00F10434" w:rsidRDefault="00ED30AA" w:rsidP="00ED30AA">
      <w:pPr>
        <w:jc w:val="center"/>
        <w:rPr>
          <w:rFonts w:ascii="Book Antiqua" w:hAnsi="Book Antiqua"/>
          <w:sz w:val="28"/>
          <w:szCs w:val="28"/>
          <w:lang w:val="es-ES"/>
        </w:rPr>
      </w:pPr>
      <w:r w:rsidRPr="00F10434">
        <w:rPr>
          <w:rFonts w:ascii="Book Antiqua" w:hAnsi="Book Antiqua"/>
          <w:sz w:val="28"/>
          <w:szCs w:val="28"/>
          <w:lang w:val="es-ES"/>
        </w:rPr>
        <w:t>INFORME POSITIVO</w:t>
      </w:r>
    </w:p>
    <w:p w14:paraId="310F564E" w14:textId="77777777" w:rsidR="00ED30AA" w:rsidRPr="00F10434" w:rsidRDefault="00ED30AA" w:rsidP="00ED30AA">
      <w:pPr>
        <w:jc w:val="center"/>
        <w:rPr>
          <w:rFonts w:ascii="Book Antiqua" w:hAnsi="Book Antiqua"/>
          <w:bCs/>
          <w:sz w:val="28"/>
          <w:szCs w:val="28"/>
          <w:lang w:val="es-ES"/>
        </w:rPr>
      </w:pPr>
    </w:p>
    <w:p w14:paraId="346EB9B7" w14:textId="3EAA3585" w:rsidR="00ED30AA" w:rsidRPr="00F10434" w:rsidRDefault="00BF2EF8" w:rsidP="00ED30AA">
      <w:pPr>
        <w:jc w:val="center"/>
        <w:rPr>
          <w:rFonts w:ascii="Book Antiqua" w:hAnsi="Book Antiqua"/>
          <w:szCs w:val="24"/>
          <w:lang w:val="es-ES"/>
        </w:rPr>
      </w:pPr>
      <w:r>
        <w:rPr>
          <w:rFonts w:ascii="Book Antiqua" w:hAnsi="Book Antiqua"/>
          <w:bCs/>
          <w:szCs w:val="24"/>
          <w:lang w:val="es-ES"/>
        </w:rPr>
        <w:t>2</w:t>
      </w:r>
      <w:r w:rsidR="00267B5B">
        <w:rPr>
          <w:rFonts w:ascii="Book Antiqua" w:hAnsi="Book Antiqua"/>
          <w:bCs/>
          <w:szCs w:val="24"/>
          <w:lang w:val="es-ES"/>
        </w:rPr>
        <w:t>4</w:t>
      </w:r>
      <w:r w:rsidR="00ED30AA" w:rsidRPr="00F10434">
        <w:rPr>
          <w:rFonts w:ascii="Book Antiqua" w:hAnsi="Book Antiqua"/>
          <w:bCs/>
          <w:szCs w:val="24"/>
          <w:lang w:val="es-ES"/>
        </w:rPr>
        <w:t xml:space="preserve"> DE </w:t>
      </w:r>
      <w:r w:rsidR="00D1046C" w:rsidRPr="00F10434">
        <w:rPr>
          <w:rFonts w:ascii="Book Antiqua" w:hAnsi="Book Antiqua"/>
          <w:bCs/>
          <w:szCs w:val="24"/>
          <w:lang w:val="es-ES"/>
        </w:rPr>
        <w:t>JUNI</w:t>
      </w:r>
      <w:r w:rsidR="00ED30AA" w:rsidRPr="00F10434">
        <w:rPr>
          <w:rFonts w:ascii="Book Antiqua" w:hAnsi="Book Antiqua"/>
          <w:bCs/>
          <w:szCs w:val="24"/>
          <w:lang w:val="es-ES"/>
        </w:rPr>
        <w:t>O DE 2025</w:t>
      </w:r>
    </w:p>
    <w:p w14:paraId="5B413752" w14:textId="77777777" w:rsidR="00D1046C" w:rsidRPr="00F10434" w:rsidRDefault="00D1046C" w:rsidP="00D1046C">
      <w:pPr>
        <w:rPr>
          <w:rFonts w:ascii="Book Antiqua" w:hAnsi="Book Antiqua"/>
          <w:sz w:val="28"/>
          <w:szCs w:val="28"/>
          <w:lang w:val="es-ES"/>
        </w:rPr>
      </w:pPr>
    </w:p>
    <w:p w14:paraId="0548D559" w14:textId="77777777" w:rsidR="00ED30AA" w:rsidRPr="00F10434" w:rsidRDefault="00ED30AA" w:rsidP="00ED30AA">
      <w:pPr>
        <w:rPr>
          <w:rFonts w:ascii="Book Antiqua" w:hAnsi="Book Antiqua"/>
          <w:b/>
          <w:bCs/>
          <w:szCs w:val="24"/>
          <w:lang w:val="es-ES"/>
        </w:rPr>
      </w:pPr>
      <w:r w:rsidRPr="00F10434">
        <w:rPr>
          <w:rFonts w:ascii="Book Antiqua" w:hAnsi="Book Antiqua"/>
          <w:b/>
          <w:bCs/>
          <w:szCs w:val="24"/>
          <w:lang w:val="es-ES"/>
        </w:rPr>
        <w:t>A LA CÁMARA DE REPRESENTANTES DE PUERTO RICO:</w:t>
      </w:r>
    </w:p>
    <w:p w14:paraId="562D7838" w14:textId="77777777" w:rsidR="00ED30AA" w:rsidRPr="00F10434" w:rsidRDefault="00ED30AA" w:rsidP="00ED30AA">
      <w:pPr>
        <w:jc w:val="center"/>
        <w:rPr>
          <w:rFonts w:ascii="Book Antiqua" w:hAnsi="Book Antiqua"/>
          <w:b/>
          <w:bCs/>
          <w:szCs w:val="24"/>
          <w:lang w:val="es-ES"/>
        </w:rPr>
      </w:pPr>
    </w:p>
    <w:p w14:paraId="2969E1B9" w14:textId="1C4050C5" w:rsidR="00ED30AA" w:rsidRPr="00F10434" w:rsidRDefault="00ED30AA" w:rsidP="00ED30AA">
      <w:pPr>
        <w:jc w:val="both"/>
        <w:rPr>
          <w:rFonts w:ascii="Book Antiqua" w:hAnsi="Book Antiqua"/>
          <w:szCs w:val="24"/>
          <w:lang w:val="es-ES"/>
        </w:rPr>
      </w:pPr>
      <w:r w:rsidRPr="00F10434">
        <w:rPr>
          <w:rFonts w:ascii="Book Antiqua" w:hAnsi="Book Antiqua"/>
          <w:szCs w:val="24"/>
          <w:lang w:val="es-ES"/>
        </w:rPr>
        <w:t>La Comisión de Salud de la Cámara de Representantes de Puerto Rico, tienen el honor de recomendar a este Augusto Cuerpo la aprobación del P. del S. 3</w:t>
      </w:r>
      <w:r w:rsidR="00BF2EF8">
        <w:rPr>
          <w:rFonts w:ascii="Book Antiqua" w:hAnsi="Book Antiqua"/>
          <w:szCs w:val="24"/>
          <w:lang w:val="es-ES"/>
        </w:rPr>
        <w:t>31</w:t>
      </w:r>
      <w:r w:rsidRPr="00F10434">
        <w:rPr>
          <w:rFonts w:ascii="Book Antiqua" w:hAnsi="Book Antiqua"/>
          <w:szCs w:val="24"/>
          <w:lang w:val="es-ES"/>
        </w:rPr>
        <w:t xml:space="preserve">, </w:t>
      </w:r>
      <w:r w:rsidR="0019757A" w:rsidRPr="0019757A">
        <w:rPr>
          <w:rFonts w:ascii="Book Antiqua" w:hAnsi="Book Antiqua"/>
          <w:szCs w:val="24"/>
          <w:lang w:val="es-ES"/>
        </w:rPr>
        <w:t>sin enmiendas.</w:t>
      </w:r>
    </w:p>
    <w:p w14:paraId="5E0546D4" w14:textId="77777777" w:rsidR="00ED30AA" w:rsidRDefault="00ED30AA" w:rsidP="00ED30AA">
      <w:pPr>
        <w:jc w:val="center"/>
        <w:rPr>
          <w:rFonts w:ascii="Book Antiqua" w:hAnsi="Book Antiqua"/>
          <w:szCs w:val="24"/>
          <w:lang w:val="es-ES"/>
        </w:rPr>
      </w:pPr>
    </w:p>
    <w:p w14:paraId="1F24950A" w14:textId="77777777" w:rsidR="00BF2EF8" w:rsidRPr="00F10434" w:rsidRDefault="00BF2EF8" w:rsidP="00ED30AA">
      <w:pPr>
        <w:jc w:val="center"/>
        <w:rPr>
          <w:rFonts w:ascii="Book Antiqua" w:hAnsi="Book Antiqua"/>
          <w:szCs w:val="24"/>
          <w:lang w:val="es-ES"/>
        </w:rPr>
      </w:pPr>
    </w:p>
    <w:p w14:paraId="0B7B1DF1" w14:textId="77777777" w:rsidR="00ED30AA" w:rsidRPr="00F10434" w:rsidRDefault="00ED30AA" w:rsidP="00ED30AA">
      <w:pPr>
        <w:jc w:val="center"/>
        <w:rPr>
          <w:rFonts w:ascii="Book Antiqua" w:hAnsi="Book Antiqua"/>
          <w:szCs w:val="24"/>
          <w:lang w:val="es-ES"/>
        </w:rPr>
      </w:pPr>
      <w:r w:rsidRPr="00F10434">
        <w:rPr>
          <w:rFonts w:ascii="Book Antiqua" w:hAnsi="Book Antiqua"/>
          <w:szCs w:val="24"/>
          <w:lang w:val="es-ES"/>
        </w:rPr>
        <w:t>ALCANCE DE LA MEDIDA</w:t>
      </w:r>
    </w:p>
    <w:p w14:paraId="3F9CDD4E" w14:textId="6D0DC3D4" w:rsidR="00BF2EF8" w:rsidRPr="00434066" w:rsidRDefault="00ED30AA" w:rsidP="00BF2EF8">
      <w:pPr>
        <w:suppressLineNumbers/>
        <w:spacing w:before="120"/>
        <w:jc w:val="both"/>
        <w:rPr>
          <w:rFonts w:ascii="Book Antiqua" w:hAnsi="Book Antiqua"/>
          <w:szCs w:val="24"/>
          <w:lang w:val="es-ES_tradnl"/>
        </w:rPr>
      </w:pPr>
      <w:r w:rsidRPr="00F10434">
        <w:rPr>
          <w:rFonts w:ascii="Book Antiqua" w:hAnsi="Book Antiqua"/>
          <w:szCs w:val="24"/>
          <w:lang w:val="es-ES"/>
        </w:rPr>
        <w:t xml:space="preserve">El </w:t>
      </w:r>
      <w:r w:rsidRPr="00F10434">
        <w:rPr>
          <w:rFonts w:ascii="Book Antiqua" w:hAnsi="Book Antiqua"/>
          <w:b/>
          <w:bCs/>
          <w:szCs w:val="24"/>
          <w:lang w:val="es-ES"/>
        </w:rPr>
        <w:t>Proyecto del Senado Núm. 3</w:t>
      </w:r>
      <w:r w:rsidR="00BF2EF8">
        <w:rPr>
          <w:rFonts w:ascii="Book Antiqua" w:hAnsi="Book Antiqua"/>
          <w:b/>
          <w:bCs/>
          <w:szCs w:val="24"/>
          <w:lang w:val="es-ES"/>
        </w:rPr>
        <w:t>31</w:t>
      </w:r>
      <w:r w:rsidRPr="00F10434">
        <w:rPr>
          <w:rFonts w:ascii="Book Antiqua" w:hAnsi="Book Antiqua"/>
          <w:szCs w:val="24"/>
          <w:lang w:val="es-ES"/>
        </w:rPr>
        <w:t xml:space="preserve">, propone </w:t>
      </w:r>
      <w:r w:rsidR="00BF2EF8" w:rsidRPr="00434066">
        <w:rPr>
          <w:rFonts w:ascii="Book Antiqua" w:hAnsi="Book Antiqua"/>
          <w:szCs w:val="24"/>
          <w:lang w:val="es-PR"/>
        </w:rPr>
        <w:t>enmendar los Artículos 2, 3 y 38 de la Ley Núm. 24 del 22 de abril de 1931, según enmendada, conocida como “Ley del Registro Demográfico de Puerto Rico”, con el propósito de establecer el carácter confidencial de todos los certificados registrados por el Registro Demográfico; redefinir el concepto de “parte interesada” para aclarar en qué casos podrán los tribunales ordenar la entrega de los certificados expedidos por el Registro Demográfico</w:t>
      </w:r>
      <w:r w:rsidR="00BF2EF8" w:rsidRPr="00434066">
        <w:rPr>
          <w:rFonts w:ascii="Book Antiqua" w:hAnsi="Book Antiqua"/>
          <w:szCs w:val="24"/>
          <w:lang w:val="es-ES_tradnl"/>
        </w:rPr>
        <w:t>.</w:t>
      </w:r>
    </w:p>
    <w:p w14:paraId="7E18021B" w14:textId="77777777" w:rsidR="00ED30AA" w:rsidRPr="00F10434" w:rsidRDefault="00ED30AA" w:rsidP="00ED30AA">
      <w:pPr>
        <w:jc w:val="both"/>
        <w:rPr>
          <w:rFonts w:ascii="Book Antiqua" w:hAnsi="Book Antiqua"/>
          <w:szCs w:val="24"/>
          <w:lang w:val="es-ES"/>
        </w:rPr>
      </w:pPr>
    </w:p>
    <w:p w14:paraId="6437123B" w14:textId="77777777" w:rsidR="00BF2EF8" w:rsidRPr="00C00D4C" w:rsidRDefault="00ED30AA" w:rsidP="00BF2EF8">
      <w:pPr>
        <w:suppressLineNumbers/>
        <w:ind w:firstLine="360"/>
        <w:jc w:val="both"/>
        <w:rPr>
          <w:rFonts w:ascii="Book Antiqua" w:hAnsi="Book Antiqua"/>
          <w:lang w:val="es-PR"/>
        </w:rPr>
      </w:pPr>
      <w:r w:rsidRPr="00F10434">
        <w:rPr>
          <w:rFonts w:ascii="Book Antiqua" w:hAnsi="Book Antiqua"/>
          <w:szCs w:val="24"/>
          <w:lang w:val="es-ES"/>
        </w:rPr>
        <w:t xml:space="preserve">La exposición de motivos del proyecto expresa </w:t>
      </w:r>
      <w:r w:rsidR="00BF2EF8">
        <w:rPr>
          <w:rFonts w:ascii="Book Antiqua" w:hAnsi="Book Antiqua"/>
          <w:szCs w:val="24"/>
          <w:lang w:val="es-ES"/>
        </w:rPr>
        <w:t xml:space="preserve">que el </w:t>
      </w:r>
      <w:r w:rsidR="00BF2EF8" w:rsidRPr="00C00D4C">
        <w:rPr>
          <w:rFonts w:ascii="Book Antiqua" w:hAnsi="Book Antiqua"/>
          <w:lang w:val="es-ES"/>
        </w:rPr>
        <w:t xml:space="preserve">Registro </w:t>
      </w:r>
      <w:r w:rsidR="00BF2EF8" w:rsidRPr="00C00D4C">
        <w:rPr>
          <w:rFonts w:ascii="Book Antiqua" w:hAnsi="Book Antiqua"/>
          <w:lang w:val="es-PR"/>
        </w:rPr>
        <w:t xml:space="preserve">Demográfico de Puerto Rico, creado por virtud de la Ley Núm. 24 del 22 de abril de 1931, según enmendada, tiene el propósito de mantener las estadísticas de </w:t>
      </w:r>
      <w:r w:rsidR="00BF2EF8" w:rsidRPr="00C00D4C">
        <w:rPr>
          <w:rFonts w:ascii="Book Antiqua" w:hAnsi="Book Antiqua"/>
          <w:i/>
          <w:iCs/>
          <w:lang w:val="es-PR"/>
        </w:rPr>
        <w:t>“todo lo concerniente a la inscripción de todos los eventos inscritos en el Registro Demográfico que ocurran o se celebren en Puerto Rico”</w:t>
      </w:r>
      <w:r w:rsidR="00BF2EF8" w:rsidRPr="00C00D4C">
        <w:rPr>
          <w:rFonts w:ascii="Book Antiqua" w:hAnsi="Book Antiqua"/>
          <w:lang w:val="es-PR"/>
        </w:rPr>
        <w:t>.  La información contenida en el Registro, así como también aquella divulgada a través de la expedición de certificados de nacimiento, matrimonio o defunción, es considerada como la fuente óptima para la realización de todo tipo de estudio demográfico o análisis estadístico sobre el país. Además de ser evidencia admisible “prima facie” en los tribunales de Puerto Rico al amparo de las Reglas de Evidencia.</w:t>
      </w:r>
    </w:p>
    <w:p w14:paraId="16A0C5B9" w14:textId="77777777" w:rsidR="0019757A" w:rsidRDefault="0019757A" w:rsidP="00BF2EF8">
      <w:pPr>
        <w:suppressLineNumbers/>
        <w:ind w:firstLine="360"/>
        <w:jc w:val="both"/>
        <w:rPr>
          <w:rFonts w:ascii="Book Antiqua" w:hAnsi="Book Antiqua"/>
          <w:lang w:val="es-PR"/>
        </w:rPr>
      </w:pPr>
    </w:p>
    <w:p w14:paraId="2FC35593" w14:textId="6A6743CB" w:rsidR="00BF2EF8" w:rsidRPr="00C00D4C" w:rsidRDefault="00BF2EF8" w:rsidP="00BF2EF8">
      <w:pPr>
        <w:suppressLineNumbers/>
        <w:ind w:firstLine="360"/>
        <w:jc w:val="both"/>
        <w:rPr>
          <w:rFonts w:ascii="Book Antiqua" w:hAnsi="Book Antiqua"/>
          <w:lang w:val="es-PR"/>
        </w:rPr>
      </w:pPr>
      <w:r w:rsidRPr="00C00D4C">
        <w:rPr>
          <w:rFonts w:ascii="Book Antiqua" w:hAnsi="Book Antiqua"/>
          <w:lang w:val="es-PR"/>
        </w:rPr>
        <w:lastRenderedPageBreak/>
        <w:t xml:space="preserve">Ahora bien, la información contenida en certificados de nacimiento, matrimonio y defunción puede también ser usada, desafortunadamente, para fines ilícitos, particularmente el robo de identidad. Así ocurrió con los certificados de nacimiento, cuyo uso como método de identificación se convirtió en una práctica tan común, que motivó la aprobación por esta Asamblea Legislativa de la </w:t>
      </w:r>
      <w:r w:rsidRPr="00C00D4C">
        <w:rPr>
          <w:rFonts w:ascii="Book Antiqua" w:hAnsi="Book Antiqua"/>
          <w:bCs/>
          <w:lang w:val="es-PR"/>
        </w:rPr>
        <w:t xml:space="preserve">Ley Núm. 191-2009, </w:t>
      </w:r>
      <w:r w:rsidRPr="00C00D4C">
        <w:rPr>
          <w:rFonts w:ascii="Book Antiqua" w:hAnsi="Book Antiqua"/>
          <w:lang w:val="es-PR"/>
        </w:rPr>
        <w:t>“Ley para Prohibir la Retención, Archivo y Custodia de copias certificadas de certificados de nacimiento”.</w:t>
      </w:r>
      <w:r>
        <w:rPr>
          <w:rFonts w:ascii="Book Antiqua" w:hAnsi="Book Antiqua"/>
          <w:lang w:val="es-PR"/>
        </w:rPr>
        <w:t xml:space="preserve"> </w:t>
      </w:r>
      <w:r w:rsidRPr="00C00D4C">
        <w:rPr>
          <w:rFonts w:ascii="Book Antiqua" w:hAnsi="Book Antiqua"/>
          <w:lang w:val="es-PR"/>
        </w:rPr>
        <w:t xml:space="preserve">En la Exposición de Motivos de aquella ley, se señala lo siguiente: </w:t>
      </w:r>
    </w:p>
    <w:p w14:paraId="1375FADA" w14:textId="77777777" w:rsidR="00BF2EF8" w:rsidRDefault="00BF2EF8" w:rsidP="00BF2EF8">
      <w:pPr>
        <w:suppressLineNumbers/>
        <w:ind w:left="720" w:right="720"/>
        <w:jc w:val="both"/>
        <w:rPr>
          <w:rFonts w:ascii="Book Antiqua" w:hAnsi="Book Antiqua"/>
          <w:szCs w:val="18"/>
          <w:lang w:val="es-PR"/>
        </w:rPr>
      </w:pPr>
    </w:p>
    <w:p w14:paraId="73B6B0B5" w14:textId="3FE6C73B" w:rsidR="00BF2EF8" w:rsidRDefault="00BF2EF8" w:rsidP="00BF2EF8">
      <w:pPr>
        <w:suppressLineNumbers/>
        <w:ind w:left="720" w:right="720"/>
        <w:jc w:val="both"/>
        <w:rPr>
          <w:rFonts w:ascii="Book Antiqua" w:hAnsi="Book Antiqua"/>
          <w:szCs w:val="18"/>
          <w:lang w:val="es-PR"/>
        </w:rPr>
      </w:pPr>
      <w:r w:rsidRPr="00C00D4C">
        <w:rPr>
          <w:rFonts w:ascii="Book Antiqua" w:hAnsi="Book Antiqua"/>
          <w:szCs w:val="18"/>
          <w:lang w:val="es-PR"/>
        </w:rPr>
        <w:t>[c]</w:t>
      </w:r>
      <w:proofErr w:type="spellStart"/>
      <w:r w:rsidRPr="00C00D4C">
        <w:rPr>
          <w:rFonts w:ascii="Book Antiqua" w:hAnsi="Book Antiqua"/>
          <w:szCs w:val="18"/>
          <w:lang w:val="es-PR"/>
        </w:rPr>
        <w:t>omo</w:t>
      </w:r>
      <w:proofErr w:type="spellEnd"/>
      <w:r w:rsidRPr="00C00D4C">
        <w:rPr>
          <w:rFonts w:ascii="Book Antiqua" w:hAnsi="Book Antiqua"/>
          <w:szCs w:val="18"/>
          <w:lang w:val="es-PR"/>
        </w:rPr>
        <w:t xml:space="preserve"> consecuencia de la fácil disponibilidad de tan privilegiado documento, los mismos se hurtan en gran escala por delincuentes que se proponen cometer algún tipo de conducta delictiva, como es la apropiación ilegal de identidad o el fraude de pasaportes. Esta situación es sumamente preocupante. Por ejemplo, la persona que obtiene sin derecho un pasaporte de los Estados Unidos por medios fraudulentos puede usarlo, no sólo para viajar al exterior y entrar a los Estados Unidos libremente, sino para facilitar conductas delictivas de toda clase, por ejemplo, la obtención fraudulenta de beneficios inmigratorios, el </w:t>
      </w:r>
      <w:proofErr w:type="gramStart"/>
      <w:r w:rsidRPr="00C00D4C">
        <w:rPr>
          <w:rFonts w:ascii="Book Antiqua" w:hAnsi="Book Antiqua"/>
          <w:szCs w:val="18"/>
          <w:lang w:val="es-PR"/>
        </w:rPr>
        <w:t>narco-tráfico</w:t>
      </w:r>
      <w:proofErr w:type="gramEnd"/>
      <w:r w:rsidRPr="00C00D4C">
        <w:rPr>
          <w:rFonts w:ascii="Book Antiqua" w:hAnsi="Book Antiqua"/>
          <w:szCs w:val="18"/>
          <w:lang w:val="es-PR"/>
        </w:rPr>
        <w:t xml:space="preserve">, la obtención de crédito, el terrorismo y el tráfico de mujeres y niños. </w:t>
      </w:r>
    </w:p>
    <w:p w14:paraId="1FB771EA" w14:textId="77777777" w:rsidR="00BF2EF8" w:rsidRPr="00C00D4C" w:rsidRDefault="00BF2EF8" w:rsidP="00BF2EF8">
      <w:pPr>
        <w:suppressLineNumbers/>
        <w:ind w:left="720" w:right="720"/>
        <w:jc w:val="both"/>
        <w:rPr>
          <w:rFonts w:ascii="Book Antiqua" w:hAnsi="Book Antiqua"/>
          <w:szCs w:val="18"/>
          <w:lang w:val="es-PR"/>
        </w:rPr>
      </w:pPr>
    </w:p>
    <w:p w14:paraId="42A5F475" w14:textId="77777777" w:rsidR="00BF2EF8" w:rsidRDefault="00BF2EF8" w:rsidP="00BF2EF8">
      <w:pPr>
        <w:suppressLineNumbers/>
        <w:ind w:firstLine="360"/>
        <w:jc w:val="both"/>
        <w:rPr>
          <w:rFonts w:ascii="Book Antiqua" w:hAnsi="Book Antiqua"/>
          <w:lang w:val="es-PR"/>
        </w:rPr>
      </w:pPr>
      <w:r w:rsidRPr="00C00D4C">
        <w:rPr>
          <w:rFonts w:ascii="Book Antiqua" w:hAnsi="Book Antiqua"/>
          <w:lang w:val="es-PR"/>
        </w:rPr>
        <w:t>Según el Servicio de Seguridad Diplomática del Departamento de Estado de los Estados Unidos de América, de los ocho mil (8,000) casos de fraude de pasaportes investigados por dicha unidad, el cuarenta por ciento (40%) aproximadamente tienen su origen en situaciones que han utilizado certificados de nacimientos de personas puertorriqueñas. Lamentablemente, el número de casos de fraude de pasaporte, utilizando certificados de nacimientos de puertorriqueños, sigue aumentando. La razón es muy sencilla: existen demasiadas copias certificadas de certificados de nacimientos en circulación y de fácil acceso a delincuentes.</w:t>
      </w:r>
    </w:p>
    <w:p w14:paraId="39F771D6" w14:textId="77777777" w:rsidR="00BF2EF8" w:rsidRPr="00C00D4C" w:rsidRDefault="00BF2EF8" w:rsidP="00BF2EF8">
      <w:pPr>
        <w:suppressLineNumbers/>
        <w:ind w:firstLine="360"/>
        <w:jc w:val="both"/>
        <w:rPr>
          <w:rFonts w:ascii="Book Antiqua" w:hAnsi="Book Antiqua"/>
          <w:lang w:val="es-PR"/>
        </w:rPr>
      </w:pPr>
    </w:p>
    <w:p w14:paraId="73A00B23" w14:textId="77777777" w:rsidR="00BF2EF8" w:rsidRDefault="00BF2EF8" w:rsidP="00BF2EF8">
      <w:pPr>
        <w:suppressLineNumbers/>
        <w:ind w:firstLine="360"/>
        <w:jc w:val="both"/>
        <w:rPr>
          <w:rFonts w:ascii="Book Antiqua" w:hAnsi="Book Antiqua"/>
          <w:bCs/>
          <w:lang w:val="es-PR"/>
        </w:rPr>
      </w:pPr>
      <w:r w:rsidRPr="00C00D4C">
        <w:rPr>
          <w:rFonts w:ascii="Book Antiqua" w:hAnsi="Book Antiqua"/>
          <w:lang w:val="es-PR"/>
        </w:rPr>
        <w:t xml:space="preserve">Igual situación puede presentarse con los certificados de defunción, los cuales contienen información de carácter privilegiado (tales como nombres, números de seguro social, fechas y lugares de nacimiento, etc.) cuyo uso por personas inescrupulosas puede dar lugar a situaciones como las descritas en la antes citada Exposición de Motivos de la </w:t>
      </w:r>
      <w:r w:rsidRPr="00C00D4C">
        <w:rPr>
          <w:rFonts w:ascii="Book Antiqua" w:hAnsi="Book Antiqua"/>
          <w:bCs/>
          <w:lang w:val="es-PR"/>
        </w:rPr>
        <w:t xml:space="preserve">Ley Núm. 191-2009, </w:t>
      </w:r>
      <w:r w:rsidRPr="00C00D4C">
        <w:rPr>
          <w:rFonts w:ascii="Book Antiqua" w:hAnsi="Book Antiqua"/>
          <w:bCs/>
          <w:i/>
          <w:iCs/>
          <w:lang w:val="es-PR"/>
        </w:rPr>
        <w:t>supra</w:t>
      </w:r>
      <w:r w:rsidRPr="00C00D4C">
        <w:rPr>
          <w:rFonts w:ascii="Book Antiqua" w:hAnsi="Book Antiqua"/>
          <w:bCs/>
          <w:lang w:val="es-PR"/>
        </w:rPr>
        <w:t xml:space="preserve">.  </w:t>
      </w:r>
    </w:p>
    <w:p w14:paraId="25254826" w14:textId="77777777" w:rsidR="00BF2EF8" w:rsidRPr="00C00D4C" w:rsidRDefault="00BF2EF8" w:rsidP="00BF2EF8">
      <w:pPr>
        <w:suppressLineNumbers/>
        <w:ind w:firstLine="360"/>
        <w:jc w:val="both"/>
        <w:rPr>
          <w:rFonts w:ascii="Book Antiqua" w:hAnsi="Book Antiqua"/>
          <w:bCs/>
          <w:lang w:val="es-PR"/>
        </w:rPr>
      </w:pPr>
    </w:p>
    <w:p w14:paraId="5DD8275D" w14:textId="77777777" w:rsidR="00BF2EF8" w:rsidRDefault="00BF2EF8" w:rsidP="00BF2EF8">
      <w:pPr>
        <w:suppressLineNumbers/>
        <w:ind w:firstLine="360"/>
        <w:jc w:val="both"/>
        <w:rPr>
          <w:rFonts w:ascii="Book Antiqua" w:hAnsi="Book Antiqua"/>
          <w:bCs/>
          <w:lang w:val="es-PR"/>
        </w:rPr>
      </w:pPr>
      <w:r w:rsidRPr="00C00D4C">
        <w:rPr>
          <w:rFonts w:ascii="Book Antiqua" w:hAnsi="Book Antiqua"/>
          <w:bCs/>
          <w:lang w:val="es-PR"/>
        </w:rPr>
        <w:t xml:space="preserve">Por otro lado, el Departamento de Salud es una entidad cubierta bajo los estatutos federales de la </w:t>
      </w:r>
      <w:proofErr w:type="spellStart"/>
      <w:r w:rsidRPr="00C00D4C">
        <w:rPr>
          <w:rFonts w:ascii="Book Antiqua" w:hAnsi="Book Antiqua"/>
          <w:bCs/>
          <w:lang w:val="es-PR"/>
        </w:rPr>
        <w:t>Health</w:t>
      </w:r>
      <w:proofErr w:type="spellEnd"/>
      <w:r w:rsidRPr="00C00D4C">
        <w:rPr>
          <w:rFonts w:ascii="Book Antiqua" w:hAnsi="Book Antiqua"/>
          <w:bCs/>
          <w:lang w:val="es-PR"/>
        </w:rPr>
        <w:t xml:space="preserve"> </w:t>
      </w:r>
      <w:proofErr w:type="spellStart"/>
      <w:r w:rsidRPr="00C00D4C">
        <w:rPr>
          <w:rFonts w:ascii="Book Antiqua" w:hAnsi="Book Antiqua"/>
          <w:bCs/>
          <w:lang w:val="es-PR"/>
        </w:rPr>
        <w:t>Insurance</w:t>
      </w:r>
      <w:proofErr w:type="spellEnd"/>
      <w:r w:rsidRPr="00C00D4C">
        <w:rPr>
          <w:rFonts w:ascii="Book Antiqua" w:hAnsi="Book Antiqua"/>
          <w:bCs/>
          <w:lang w:val="es-PR"/>
        </w:rPr>
        <w:t xml:space="preserve"> </w:t>
      </w:r>
      <w:proofErr w:type="spellStart"/>
      <w:r w:rsidRPr="00C00D4C">
        <w:rPr>
          <w:rFonts w:ascii="Book Antiqua" w:hAnsi="Book Antiqua"/>
          <w:bCs/>
          <w:lang w:val="es-PR"/>
        </w:rPr>
        <w:t>Portability</w:t>
      </w:r>
      <w:proofErr w:type="spellEnd"/>
      <w:r w:rsidRPr="00C00D4C">
        <w:rPr>
          <w:rFonts w:ascii="Book Antiqua" w:hAnsi="Book Antiqua"/>
          <w:bCs/>
          <w:lang w:val="es-PR"/>
        </w:rPr>
        <w:t xml:space="preserve"> and </w:t>
      </w:r>
      <w:proofErr w:type="spellStart"/>
      <w:r w:rsidRPr="00C00D4C">
        <w:rPr>
          <w:rFonts w:ascii="Book Antiqua" w:hAnsi="Book Antiqua"/>
          <w:bCs/>
          <w:lang w:val="es-PR"/>
        </w:rPr>
        <w:t>Accountability</w:t>
      </w:r>
      <w:proofErr w:type="spellEnd"/>
      <w:r w:rsidRPr="00C00D4C">
        <w:rPr>
          <w:rFonts w:ascii="Book Antiqua" w:hAnsi="Book Antiqua"/>
          <w:bCs/>
          <w:lang w:val="es-PR"/>
        </w:rPr>
        <w:t xml:space="preserve"> </w:t>
      </w:r>
      <w:proofErr w:type="spellStart"/>
      <w:r w:rsidRPr="00C00D4C">
        <w:rPr>
          <w:rFonts w:ascii="Book Antiqua" w:hAnsi="Book Antiqua"/>
          <w:bCs/>
          <w:lang w:val="es-PR"/>
        </w:rPr>
        <w:t>Act</w:t>
      </w:r>
      <w:proofErr w:type="spellEnd"/>
      <w:r w:rsidRPr="00C00D4C">
        <w:rPr>
          <w:rFonts w:ascii="Book Antiqua" w:hAnsi="Book Antiqua"/>
          <w:bCs/>
          <w:lang w:val="es-PR"/>
        </w:rPr>
        <w:t xml:space="preserve"> (HIPAA, por sus siglas en inglés). Esta ley establece las pautas para proteger la confidencialidad y privacidad de la información del paciente, así como datos médicos. La regla de privacidad de HIPAA, en el Rules and </w:t>
      </w:r>
      <w:proofErr w:type="spellStart"/>
      <w:r w:rsidRPr="00C00D4C">
        <w:rPr>
          <w:rFonts w:ascii="Book Antiqua" w:hAnsi="Book Antiqua"/>
          <w:bCs/>
          <w:lang w:val="es-PR"/>
        </w:rPr>
        <w:t>Regulations</w:t>
      </w:r>
      <w:proofErr w:type="spellEnd"/>
      <w:r w:rsidRPr="00C00D4C">
        <w:rPr>
          <w:rFonts w:ascii="Book Antiqua" w:hAnsi="Book Antiqua"/>
          <w:bCs/>
          <w:lang w:val="es-PR"/>
        </w:rPr>
        <w:t xml:space="preserve"> del Federal </w:t>
      </w:r>
      <w:proofErr w:type="spellStart"/>
      <w:r w:rsidRPr="00C00D4C">
        <w:rPr>
          <w:rFonts w:ascii="Book Antiqua" w:hAnsi="Book Antiqua"/>
          <w:bCs/>
          <w:lang w:val="es-PR"/>
        </w:rPr>
        <w:t>Register</w:t>
      </w:r>
      <w:proofErr w:type="spellEnd"/>
      <w:r w:rsidRPr="00C00D4C">
        <w:rPr>
          <w:rFonts w:ascii="Book Antiqua" w:hAnsi="Book Antiqua"/>
          <w:bCs/>
          <w:lang w:val="es-PR"/>
        </w:rPr>
        <w:t xml:space="preserve">, Vol. 78, No. 17 (45 CFR </w:t>
      </w:r>
      <w:proofErr w:type="spellStart"/>
      <w:r w:rsidRPr="00C00D4C">
        <w:rPr>
          <w:rFonts w:ascii="Book Antiqua" w:hAnsi="Book Antiqua"/>
          <w:bCs/>
          <w:lang w:val="es-PR"/>
        </w:rPr>
        <w:t>Parts</w:t>
      </w:r>
      <w:proofErr w:type="spellEnd"/>
      <w:r w:rsidRPr="00C00D4C">
        <w:rPr>
          <w:rFonts w:ascii="Book Antiqua" w:hAnsi="Book Antiqua"/>
          <w:bCs/>
          <w:lang w:val="es-PR"/>
        </w:rPr>
        <w:t xml:space="preserve"> 160-164) establece que la información de salud identificable de las personas permanece protegida durante cincuenta (50) años, después de su muerte. Durante este periodo de protección, según la información de salud protegida, (en adelante PHI, por </w:t>
      </w:r>
      <w:r w:rsidRPr="00C00D4C">
        <w:rPr>
          <w:rFonts w:ascii="Book Antiqua" w:hAnsi="Book Antiqua"/>
          <w:bCs/>
          <w:lang w:val="es-PR"/>
        </w:rPr>
        <w:lastRenderedPageBreak/>
        <w:t>sus siglas en inglés), generalmente se salvaguarda la información de salud del difunto en la misma manera que la de las personas vivas, pero incluye una serie de disposiciones especiales de divulgación relevantes para las personas fallecidas.</w:t>
      </w:r>
    </w:p>
    <w:p w14:paraId="178A6E4B" w14:textId="77777777" w:rsidR="00BF2EF8" w:rsidRPr="00C00D4C" w:rsidRDefault="00BF2EF8" w:rsidP="00BF2EF8">
      <w:pPr>
        <w:suppressLineNumbers/>
        <w:ind w:firstLine="360"/>
        <w:jc w:val="both"/>
        <w:rPr>
          <w:rFonts w:ascii="Book Antiqua" w:hAnsi="Book Antiqua"/>
          <w:bCs/>
          <w:lang w:val="es-PR"/>
        </w:rPr>
      </w:pPr>
    </w:p>
    <w:p w14:paraId="486AF91F" w14:textId="77777777" w:rsidR="00BF2EF8" w:rsidRDefault="00BF2EF8" w:rsidP="00BF2EF8">
      <w:pPr>
        <w:suppressLineNumbers/>
        <w:ind w:firstLine="360"/>
        <w:jc w:val="both"/>
        <w:rPr>
          <w:rFonts w:ascii="Book Antiqua" w:hAnsi="Book Antiqua"/>
          <w:bCs/>
          <w:lang w:val="es-PR"/>
        </w:rPr>
      </w:pPr>
      <w:r w:rsidRPr="00C00D4C">
        <w:rPr>
          <w:rFonts w:ascii="Book Antiqua" w:hAnsi="Book Antiqua"/>
          <w:bCs/>
          <w:lang w:val="es-PR"/>
        </w:rPr>
        <w:t>Las disposiciones en las que una entidad cubierta puede revelar la información de salud protegida (PHI) de una persona fallecida son las siguientes:</w:t>
      </w:r>
    </w:p>
    <w:p w14:paraId="413E9A6E" w14:textId="77777777" w:rsidR="00BF2EF8" w:rsidRPr="00C00D4C" w:rsidRDefault="00BF2EF8" w:rsidP="00BF2EF8">
      <w:pPr>
        <w:suppressLineNumbers/>
        <w:ind w:firstLine="360"/>
        <w:jc w:val="both"/>
        <w:rPr>
          <w:rFonts w:ascii="Book Antiqua" w:hAnsi="Book Antiqua"/>
          <w:bCs/>
          <w:lang w:val="es-PR"/>
        </w:rPr>
      </w:pPr>
    </w:p>
    <w:p w14:paraId="4AE3E809" w14:textId="77777777" w:rsidR="00BF2EF8" w:rsidRPr="00C00D4C" w:rsidRDefault="00BF2EF8" w:rsidP="00230981">
      <w:pPr>
        <w:suppressLineNumbers/>
        <w:ind w:left="360"/>
        <w:jc w:val="both"/>
        <w:rPr>
          <w:rFonts w:ascii="Book Antiqua" w:hAnsi="Book Antiqua"/>
          <w:bCs/>
          <w:lang w:val="es-PR"/>
        </w:rPr>
      </w:pPr>
      <w:r w:rsidRPr="00C00D4C">
        <w:rPr>
          <w:rFonts w:ascii="Book Antiqua" w:hAnsi="Book Antiqua"/>
          <w:bCs/>
          <w:lang w:val="es-PR"/>
        </w:rPr>
        <w:t>1) Alertar a las fuerzas del orden público sobre la muerte del individuo, cuando existe la sospecha de que la muerte fue el resultado de una conducta criminal;</w:t>
      </w:r>
    </w:p>
    <w:p w14:paraId="24498FF1" w14:textId="77777777" w:rsidR="00BF2EF8" w:rsidRPr="00C00D4C" w:rsidRDefault="00BF2EF8" w:rsidP="00230981">
      <w:pPr>
        <w:suppressLineNumbers/>
        <w:ind w:left="360"/>
        <w:jc w:val="both"/>
        <w:rPr>
          <w:rFonts w:ascii="Book Antiqua" w:hAnsi="Book Antiqua"/>
          <w:bCs/>
          <w:lang w:val="es-PR"/>
        </w:rPr>
      </w:pPr>
      <w:r w:rsidRPr="00C00D4C">
        <w:rPr>
          <w:rFonts w:ascii="Book Antiqua" w:hAnsi="Book Antiqua"/>
          <w:bCs/>
          <w:lang w:val="es-PR"/>
        </w:rPr>
        <w:t>2) A médicos forenses o examinadores médicos y directores de funerarias;</w:t>
      </w:r>
      <w:r>
        <w:rPr>
          <w:rFonts w:ascii="Book Antiqua" w:hAnsi="Book Antiqua"/>
          <w:bCs/>
          <w:lang w:val="es-PR"/>
        </w:rPr>
        <w:t xml:space="preserve"> </w:t>
      </w:r>
      <w:r w:rsidRPr="00C00D4C">
        <w:rPr>
          <w:rFonts w:ascii="Book Antiqua" w:hAnsi="Book Antiqua"/>
          <w:bCs/>
          <w:lang w:val="es-PR"/>
        </w:rPr>
        <w:t xml:space="preserve">para la investigación que se centra únicamente en la información de salud protegida de los fallecidos; </w:t>
      </w:r>
    </w:p>
    <w:p w14:paraId="3523CEE4" w14:textId="77777777" w:rsidR="00BF2EF8" w:rsidRPr="00C00D4C" w:rsidRDefault="00BF2EF8" w:rsidP="00230981">
      <w:pPr>
        <w:suppressLineNumbers/>
        <w:ind w:left="360"/>
        <w:jc w:val="both"/>
        <w:rPr>
          <w:rFonts w:ascii="Book Antiqua" w:hAnsi="Book Antiqua"/>
          <w:bCs/>
          <w:lang w:val="es-PR"/>
        </w:rPr>
      </w:pPr>
      <w:r w:rsidRPr="00C00D4C">
        <w:rPr>
          <w:rFonts w:ascii="Book Antiqua" w:hAnsi="Book Antiqua"/>
          <w:bCs/>
          <w:lang w:val="es-PR"/>
        </w:rPr>
        <w:t>3) A organizaciones de obtención de órganos u otras entidades dedicadas a la obtención, almacenamiento o trasplante de órganos, ojos o tejidos cadavéricos con el fin de facilitar la donación y el trasplante de órganos, ojos o tejidos; y</w:t>
      </w:r>
    </w:p>
    <w:p w14:paraId="39C4DF77" w14:textId="77777777" w:rsidR="00BF2EF8" w:rsidRDefault="00BF2EF8" w:rsidP="00230981">
      <w:pPr>
        <w:suppressLineNumbers/>
        <w:ind w:left="360"/>
        <w:jc w:val="both"/>
        <w:rPr>
          <w:rFonts w:ascii="Book Antiqua" w:hAnsi="Book Antiqua"/>
          <w:bCs/>
          <w:lang w:val="es-PR"/>
        </w:rPr>
      </w:pPr>
      <w:r w:rsidRPr="00C00D4C">
        <w:rPr>
          <w:rFonts w:ascii="Book Antiqua" w:hAnsi="Book Antiqua"/>
          <w:bCs/>
          <w:lang w:val="es-PR"/>
        </w:rPr>
        <w:t>4) A un miembro de la familia u otra persona que estuvo involucrada en el cuidado de la salud del individuo o en el pago de la atención antes de la muerte del individuo, a menos que hacerlo sea inconsistente con cualquier preferencia expresada previamente del individuo fallecido que sea conocida por la entidad cubierta.</w:t>
      </w:r>
    </w:p>
    <w:p w14:paraId="28E282C8" w14:textId="77777777" w:rsidR="00BF2EF8" w:rsidRPr="00C00D4C" w:rsidRDefault="00BF2EF8" w:rsidP="00BF2EF8">
      <w:pPr>
        <w:suppressLineNumbers/>
        <w:ind w:firstLine="360"/>
        <w:jc w:val="both"/>
        <w:rPr>
          <w:rFonts w:ascii="Book Antiqua" w:hAnsi="Book Antiqua"/>
          <w:bCs/>
          <w:lang w:val="es-PR"/>
        </w:rPr>
      </w:pPr>
    </w:p>
    <w:p w14:paraId="50BD9B84" w14:textId="77777777" w:rsidR="00BF2EF8" w:rsidRDefault="00BF2EF8" w:rsidP="00BF2EF8">
      <w:pPr>
        <w:suppressLineNumbers/>
        <w:ind w:firstLine="360"/>
        <w:jc w:val="both"/>
        <w:rPr>
          <w:rFonts w:ascii="Book Antiqua" w:hAnsi="Book Antiqua"/>
          <w:bCs/>
          <w:lang w:val="es-PR"/>
        </w:rPr>
      </w:pPr>
      <w:r w:rsidRPr="00C00D4C">
        <w:rPr>
          <w:rFonts w:ascii="Book Antiqua" w:hAnsi="Book Antiqua"/>
          <w:bCs/>
          <w:lang w:val="es-PR"/>
        </w:rPr>
        <w:t>Según el Departamento de Salud Federal (HHS, por sus siglas en inglés), para las divulgaciones de PHI a terceras personas, las entidades cubiertas por la Ley HIPAA deben recibir una autorización por escrito de un representante legítimo del difunto que pueda autorizar la divulgación de la información solicitada. Tomando en consideración la excepción de los datos utilizados por la agencia para fines estadísticos.</w:t>
      </w:r>
    </w:p>
    <w:p w14:paraId="25254766" w14:textId="77777777" w:rsidR="00BF2EF8" w:rsidRPr="00C00D4C" w:rsidRDefault="00BF2EF8" w:rsidP="00BF2EF8">
      <w:pPr>
        <w:suppressLineNumbers/>
        <w:ind w:firstLine="360"/>
        <w:jc w:val="both"/>
        <w:rPr>
          <w:rFonts w:ascii="Book Antiqua" w:hAnsi="Book Antiqua"/>
          <w:bCs/>
          <w:lang w:val="es-PR"/>
        </w:rPr>
      </w:pPr>
    </w:p>
    <w:p w14:paraId="1503F524" w14:textId="77777777" w:rsidR="00BF2EF8" w:rsidRDefault="00BF2EF8" w:rsidP="00BF2EF8">
      <w:pPr>
        <w:suppressLineNumbers/>
        <w:ind w:firstLine="360"/>
        <w:jc w:val="both"/>
        <w:rPr>
          <w:rFonts w:ascii="Book Antiqua" w:hAnsi="Book Antiqua"/>
          <w:bCs/>
          <w:lang w:val="es-PR"/>
        </w:rPr>
      </w:pPr>
      <w:r w:rsidRPr="00C00D4C">
        <w:rPr>
          <w:rFonts w:ascii="Book Antiqua" w:hAnsi="Book Antiqua"/>
          <w:bCs/>
          <w:lang w:val="es-PR"/>
        </w:rPr>
        <w:t>De igual forma, esta Asamblea Legislativa aprobó la Ley Núm. 122-2019, conocida como la “Ley de Datos Abiertos del Gobierno de Puerto Rico”, en la cual se establecieron los parámetros o criterios que determinarán las circunstancias en que las agencias gubernamentales brindarán la información al público</w:t>
      </w:r>
      <w:r>
        <w:rPr>
          <w:rFonts w:ascii="Book Antiqua" w:hAnsi="Book Antiqua"/>
          <w:bCs/>
          <w:lang w:val="es-PR"/>
        </w:rPr>
        <w:t>,</w:t>
      </w:r>
      <w:r w:rsidRPr="00C00D4C">
        <w:rPr>
          <w:rFonts w:ascii="Book Antiqua" w:hAnsi="Book Antiqua"/>
          <w:bCs/>
          <w:lang w:val="es-PR"/>
        </w:rPr>
        <w:t xml:space="preserve"> incluyendo al Instituto de Estadística del Gobierno de Puerto Rico. La Ley 122-2019, </w:t>
      </w:r>
      <w:r w:rsidRPr="00C00D4C">
        <w:rPr>
          <w:rFonts w:ascii="Book Antiqua" w:hAnsi="Book Antiqua"/>
          <w:bCs/>
          <w:i/>
          <w:iCs/>
          <w:lang w:val="es-PR"/>
        </w:rPr>
        <w:t>supra</w:t>
      </w:r>
      <w:r w:rsidRPr="00C00D4C">
        <w:rPr>
          <w:rFonts w:ascii="Book Antiqua" w:hAnsi="Book Antiqua"/>
          <w:bCs/>
          <w:lang w:val="es-PR"/>
        </w:rPr>
        <w:t xml:space="preserve">, reconoce que la agencia puede levantar la protección de la información bajo su custodia, si así lo dispone la Ley o se lesionan derechos de terceros.  </w:t>
      </w:r>
    </w:p>
    <w:p w14:paraId="47D31681" w14:textId="77777777" w:rsidR="00BF2EF8" w:rsidRPr="00C00D4C" w:rsidRDefault="00BF2EF8" w:rsidP="00BF2EF8">
      <w:pPr>
        <w:suppressLineNumbers/>
        <w:ind w:firstLine="360"/>
        <w:jc w:val="both"/>
        <w:rPr>
          <w:rFonts w:ascii="Book Antiqua" w:hAnsi="Book Antiqua"/>
          <w:bCs/>
          <w:lang w:val="es-PR"/>
        </w:rPr>
      </w:pPr>
    </w:p>
    <w:p w14:paraId="53E025EB" w14:textId="77777777" w:rsidR="00BF2EF8" w:rsidRPr="00C00D4C" w:rsidRDefault="00BF2EF8" w:rsidP="00BF2EF8">
      <w:pPr>
        <w:suppressLineNumbers/>
        <w:ind w:firstLine="360"/>
        <w:jc w:val="both"/>
        <w:rPr>
          <w:rFonts w:ascii="Book Antiqua" w:hAnsi="Book Antiqua"/>
          <w:bCs/>
          <w:lang w:val="es-PR"/>
        </w:rPr>
      </w:pPr>
      <w:r w:rsidRPr="00C00D4C">
        <w:rPr>
          <w:rFonts w:ascii="Book Antiqua" w:hAnsi="Book Antiqua"/>
          <w:bCs/>
          <w:lang w:val="es-PR"/>
        </w:rPr>
        <w:t xml:space="preserve">Por último, debemos mencionar que el Registro Demográfico tiene el deber de divulgar estadísticas vitales dentro de los estándares permitidos por la Ley HIPAA, así también de proveer un producto estadístico, que estará disponible al público para su análisis.  Entiéndase por estadísticas vitales la siguiente información: sexo, edad, fecha de nacimiento, código de zona, código postal, municipio, zona residencial (urbana o rural), estado civil o de convivencia, lugar de muerte, municipio de fallecimiento, fecha de fallecimiento, código de muerte, tipo de muerte, fecha de lesión, lesión-trabajo, educación, raza, ocupación y tipo de industria.  </w:t>
      </w:r>
    </w:p>
    <w:p w14:paraId="591B78EB" w14:textId="77777777" w:rsidR="00BF2EF8" w:rsidRDefault="00BF2EF8" w:rsidP="00BF2EF8">
      <w:pPr>
        <w:suppressLineNumbers/>
        <w:ind w:firstLine="360"/>
        <w:jc w:val="both"/>
        <w:rPr>
          <w:rFonts w:ascii="Book Antiqua" w:hAnsi="Book Antiqua"/>
          <w:bCs/>
          <w:lang w:val="es-PR"/>
        </w:rPr>
      </w:pPr>
      <w:r w:rsidRPr="00C00D4C">
        <w:rPr>
          <w:rFonts w:ascii="Book Antiqua" w:hAnsi="Book Antiqua"/>
          <w:bCs/>
          <w:lang w:val="es-PR"/>
        </w:rPr>
        <w:lastRenderedPageBreak/>
        <w:t>Ciertamente, el Registro Demográfico en su deber de divulgar estadísticas vitales tiene la obligación de garantizar que los datos que puedan identificar personas naturales no serán divulgados en el proceso de recopilación de estos, ya que lo contrario constituiría una crasa violación a derechos de terceros.</w:t>
      </w:r>
    </w:p>
    <w:p w14:paraId="63533F4D" w14:textId="77777777" w:rsidR="00BF2EF8" w:rsidRPr="00C00D4C" w:rsidRDefault="00BF2EF8" w:rsidP="00BF2EF8">
      <w:pPr>
        <w:suppressLineNumbers/>
        <w:ind w:firstLine="360"/>
        <w:jc w:val="both"/>
        <w:rPr>
          <w:rFonts w:ascii="Book Antiqua" w:hAnsi="Book Antiqua"/>
          <w:bCs/>
          <w:lang w:val="es-PR"/>
        </w:rPr>
      </w:pPr>
    </w:p>
    <w:p w14:paraId="0DFAB354" w14:textId="77777777" w:rsidR="00BF2EF8" w:rsidRDefault="00BF2EF8" w:rsidP="00BF2EF8">
      <w:pPr>
        <w:suppressLineNumbers/>
        <w:ind w:firstLine="360"/>
        <w:jc w:val="both"/>
        <w:rPr>
          <w:rFonts w:ascii="Book Antiqua" w:hAnsi="Book Antiqua"/>
          <w:bCs/>
          <w:lang w:val="es-PR"/>
        </w:rPr>
      </w:pPr>
      <w:r w:rsidRPr="00C00D4C">
        <w:rPr>
          <w:rFonts w:ascii="Book Antiqua" w:hAnsi="Book Antiqua"/>
          <w:bCs/>
          <w:lang w:val="es-PR"/>
        </w:rPr>
        <w:t>No obstante, recientes determinaciones judiciales han concluido que el derecho constitucional de acceso a la información gubernamental obliga al Estado a brindar a la prensa copia de los certificados de defunción que ésta, en el ejercicio de sus labores, solicite</w:t>
      </w:r>
      <w:r w:rsidRPr="00C00D4C">
        <w:rPr>
          <w:rFonts w:ascii="Book Antiqua" w:hAnsi="Book Antiqua"/>
          <w:bCs/>
          <w:vertAlign w:val="superscript"/>
          <w:lang w:val="es-PR"/>
        </w:rPr>
        <w:footnoteReference w:id="1"/>
      </w:r>
      <w:r w:rsidRPr="00C00D4C">
        <w:rPr>
          <w:rFonts w:ascii="Book Antiqua" w:hAnsi="Book Antiqua"/>
          <w:bCs/>
          <w:lang w:val="es-PR"/>
        </w:rPr>
        <w:t>.  Estas determinaciones reconocen la importancia vital que tiene la prensa en el funcionamiento de una sociedad democrática. Considera, además, la necesidad de que la prensa tenga acceso a aquellos documentos generados por el Estado sobre los cuales éste no pueda demostrar que existe un interés apremiante.</w:t>
      </w:r>
    </w:p>
    <w:p w14:paraId="07B88749" w14:textId="77777777" w:rsidR="00BF2EF8" w:rsidRPr="00C00D4C" w:rsidRDefault="00BF2EF8" w:rsidP="00BF2EF8">
      <w:pPr>
        <w:suppressLineNumbers/>
        <w:ind w:firstLine="360"/>
        <w:jc w:val="both"/>
        <w:rPr>
          <w:rFonts w:ascii="Book Antiqua" w:hAnsi="Book Antiqua"/>
          <w:bCs/>
          <w:lang w:val="es-PR"/>
        </w:rPr>
      </w:pPr>
    </w:p>
    <w:p w14:paraId="65BE5CD4" w14:textId="77777777" w:rsidR="00BF2EF8" w:rsidRPr="00C00D4C" w:rsidRDefault="00BF2EF8" w:rsidP="00BF2EF8">
      <w:pPr>
        <w:suppressLineNumbers/>
        <w:ind w:firstLine="360"/>
        <w:jc w:val="both"/>
        <w:rPr>
          <w:rFonts w:ascii="Book Antiqua" w:hAnsi="Book Antiqua"/>
          <w:bCs/>
          <w:lang w:val="es-PR"/>
        </w:rPr>
      </w:pPr>
      <w:r w:rsidRPr="00C00D4C">
        <w:rPr>
          <w:rFonts w:ascii="Book Antiqua" w:hAnsi="Book Antiqua"/>
          <w:bCs/>
          <w:lang w:val="es-PR"/>
        </w:rPr>
        <w:t xml:space="preserve">Estas determinaciones han revelado que existe un vacío en la Ley del Registro Demográfico, pues no garantiza de forma explícita la confidencialidad de la información que esta entidad recopila por mandato de ley. Observamos que la legislación no establece salvaguardas para los derechos de terceros que no interesen la divulgación sobre las circunstancias particulares del fallecimiento </w:t>
      </w:r>
      <w:r>
        <w:rPr>
          <w:rFonts w:ascii="Book Antiqua" w:hAnsi="Book Antiqua"/>
          <w:bCs/>
          <w:lang w:val="es-PR"/>
        </w:rPr>
        <w:t xml:space="preserve">de </w:t>
      </w:r>
      <w:r w:rsidRPr="00C00D4C">
        <w:rPr>
          <w:rFonts w:ascii="Book Antiqua" w:hAnsi="Book Antiqua"/>
          <w:bCs/>
          <w:lang w:val="es-PR"/>
        </w:rPr>
        <w:t xml:space="preserve">sus familiares al público. De igual forma, no delimita o establece con precisión en qué circunstancias un Tribunal puede ordenar la entrega de información, siendo una orden judicial razón suficiente para entregar información, independientemente de la naturaleza del caso bajo su consideración. Finalmente, el estatuto tampoco dispone qué información (particularmente aquella contenida en los certificados de defunción) tiene un carácter sensitivo de tal naturaleza que justifique razonablemente la decisión del Estado de mantener su confidencialidad.   </w:t>
      </w:r>
    </w:p>
    <w:p w14:paraId="51CC8B18" w14:textId="52FC1D83" w:rsidR="00ED30AA" w:rsidRPr="00F10434" w:rsidRDefault="00BF2EF8" w:rsidP="00BF2EF8">
      <w:pPr>
        <w:jc w:val="both"/>
        <w:rPr>
          <w:rFonts w:ascii="Book Antiqua" w:hAnsi="Book Antiqua"/>
          <w:szCs w:val="24"/>
          <w:lang w:val="es-ES"/>
        </w:rPr>
      </w:pPr>
      <w:r w:rsidRPr="00C00D4C">
        <w:rPr>
          <w:rFonts w:ascii="Book Antiqua" w:hAnsi="Book Antiqua"/>
          <w:bCs/>
          <w:lang w:val="es-PR"/>
        </w:rPr>
        <w:t xml:space="preserve">Esta ley atenderá las lagunas antes señaladas, protegerá los derechos de terceros y delimitará con precisión la información que puede y debe ser entregada a la ciudadanía y a la prensa.  Además, establecerá un balance entre el reconocido derecho de acceso a la información y la confidencialidad de información que puede ser considerada como sensitiva por los familiares de una persona difunta y evitar, a su vez, que pueda ser utilizada con fines ilícitos.   </w:t>
      </w:r>
    </w:p>
    <w:p w14:paraId="55228B62" w14:textId="77777777" w:rsidR="00ED30AA" w:rsidRDefault="00ED30AA" w:rsidP="00ED30AA">
      <w:pPr>
        <w:jc w:val="center"/>
        <w:rPr>
          <w:rFonts w:ascii="Book Antiqua" w:hAnsi="Book Antiqua"/>
          <w:b/>
          <w:szCs w:val="24"/>
          <w:lang w:val="es-ES"/>
        </w:rPr>
      </w:pPr>
    </w:p>
    <w:p w14:paraId="6C75529E" w14:textId="77777777" w:rsidR="0019757A" w:rsidRPr="00F10434" w:rsidRDefault="0019757A" w:rsidP="00ED30AA">
      <w:pPr>
        <w:jc w:val="center"/>
        <w:rPr>
          <w:rFonts w:ascii="Book Antiqua" w:hAnsi="Book Antiqua"/>
          <w:b/>
          <w:szCs w:val="24"/>
          <w:lang w:val="es-ES"/>
        </w:rPr>
      </w:pPr>
    </w:p>
    <w:p w14:paraId="294A170E" w14:textId="77777777" w:rsidR="00ED30AA" w:rsidRPr="00F10434" w:rsidRDefault="00ED30AA" w:rsidP="00ED30AA">
      <w:pPr>
        <w:jc w:val="center"/>
        <w:rPr>
          <w:rFonts w:ascii="Book Antiqua" w:hAnsi="Book Antiqua"/>
          <w:b/>
          <w:szCs w:val="24"/>
          <w:lang w:val="es-ES"/>
        </w:rPr>
      </w:pPr>
      <w:r w:rsidRPr="00F10434">
        <w:rPr>
          <w:rFonts w:ascii="Book Antiqua" w:hAnsi="Book Antiqua"/>
          <w:b/>
          <w:szCs w:val="24"/>
          <w:lang w:val="es-ES"/>
        </w:rPr>
        <w:t>ANÁLISIS DE LA MEDIDA</w:t>
      </w:r>
    </w:p>
    <w:p w14:paraId="1A632F82" w14:textId="77777777" w:rsidR="00ED30AA" w:rsidRPr="00F10434" w:rsidRDefault="00ED30AA" w:rsidP="00ED30AA">
      <w:pPr>
        <w:jc w:val="center"/>
        <w:rPr>
          <w:rFonts w:ascii="Book Antiqua" w:hAnsi="Book Antiqua"/>
          <w:b/>
          <w:bCs/>
          <w:szCs w:val="24"/>
          <w:lang w:val="es-ES"/>
        </w:rPr>
      </w:pPr>
    </w:p>
    <w:p w14:paraId="6A224346" w14:textId="2042D7F7" w:rsidR="00ED30AA" w:rsidRPr="0019757A" w:rsidRDefault="00ED30AA" w:rsidP="00ED30AA">
      <w:pPr>
        <w:jc w:val="both"/>
        <w:rPr>
          <w:rFonts w:ascii="Book Antiqua" w:hAnsi="Book Antiqua"/>
          <w:bCs/>
          <w:szCs w:val="24"/>
          <w:lang w:val="es-ES"/>
        </w:rPr>
      </w:pPr>
      <w:bookmarkStart w:id="0" w:name="_Hlk193963423"/>
      <w:r w:rsidRPr="00F10434">
        <w:rPr>
          <w:rFonts w:ascii="Book Antiqua" w:hAnsi="Book Antiqua"/>
          <w:bCs/>
          <w:szCs w:val="24"/>
          <w:lang w:val="es-ES"/>
        </w:rPr>
        <w:t>En el desempeñ</w:t>
      </w:r>
      <w:r w:rsidR="00FF3B02" w:rsidRPr="00F10434">
        <w:rPr>
          <w:rFonts w:ascii="Book Antiqua" w:hAnsi="Book Antiqua"/>
          <w:bCs/>
          <w:szCs w:val="24"/>
          <w:lang w:val="es-ES"/>
        </w:rPr>
        <w:t>o</w:t>
      </w:r>
      <w:r w:rsidRPr="00F10434">
        <w:rPr>
          <w:rFonts w:ascii="Book Antiqua" w:hAnsi="Book Antiqua"/>
          <w:bCs/>
          <w:szCs w:val="24"/>
          <w:lang w:val="es-ES"/>
        </w:rPr>
        <w:t xml:space="preserve"> de sus funciones, la Comisión de Salud de la Cámara de Representantes de Puerto Rico, evaluó el presente Proyecto, por lo que revisó </w:t>
      </w:r>
      <w:r w:rsidR="00BF2EF8">
        <w:rPr>
          <w:rFonts w:ascii="Book Antiqua" w:hAnsi="Book Antiqua"/>
          <w:bCs/>
          <w:szCs w:val="24"/>
          <w:lang w:val="es-ES"/>
        </w:rPr>
        <w:t>el</w:t>
      </w:r>
      <w:r w:rsidRPr="00F10434">
        <w:rPr>
          <w:rFonts w:ascii="Book Antiqua" w:hAnsi="Book Antiqua"/>
          <w:bCs/>
          <w:szCs w:val="24"/>
          <w:lang w:val="es-ES"/>
        </w:rPr>
        <w:t xml:space="preserve"> memorial presentado por el </w:t>
      </w:r>
      <w:r w:rsidRPr="00F10434">
        <w:rPr>
          <w:rFonts w:ascii="Book Antiqua" w:hAnsi="Book Antiqua"/>
          <w:b/>
          <w:szCs w:val="24"/>
          <w:lang w:val="es-ES"/>
        </w:rPr>
        <w:t>Departamento de Salud</w:t>
      </w:r>
      <w:bookmarkEnd w:id="0"/>
      <w:r w:rsidR="0019757A">
        <w:rPr>
          <w:rFonts w:ascii="Book Antiqua" w:hAnsi="Book Antiqua"/>
          <w:bCs/>
          <w:szCs w:val="24"/>
          <w:lang w:val="es-ES"/>
        </w:rPr>
        <w:t xml:space="preserve"> y se revisó el comentario que la </w:t>
      </w:r>
      <w:r w:rsidR="0019757A" w:rsidRPr="0019757A">
        <w:rPr>
          <w:rFonts w:ascii="Book Antiqua" w:hAnsi="Book Antiqua"/>
          <w:b/>
          <w:szCs w:val="24"/>
          <w:lang w:val="es-ES"/>
        </w:rPr>
        <w:t>Administración de Tribunales</w:t>
      </w:r>
      <w:r w:rsidR="0019757A">
        <w:rPr>
          <w:rFonts w:ascii="Book Antiqua" w:hAnsi="Book Antiqua"/>
          <w:b/>
          <w:szCs w:val="24"/>
          <w:lang w:val="es-ES"/>
        </w:rPr>
        <w:t xml:space="preserve"> </w:t>
      </w:r>
      <w:r w:rsidR="0019757A">
        <w:rPr>
          <w:rFonts w:ascii="Book Antiqua" w:hAnsi="Book Antiqua"/>
          <w:bCs/>
          <w:szCs w:val="24"/>
          <w:lang w:val="es-ES"/>
        </w:rPr>
        <w:t>sometió a la Comisión de Salud del Senado de Puerto Rico.</w:t>
      </w:r>
    </w:p>
    <w:p w14:paraId="04618B7D" w14:textId="77777777" w:rsidR="00D1046C" w:rsidRPr="00F10434" w:rsidRDefault="00D1046C" w:rsidP="00EE669C">
      <w:pPr>
        <w:jc w:val="center"/>
        <w:rPr>
          <w:rFonts w:ascii="Book Antiqua" w:hAnsi="Book Antiqua"/>
          <w:b/>
          <w:szCs w:val="24"/>
          <w:u w:val="single"/>
          <w:lang w:val="es-ES"/>
        </w:rPr>
      </w:pPr>
    </w:p>
    <w:p w14:paraId="34206A55" w14:textId="6FF425F8" w:rsidR="00EE669C" w:rsidRPr="0019757A" w:rsidRDefault="00ED30AA" w:rsidP="00EE669C">
      <w:pPr>
        <w:jc w:val="center"/>
        <w:rPr>
          <w:rFonts w:ascii="Book Antiqua" w:hAnsi="Book Antiqua"/>
          <w:b/>
          <w:szCs w:val="24"/>
          <w:u w:val="single"/>
          <w:lang w:val="es-ES"/>
        </w:rPr>
      </w:pPr>
      <w:r w:rsidRPr="0019757A">
        <w:rPr>
          <w:rFonts w:ascii="Book Antiqua" w:hAnsi="Book Antiqua"/>
          <w:b/>
          <w:szCs w:val="24"/>
          <w:u w:val="single"/>
          <w:lang w:val="es-ES"/>
        </w:rPr>
        <w:lastRenderedPageBreak/>
        <w:t>Departamento de Salud</w:t>
      </w:r>
    </w:p>
    <w:p w14:paraId="693FB12B" w14:textId="3CB8128F" w:rsidR="00BF2EF8" w:rsidRPr="0019757A" w:rsidRDefault="00BF2EF8" w:rsidP="00EE669C">
      <w:pPr>
        <w:jc w:val="center"/>
        <w:rPr>
          <w:rFonts w:ascii="Book Antiqua" w:hAnsi="Book Antiqua"/>
          <w:bCs/>
          <w:szCs w:val="24"/>
          <w:lang w:val="es-ES"/>
        </w:rPr>
      </w:pPr>
      <w:r w:rsidRPr="0019757A">
        <w:rPr>
          <w:rFonts w:ascii="Book Antiqua" w:hAnsi="Book Antiqua"/>
          <w:bCs/>
          <w:szCs w:val="24"/>
          <w:lang w:val="es-ES"/>
        </w:rPr>
        <w:t>(20 de junio de 2025)</w:t>
      </w:r>
    </w:p>
    <w:p w14:paraId="0A6D0967" w14:textId="02B7DE7A" w:rsidR="00ED30AA" w:rsidRPr="0019757A" w:rsidRDefault="00532C72" w:rsidP="000C1758">
      <w:pPr>
        <w:pStyle w:val="NormalWeb"/>
        <w:spacing w:after="0"/>
        <w:contextualSpacing/>
        <w:jc w:val="both"/>
        <w:rPr>
          <w:rFonts w:ascii="Book Antiqua" w:hAnsi="Book Antiqua"/>
          <w:color w:val="000000" w:themeColor="text1"/>
        </w:rPr>
      </w:pPr>
      <w:r w:rsidRPr="0019757A">
        <w:rPr>
          <w:rFonts w:ascii="Book Antiqua" w:hAnsi="Book Antiqua"/>
          <w:color w:val="000000" w:themeColor="text1"/>
        </w:rPr>
        <w:t>El Departamento de Salud</w:t>
      </w:r>
      <w:r w:rsidR="000C1758" w:rsidRPr="0019757A">
        <w:rPr>
          <w:rFonts w:ascii="Book Antiqua" w:hAnsi="Book Antiqua"/>
          <w:color w:val="000000" w:themeColor="text1"/>
        </w:rPr>
        <w:t>, l</w:t>
      </w:r>
      <w:r w:rsidRPr="0019757A">
        <w:rPr>
          <w:rFonts w:ascii="Book Antiqua" w:hAnsi="Book Antiqua"/>
          <w:color w:val="000000" w:themeColor="text1"/>
        </w:rPr>
        <w:t xml:space="preserve">uego de evaluar el contenido de la medida, </w:t>
      </w:r>
      <w:r w:rsidR="000C1758" w:rsidRPr="0019757A">
        <w:rPr>
          <w:rFonts w:ascii="Book Antiqua" w:hAnsi="Book Antiqua"/>
          <w:color w:val="000000" w:themeColor="text1"/>
        </w:rPr>
        <w:t xml:space="preserve">expresa que </w:t>
      </w:r>
      <w:r w:rsidRPr="0019757A">
        <w:rPr>
          <w:rFonts w:ascii="Book Antiqua" w:hAnsi="Book Antiqua"/>
          <w:b/>
          <w:bCs/>
          <w:color w:val="000000" w:themeColor="text1"/>
        </w:rPr>
        <w:t>endosa</w:t>
      </w:r>
      <w:r w:rsidRPr="0019757A">
        <w:rPr>
          <w:rFonts w:ascii="Book Antiqua" w:hAnsi="Book Antiqua"/>
          <w:color w:val="000000" w:themeColor="text1"/>
        </w:rPr>
        <w:t xml:space="preserve"> </w:t>
      </w:r>
      <w:r w:rsidR="000C1758" w:rsidRPr="0019757A">
        <w:rPr>
          <w:rFonts w:ascii="Book Antiqua" w:hAnsi="Book Antiqua"/>
          <w:color w:val="000000" w:themeColor="text1"/>
        </w:rPr>
        <w:t xml:space="preserve">la medida </w:t>
      </w:r>
      <w:r w:rsidRPr="0019757A">
        <w:rPr>
          <w:rFonts w:ascii="Book Antiqua" w:hAnsi="Book Antiqua"/>
          <w:color w:val="000000" w:themeColor="text1"/>
        </w:rPr>
        <w:t>en los términos en que fue redactada y aprobada por el Senado de Puerto Rico, y enviada a la Cámara de Representantes para su correspondiente trámite, evaluación y aprobación.</w:t>
      </w:r>
    </w:p>
    <w:p w14:paraId="2CCEE4A6" w14:textId="77777777" w:rsidR="0019757A" w:rsidRPr="0019757A" w:rsidRDefault="0019757A" w:rsidP="000C1758">
      <w:pPr>
        <w:pStyle w:val="NormalWeb"/>
        <w:spacing w:after="0"/>
        <w:contextualSpacing/>
        <w:jc w:val="both"/>
        <w:rPr>
          <w:rFonts w:ascii="Book Antiqua" w:hAnsi="Book Antiqua"/>
          <w:color w:val="000000" w:themeColor="text1"/>
        </w:rPr>
      </w:pPr>
    </w:p>
    <w:p w14:paraId="1C293BE4" w14:textId="723F7384" w:rsidR="0019757A" w:rsidRPr="0019757A" w:rsidRDefault="0019757A" w:rsidP="0019757A">
      <w:pPr>
        <w:contextualSpacing/>
        <w:jc w:val="center"/>
        <w:rPr>
          <w:rFonts w:ascii="Book Antiqua" w:hAnsi="Book Antiqua"/>
          <w:b/>
          <w:bCs/>
          <w:noProof/>
          <w:szCs w:val="24"/>
          <w:u w:val="single"/>
          <w:lang w:val="es-PR"/>
        </w:rPr>
      </w:pPr>
      <w:r w:rsidRPr="0019757A">
        <w:rPr>
          <w:rFonts w:ascii="Book Antiqua" w:hAnsi="Book Antiqua"/>
          <w:b/>
          <w:bCs/>
          <w:noProof/>
          <w:szCs w:val="24"/>
          <w:u w:val="single"/>
          <w:lang w:val="es-PR"/>
        </w:rPr>
        <w:t>Administración de Tribunales</w:t>
      </w:r>
    </w:p>
    <w:p w14:paraId="5370938E" w14:textId="77777777" w:rsidR="0019757A" w:rsidRPr="0019757A" w:rsidRDefault="0019757A" w:rsidP="0019757A">
      <w:pPr>
        <w:contextualSpacing/>
        <w:jc w:val="center"/>
        <w:rPr>
          <w:rFonts w:ascii="Book Antiqua" w:hAnsi="Book Antiqua"/>
          <w:b/>
          <w:bCs/>
          <w:noProof/>
          <w:szCs w:val="24"/>
          <w:lang w:val="es-PR"/>
        </w:rPr>
      </w:pPr>
    </w:p>
    <w:p w14:paraId="163CC040" w14:textId="622A6B63" w:rsidR="0019757A" w:rsidRPr="0019757A" w:rsidRDefault="0019757A" w:rsidP="0019757A">
      <w:pPr>
        <w:jc w:val="both"/>
        <w:rPr>
          <w:rFonts w:ascii="Book Antiqua" w:eastAsia="Calibri" w:hAnsi="Book Antiqua"/>
          <w:kern w:val="2"/>
          <w:szCs w:val="24"/>
          <w:lang w:val="es-ES"/>
          <w14:ligatures w14:val="standardContextual"/>
        </w:rPr>
      </w:pPr>
      <w:r w:rsidRPr="0019757A">
        <w:rPr>
          <w:rFonts w:ascii="Book Antiqua" w:hAnsi="Book Antiqua"/>
          <w:bCs/>
          <w:szCs w:val="24"/>
          <w:lang w:val="es-ES"/>
        </w:rPr>
        <w:t>La Administración de Tribunales</w:t>
      </w:r>
      <w:r w:rsidRPr="0019757A">
        <w:rPr>
          <w:rFonts w:ascii="Book Antiqua" w:hAnsi="Book Antiqua"/>
          <w:b/>
          <w:szCs w:val="24"/>
          <w:lang w:val="es-ES"/>
        </w:rPr>
        <w:t xml:space="preserve">, </w:t>
      </w:r>
      <w:r w:rsidRPr="0019757A">
        <w:rPr>
          <w:rFonts w:ascii="Book Antiqua" w:hAnsi="Book Antiqua"/>
          <w:bCs/>
          <w:szCs w:val="24"/>
          <w:lang w:val="es-ES"/>
        </w:rPr>
        <w:t>tras examinar la pieza legislativa</w:t>
      </w:r>
      <w:r w:rsidRPr="0019757A">
        <w:rPr>
          <w:rFonts w:ascii="Book Antiqua" w:hAnsi="Book Antiqua"/>
          <w:b/>
          <w:szCs w:val="24"/>
          <w:lang w:val="es-ES"/>
        </w:rPr>
        <w:t xml:space="preserve">, </w:t>
      </w:r>
      <w:r w:rsidRPr="0019757A">
        <w:rPr>
          <w:rFonts w:ascii="Book Antiqua" w:hAnsi="Book Antiqua"/>
          <w:bCs/>
          <w:szCs w:val="24"/>
          <w:lang w:val="es-ES"/>
        </w:rPr>
        <w:t xml:space="preserve">presentó su Memorial Explicativo por conducto del </w:t>
      </w:r>
      <w:proofErr w:type="gramStart"/>
      <w:r w:rsidRPr="0019757A">
        <w:rPr>
          <w:rFonts w:ascii="Book Antiqua" w:hAnsi="Book Antiqua"/>
          <w:bCs/>
          <w:szCs w:val="24"/>
          <w:lang w:val="es-ES"/>
        </w:rPr>
        <w:t>Director</w:t>
      </w:r>
      <w:proofErr w:type="gramEnd"/>
      <w:r w:rsidRPr="0019757A">
        <w:rPr>
          <w:rFonts w:ascii="Book Antiqua" w:hAnsi="Book Antiqua"/>
          <w:bCs/>
          <w:szCs w:val="24"/>
          <w:lang w:val="es-ES"/>
        </w:rPr>
        <w:t xml:space="preserve"> Administrativo de los Tribunales, Sigfrido </w:t>
      </w:r>
      <w:proofErr w:type="spellStart"/>
      <w:r w:rsidRPr="0019757A">
        <w:rPr>
          <w:rFonts w:ascii="Book Antiqua" w:hAnsi="Book Antiqua"/>
          <w:bCs/>
          <w:szCs w:val="24"/>
          <w:lang w:val="es-ES"/>
        </w:rPr>
        <w:t>Steidel</w:t>
      </w:r>
      <w:proofErr w:type="spellEnd"/>
      <w:r w:rsidRPr="0019757A">
        <w:rPr>
          <w:rFonts w:ascii="Book Antiqua" w:hAnsi="Book Antiqua"/>
          <w:bCs/>
          <w:szCs w:val="24"/>
          <w:lang w:val="es-ES"/>
        </w:rPr>
        <w:t xml:space="preserve"> Figueroa. Expresó, que como norma general se </w:t>
      </w:r>
      <w:r w:rsidRPr="0019757A">
        <w:rPr>
          <w:rFonts w:ascii="Book Antiqua" w:eastAsia="Calibri" w:hAnsi="Book Antiqua"/>
          <w:kern w:val="2"/>
          <w:szCs w:val="24"/>
          <w:lang w:val="es-ES"/>
          <w14:ligatures w14:val="standardContextual"/>
        </w:rPr>
        <w:t>abstienen de emitir juicio sobre asuntos de política pública gubernamental de la competencia de los otros poderes del gobierno. No obstante, coinciden con la exposición de motivos del Proyecto del Senado 331.</w:t>
      </w:r>
    </w:p>
    <w:p w14:paraId="6BB25206" w14:textId="77777777" w:rsidR="00ED30AA" w:rsidRPr="00F10434" w:rsidRDefault="00ED30AA" w:rsidP="00ED30AA">
      <w:pPr>
        <w:jc w:val="center"/>
        <w:rPr>
          <w:rFonts w:ascii="Book Antiqua" w:hAnsi="Book Antiqua"/>
          <w:bCs/>
          <w:szCs w:val="24"/>
          <w:lang w:val="es-ES"/>
        </w:rPr>
      </w:pPr>
    </w:p>
    <w:p w14:paraId="4095ED36" w14:textId="12162B7C" w:rsidR="00ED30AA" w:rsidRDefault="00ED30AA" w:rsidP="00BF2EF8">
      <w:pPr>
        <w:jc w:val="center"/>
        <w:rPr>
          <w:rFonts w:ascii="Book Antiqua" w:hAnsi="Book Antiqua"/>
          <w:b/>
          <w:szCs w:val="24"/>
          <w:lang w:val="es-ES"/>
        </w:rPr>
      </w:pPr>
      <w:r w:rsidRPr="00F10434">
        <w:rPr>
          <w:rFonts w:ascii="Book Antiqua" w:hAnsi="Book Antiqua"/>
          <w:b/>
          <w:szCs w:val="24"/>
          <w:lang w:val="es-ES"/>
        </w:rPr>
        <w:t>IMPACTO FISCAL</w:t>
      </w:r>
    </w:p>
    <w:p w14:paraId="70DD4DC3" w14:textId="77777777" w:rsidR="00532C72" w:rsidRPr="00BF2EF8" w:rsidRDefault="00532C72" w:rsidP="00BF2EF8">
      <w:pPr>
        <w:jc w:val="center"/>
        <w:rPr>
          <w:rFonts w:ascii="Book Antiqua" w:hAnsi="Book Antiqua"/>
          <w:b/>
          <w:szCs w:val="24"/>
          <w:lang w:val="es-ES"/>
        </w:rPr>
      </w:pPr>
    </w:p>
    <w:p w14:paraId="604BEEA1" w14:textId="1C8A2D2A" w:rsidR="00ED30AA" w:rsidRPr="00F10434" w:rsidRDefault="00ED30AA" w:rsidP="00ED30AA">
      <w:pPr>
        <w:jc w:val="both"/>
        <w:rPr>
          <w:rFonts w:ascii="Book Antiqua" w:hAnsi="Book Antiqua"/>
          <w:szCs w:val="24"/>
          <w:lang w:val="es-ES"/>
        </w:rPr>
      </w:pPr>
      <w:r w:rsidRPr="00F10434">
        <w:rPr>
          <w:rFonts w:ascii="Book Antiqua" w:hAnsi="Book Antiqua"/>
          <w:szCs w:val="24"/>
          <w:lang w:val="es-ES"/>
        </w:rPr>
        <w:t>El P. del S. 3</w:t>
      </w:r>
      <w:r w:rsidR="00BF2EF8">
        <w:rPr>
          <w:rFonts w:ascii="Book Antiqua" w:hAnsi="Book Antiqua"/>
          <w:szCs w:val="24"/>
          <w:lang w:val="es-ES"/>
        </w:rPr>
        <w:t>31</w:t>
      </w:r>
      <w:r w:rsidRPr="00F10434">
        <w:rPr>
          <w:rFonts w:ascii="Book Antiqua" w:hAnsi="Book Antiqua"/>
          <w:szCs w:val="24"/>
          <w:lang w:val="es-ES"/>
        </w:rPr>
        <w:t xml:space="preserve"> no conlleva impacto fiscal alguno, la ley puede ser puesta en vigor y aplicarse con el presupuesto de la</w:t>
      </w:r>
      <w:r w:rsidR="00EE669C" w:rsidRPr="00F10434">
        <w:rPr>
          <w:rFonts w:ascii="Book Antiqua" w:hAnsi="Book Antiqua"/>
          <w:szCs w:val="24"/>
          <w:lang w:val="es-ES"/>
        </w:rPr>
        <w:t>s</w:t>
      </w:r>
      <w:r w:rsidRPr="00F10434">
        <w:rPr>
          <w:rFonts w:ascii="Book Antiqua" w:hAnsi="Book Antiqua"/>
          <w:szCs w:val="24"/>
          <w:lang w:val="es-ES"/>
        </w:rPr>
        <w:t xml:space="preserve"> agencia</w:t>
      </w:r>
      <w:r w:rsidR="00EE669C" w:rsidRPr="00F10434">
        <w:rPr>
          <w:rFonts w:ascii="Book Antiqua" w:hAnsi="Book Antiqua"/>
          <w:szCs w:val="24"/>
          <w:lang w:val="es-ES"/>
        </w:rPr>
        <w:t>s</w:t>
      </w:r>
      <w:r w:rsidRPr="00F10434">
        <w:rPr>
          <w:rFonts w:ascii="Book Antiqua" w:hAnsi="Book Antiqua"/>
          <w:szCs w:val="24"/>
          <w:lang w:val="es-ES"/>
        </w:rPr>
        <w:t xml:space="preserve"> concernida</w:t>
      </w:r>
      <w:r w:rsidR="00EE669C" w:rsidRPr="00F10434">
        <w:rPr>
          <w:rFonts w:ascii="Book Antiqua" w:hAnsi="Book Antiqua"/>
          <w:szCs w:val="24"/>
          <w:lang w:val="es-ES"/>
        </w:rPr>
        <w:t>s</w:t>
      </w:r>
      <w:r w:rsidRPr="00F10434">
        <w:rPr>
          <w:rFonts w:ascii="Book Antiqua" w:hAnsi="Book Antiqua"/>
          <w:szCs w:val="24"/>
          <w:lang w:val="es-ES"/>
        </w:rPr>
        <w:t xml:space="preserve"> de ser necesario.</w:t>
      </w:r>
    </w:p>
    <w:p w14:paraId="5C0E7EA3" w14:textId="77777777" w:rsidR="00ED30AA" w:rsidRPr="00F10434" w:rsidRDefault="00ED30AA" w:rsidP="00ED30AA">
      <w:pPr>
        <w:jc w:val="both"/>
        <w:rPr>
          <w:rFonts w:ascii="Book Antiqua" w:hAnsi="Book Antiqua"/>
          <w:szCs w:val="24"/>
          <w:lang w:val="es-ES"/>
        </w:rPr>
      </w:pPr>
    </w:p>
    <w:p w14:paraId="1C9FD3F1" w14:textId="77777777" w:rsidR="00F10434" w:rsidRDefault="00F10434" w:rsidP="00ED30AA">
      <w:pPr>
        <w:jc w:val="center"/>
        <w:rPr>
          <w:rFonts w:ascii="Book Antiqua" w:hAnsi="Book Antiqua"/>
          <w:b/>
          <w:bCs/>
          <w:szCs w:val="24"/>
          <w:lang w:val="es-ES"/>
        </w:rPr>
      </w:pPr>
    </w:p>
    <w:p w14:paraId="331D1F7D" w14:textId="41B37517" w:rsidR="00ED30AA" w:rsidRPr="00F10434" w:rsidRDefault="00ED30AA" w:rsidP="00ED30AA">
      <w:pPr>
        <w:jc w:val="center"/>
        <w:rPr>
          <w:rFonts w:ascii="Book Antiqua" w:hAnsi="Book Antiqua"/>
          <w:b/>
          <w:bCs/>
          <w:szCs w:val="24"/>
          <w:lang w:val="es-ES"/>
        </w:rPr>
      </w:pPr>
      <w:r w:rsidRPr="00F10434">
        <w:rPr>
          <w:rFonts w:ascii="Book Antiqua" w:hAnsi="Book Antiqua"/>
          <w:b/>
          <w:bCs/>
          <w:szCs w:val="24"/>
          <w:lang w:val="es-ES"/>
        </w:rPr>
        <w:t>CONCLUSIÓN</w:t>
      </w:r>
    </w:p>
    <w:p w14:paraId="424F53CE" w14:textId="77777777" w:rsidR="00ED30AA" w:rsidRPr="00F10434" w:rsidRDefault="00ED30AA" w:rsidP="00ED30AA">
      <w:pPr>
        <w:jc w:val="both"/>
        <w:rPr>
          <w:rFonts w:ascii="Book Antiqua" w:hAnsi="Book Antiqua"/>
          <w:szCs w:val="24"/>
          <w:lang w:val="es-ES"/>
        </w:rPr>
      </w:pPr>
    </w:p>
    <w:p w14:paraId="6674D3C8" w14:textId="24387F7F" w:rsidR="000C1758" w:rsidRPr="00EC5186" w:rsidRDefault="00230981" w:rsidP="00ED30AA">
      <w:pPr>
        <w:jc w:val="both"/>
        <w:rPr>
          <w:rFonts w:ascii="Book Antiqua" w:hAnsi="Book Antiqua"/>
          <w:szCs w:val="24"/>
          <w:lang w:val="es-PR"/>
        </w:rPr>
      </w:pPr>
      <w:r w:rsidRPr="00EC5186">
        <w:rPr>
          <w:rFonts w:ascii="Book Antiqua" w:hAnsi="Book Antiqua"/>
          <w:szCs w:val="24"/>
          <w:lang w:val="es-PR"/>
        </w:rPr>
        <w:t>Como bien explica la Exposición de Mo</w:t>
      </w:r>
      <w:r w:rsidR="00EC5186" w:rsidRPr="00EC5186">
        <w:rPr>
          <w:rFonts w:ascii="Book Antiqua" w:hAnsi="Book Antiqua"/>
          <w:szCs w:val="24"/>
          <w:lang w:val="es-PR"/>
        </w:rPr>
        <w:t>tivos, e</w:t>
      </w:r>
      <w:r w:rsidR="000C1758" w:rsidRPr="00EC5186">
        <w:rPr>
          <w:rFonts w:ascii="Book Antiqua" w:hAnsi="Book Antiqua"/>
          <w:szCs w:val="24"/>
          <w:lang w:val="es-PR"/>
        </w:rPr>
        <w:t>l uso indebido de certificados de nacimiento, matrimonio y defunción ha sido vinculado a delitos graves, incluyendo fraude de identidad, inmigración ilegal, narcotráfico, terrorismo y trata humana.</w:t>
      </w:r>
      <w:r w:rsidR="00EC5186" w:rsidRPr="00EC5186">
        <w:rPr>
          <w:rFonts w:ascii="Book Antiqua" w:hAnsi="Book Antiqua"/>
          <w:szCs w:val="24"/>
          <w:lang w:val="es-PR"/>
        </w:rPr>
        <w:t xml:space="preserve">  </w:t>
      </w:r>
      <w:r w:rsidR="00EC5186">
        <w:rPr>
          <w:rFonts w:ascii="Book Antiqua" w:hAnsi="Book Antiqua"/>
          <w:szCs w:val="24"/>
          <w:lang w:val="es-PR"/>
        </w:rPr>
        <w:t xml:space="preserve">Es preocupante </w:t>
      </w:r>
      <w:r w:rsidR="00EC5186" w:rsidRPr="00EC5186">
        <w:rPr>
          <w:rFonts w:ascii="Book Antiqua" w:hAnsi="Book Antiqua"/>
          <w:szCs w:val="24"/>
          <w:lang w:val="es-PR"/>
        </w:rPr>
        <w:t xml:space="preserve">que </w:t>
      </w:r>
      <w:r w:rsidR="000C1758" w:rsidRPr="00EC5186">
        <w:rPr>
          <w:rFonts w:ascii="Book Antiqua" w:hAnsi="Book Antiqua"/>
          <w:szCs w:val="24"/>
          <w:lang w:val="es-PR"/>
        </w:rPr>
        <w:t xml:space="preserve">estadísticas del Departamento de Estado de </w:t>
      </w:r>
      <w:proofErr w:type="gramStart"/>
      <w:r w:rsidR="000C1758" w:rsidRPr="00EC5186">
        <w:rPr>
          <w:rFonts w:ascii="Book Antiqua" w:hAnsi="Book Antiqua"/>
          <w:szCs w:val="24"/>
          <w:lang w:val="es-PR"/>
        </w:rPr>
        <w:t>EE.UU.</w:t>
      </w:r>
      <w:proofErr w:type="gramEnd"/>
      <w:r w:rsidR="000C1758" w:rsidRPr="00EC5186">
        <w:rPr>
          <w:rFonts w:ascii="Book Antiqua" w:hAnsi="Book Antiqua"/>
          <w:szCs w:val="24"/>
          <w:lang w:val="es-PR"/>
        </w:rPr>
        <w:t>, indican que aproximadamente un 40% de los fraudes con pasaportes están relacionados con el uso de certificados de nacimiento de ciudadanos puertorriqueños</w:t>
      </w:r>
      <w:r w:rsidR="00EC5186" w:rsidRPr="00EC5186">
        <w:rPr>
          <w:rFonts w:ascii="Book Antiqua" w:hAnsi="Book Antiqua"/>
          <w:szCs w:val="24"/>
          <w:lang w:val="es-PR"/>
        </w:rPr>
        <w:t xml:space="preserve"> y que l</w:t>
      </w:r>
      <w:r w:rsidR="000C1758" w:rsidRPr="00EC5186">
        <w:rPr>
          <w:rFonts w:ascii="Book Antiqua" w:hAnsi="Book Antiqua"/>
          <w:szCs w:val="24"/>
          <w:lang w:val="es-PR"/>
        </w:rPr>
        <w:t>a facilidad de obtener copias certificadas ha convertido a estos documentos en objetivos frecuentes de actividades delictivas.</w:t>
      </w:r>
    </w:p>
    <w:p w14:paraId="375321DF" w14:textId="77777777" w:rsidR="00EC5186" w:rsidRDefault="000C1758" w:rsidP="00ED30AA">
      <w:pPr>
        <w:jc w:val="both"/>
        <w:rPr>
          <w:rFonts w:ascii="Book Antiqua" w:hAnsi="Book Antiqua"/>
          <w:szCs w:val="24"/>
          <w:lang w:val="es-PR"/>
        </w:rPr>
      </w:pPr>
      <w:r w:rsidRPr="00230981">
        <w:rPr>
          <w:rFonts w:ascii="Book Antiqua" w:hAnsi="Book Antiqua"/>
          <w:szCs w:val="24"/>
          <w:highlight w:val="yellow"/>
          <w:lang w:val="es-PR"/>
        </w:rPr>
        <w:br/>
      </w:r>
      <w:r w:rsidRPr="00EC5186">
        <w:rPr>
          <w:rFonts w:ascii="Book Antiqua" w:hAnsi="Book Antiqua"/>
          <w:szCs w:val="24"/>
          <w:lang w:val="es-PR"/>
        </w:rPr>
        <w:t>El Departamento de Salud actúa como entidad cubierta bajo la Ley federal HIPAA, por lo cual tiene la obligación de proteger la confidencialidad de la información médica y personal de los ciudadanos.</w:t>
      </w:r>
      <w:r w:rsidR="00EC5186" w:rsidRPr="00EC5186">
        <w:rPr>
          <w:rFonts w:ascii="Book Antiqua" w:hAnsi="Book Antiqua"/>
          <w:szCs w:val="24"/>
          <w:lang w:val="es-PR"/>
        </w:rPr>
        <w:t xml:space="preserve">  La presente medida tiene el efecto de </w:t>
      </w:r>
      <w:r w:rsidRPr="00EC5186">
        <w:rPr>
          <w:rFonts w:ascii="Book Antiqua" w:hAnsi="Book Antiqua"/>
          <w:szCs w:val="24"/>
          <w:lang w:val="es-PR"/>
        </w:rPr>
        <w:t>alinea</w:t>
      </w:r>
      <w:r w:rsidR="00EC5186" w:rsidRPr="00EC5186">
        <w:rPr>
          <w:rFonts w:ascii="Book Antiqua" w:hAnsi="Book Antiqua"/>
          <w:szCs w:val="24"/>
          <w:lang w:val="es-PR"/>
        </w:rPr>
        <w:t>r</w:t>
      </w:r>
      <w:r w:rsidRPr="00EC5186">
        <w:rPr>
          <w:rFonts w:ascii="Book Antiqua" w:hAnsi="Book Antiqua"/>
          <w:szCs w:val="24"/>
          <w:lang w:val="es-PR"/>
        </w:rPr>
        <w:t xml:space="preserve"> los cambios propuestos con disposiciones federales como la HIPAA (</w:t>
      </w:r>
      <w:proofErr w:type="spellStart"/>
      <w:r w:rsidRPr="00EC5186">
        <w:rPr>
          <w:rFonts w:ascii="Book Antiqua" w:hAnsi="Book Antiqua"/>
          <w:szCs w:val="24"/>
          <w:lang w:val="es-PR"/>
        </w:rPr>
        <w:t>Health</w:t>
      </w:r>
      <w:proofErr w:type="spellEnd"/>
      <w:r w:rsidRPr="00EC5186">
        <w:rPr>
          <w:rFonts w:ascii="Book Antiqua" w:hAnsi="Book Antiqua"/>
          <w:szCs w:val="24"/>
          <w:lang w:val="es-PR"/>
        </w:rPr>
        <w:t xml:space="preserve"> </w:t>
      </w:r>
      <w:proofErr w:type="spellStart"/>
      <w:r w:rsidRPr="00EC5186">
        <w:rPr>
          <w:rFonts w:ascii="Book Antiqua" w:hAnsi="Book Antiqua"/>
          <w:szCs w:val="24"/>
          <w:lang w:val="es-PR"/>
        </w:rPr>
        <w:t>Insurance</w:t>
      </w:r>
      <w:proofErr w:type="spellEnd"/>
      <w:r w:rsidRPr="00EC5186">
        <w:rPr>
          <w:rFonts w:ascii="Book Antiqua" w:hAnsi="Book Antiqua"/>
          <w:szCs w:val="24"/>
          <w:lang w:val="es-PR"/>
        </w:rPr>
        <w:t xml:space="preserve"> </w:t>
      </w:r>
      <w:proofErr w:type="spellStart"/>
      <w:r w:rsidRPr="00EC5186">
        <w:rPr>
          <w:rFonts w:ascii="Book Antiqua" w:hAnsi="Book Antiqua"/>
          <w:szCs w:val="24"/>
          <w:lang w:val="es-PR"/>
        </w:rPr>
        <w:t>Portability</w:t>
      </w:r>
      <w:proofErr w:type="spellEnd"/>
      <w:r w:rsidRPr="00EC5186">
        <w:rPr>
          <w:rFonts w:ascii="Book Antiqua" w:hAnsi="Book Antiqua"/>
          <w:szCs w:val="24"/>
          <w:lang w:val="es-PR"/>
        </w:rPr>
        <w:t xml:space="preserve"> and </w:t>
      </w:r>
      <w:proofErr w:type="spellStart"/>
      <w:r w:rsidRPr="00EC5186">
        <w:rPr>
          <w:rFonts w:ascii="Book Antiqua" w:hAnsi="Book Antiqua"/>
          <w:szCs w:val="24"/>
          <w:lang w:val="es-PR"/>
        </w:rPr>
        <w:t>Accountability</w:t>
      </w:r>
      <w:proofErr w:type="spellEnd"/>
      <w:r w:rsidRPr="00EC5186">
        <w:rPr>
          <w:rFonts w:ascii="Book Antiqua" w:hAnsi="Book Antiqua"/>
          <w:szCs w:val="24"/>
          <w:lang w:val="es-PR"/>
        </w:rPr>
        <w:t xml:space="preserve"> </w:t>
      </w:r>
      <w:proofErr w:type="spellStart"/>
      <w:r w:rsidRPr="00EC5186">
        <w:rPr>
          <w:rFonts w:ascii="Book Antiqua" w:hAnsi="Book Antiqua"/>
          <w:szCs w:val="24"/>
          <w:lang w:val="es-PR"/>
        </w:rPr>
        <w:t>Act</w:t>
      </w:r>
      <w:proofErr w:type="spellEnd"/>
      <w:r w:rsidRPr="00EC5186">
        <w:rPr>
          <w:rFonts w:ascii="Book Antiqua" w:hAnsi="Book Antiqua"/>
          <w:szCs w:val="24"/>
          <w:lang w:val="es-PR"/>
        </w:rPr>
        <w:t>), que protege la información de salud durante 50 años tras la muerte de una persona.</w:t>
      </w:r>
    </w:p>
    <w:p w14:paraId="3D09DBD2" w14:textId="77777777" w:rsidR="000C1758" w:rsidRDefault="000C1758" w:rsidP="00ED30AA">
      <w:pPr>
        <w:jc w:val="both"/>
        <w:rPr>
          <w:rFonts w:ascii="Book Antiqua" w:hAnsi="Book Antiqua"/>
          <w:szCs w:val="24"/>
          <w:lang w:val="es-PR"/>
        </w:rPr>
      </w:pPr>
    </w:p>
    <w:p w14:paraId="5B0BFA9E" w14:textId="32F2ED44" w:rsidR="00BF2EF8" w:rsidRPr="000C1758" w:rsidRDefault="000C1758" w:rsidP="00ED30AA">
      <w:pPr>
        <w:jc w:val="both"/>
        <w:rPr>
          <w:rFonts w:ascii="Book Antiqua" w:hAnsi="Book Antiqua"/>
          <w:szCs w:val="24"/>
          <w:lang w:val="es-PR"/>
        </w:rPr>
      </w:pPr>
      <w:r w:rsidRPr="000C1758">
        <w:rPr>
          <w:rFonts w:ascii="Book Antiqua" w:hAnsi="Book Antiqua"/>
          <w:szCs w:val="24"/>
          <w:lang w:val="es-PR"/>
        </w:rPr>
        <w:lastRenderedPageBreak/>
        <w:t>La Comisión ha evaluado detenidamente el Proyecto del Senado 331 y concluye que</w:t>
      </w:r>
      <w:r>
        <w:rPr>
          <w:rFonts w:ascii="Book Antiqua" w:hAnsi="Book Antiqua"/>
          <w:szCs w:val="24"/>
          <w:lang w:val="es-PR"/>
        </w:rPr>
        <w:t xml:space="preserve"> la medida: f</w:t>
      </w:r>
      <w:r w:rsidRPr="000C1758">
        <w:rPr>
          <w:rFonts w:ascii="Book Antiqua" w:hAnsi="Book Antiqua"/>
          <w:szCs w:val="24"/>
          <w:lang w:val="es-PR"/>
        </w:rPr>
        <w:t>ortalece la protección de la identidad y la privacidad de la ciudadanía</w:t>
      </w:r>
      <w:r>
        <w:rPr>
          <w:rFonts w:ascii="Book Antiqua" w:hAnsi="Book Antiqua"/>
          <w:szCs w:val="24"/>
          <w:lang w:val="es-PR"/>
        </w:rPr>
        <w:t>;</w:t>
      </w:r>
      <w:r w:rsidRPr="000C1758">
        <w:rPr>
          <w:rFonts w:ascii="Book Antiqua" w:hAnsi="Book Antiqua"/>
          <w:szCs w:val="24"/>
          <w:lang w:val="es-PR"/>
        </w:rPr>
        <w:br/>
      </w:r>
      <w:r>
        <w:rPr>
          <w:rFonts w:ascii="Book Antiqua" w:hAnsi="Book Antiqua"/>
          <w:szCs w:val="24"/>
          <w:lang w:val="es-PR"/>
        </w:rPr>
        <w:t>r</w:t>
      </w:r>
      <w:r w:rsidRPr="000C1758">
        <w:rPr>
          <w:rFonts w:ascii="Book Antiqua" w:hAnsi="Book Antiqua"/>
          <w:szCs w:val="24"/>
          <w:lang w:val="es-PR"/>
        </w:rPr>
        <w:t>esponde a una necesidad apremiante de seguridad pública y prevención del fraude</w:t>
      </w:r>
      <w:r>
        <w:rPr>
          <w:rFonts w:ascii="Book Antiqua" w:hAnsi="Book Antiqua"/>
          <w:szCs w:val="24"/>
          <w:lang w:val="es-PR"/>
        </w:rPr>
        <w:t xml:space="preserve"> y e</w:t>
      </w:r>
      <w:r w:rsidRPr="000C1758">
        <w:rPr>
          <w:rFonts w:ascii="Book Antiqua" w:hAnsi="Book Antiqua"/>
          <w:szCs w:val="24"/>
          <w:lang w:val="es-PR"/>
        </w:rPr>
        <w:t>s consistente con normativas y buenas prácticas federales e internacionales.</w:t>
      </w:r>
    </w:p>
    <w:p w14:paraId="3E979CBC" w14:textId="77777777" w:rsidR="00BF2EF8" w:rsidRPr="00F10434" w:rsidRDefault="00BF2EF8" w:rsidP="00ED30AA">
      <w:pPr>
        <w:jc w:val="both"/>
        <w:rPr>
          <w:rFonts w:ascii="Book Antiqua" w:hAnsi="Book Antiqua"/>
          <w:b/>
          <w:bCs/>
          <w:szCs w:val="24"/>
          <w:lang w:val="es-ES"/>
        </w:rPr>
      </w:pPr>
    </w:p>
    <w:p w14:paraId="1DD07ED5" w14:textId="44FA9ED2" w:rsidR="00ED30AA" w:rsidRPr="00F10434" w:rsidRDefault="00ED30AA" w:rsidP="00D1046C">
      <w:pPr>
        <w:jc w:val="both"/>
        <w:rPr>
          <w:rFonts w:ascii="Book Antiqua" w:hAnsi="Book Antiqua"/>
          <w:szCs w:val="24"/>
          <w:lang w:val="es-ES"/>
        </w:rPr>
      </w:pPr>
      <w:r w:rsidRPr="00F10434">
        <w:rPr>
          <w:rFonts w:ascii="Book Antiqua" w:hAnsi="Book Antiqua"/>
          <w:b/>
          <w:bCs/>
          <w:szCs w:val="24"/>
          <w:lang w:val="es-ES"/>
        </w:rPr>
        <w:t>POR</w:t>
      </w:r>
      <w:r w:rsidRPr="00F10434">
        <w:rPr>
          <w:rFonts w:ascii="Book Antiqua" w:hAnsi="Book Antiqua"/>
          <w:szCs w:val="24"/>
          <w:lang w:val="es-ES"/>
        </w:rPr>
        <w:t xml:space="preserve"> </w:t>
      </w:r>
      <w:r w:rsidRPr="00F10434">
        <w:rPr>
          <w:rFonts w:ascii="Book Antiqua" w:hAnsi="Book Antiqua"/>
          <w:b/>
          <w:bCs/>
          <w:szCs w:val="24"/>
          <w:lang w:val="es-ES"/>
        </w:rPr>
        <w:t>LOS FUNDAMENTOS ANTES ESPUESTOS</w:t>
      </w:r>
      <w:r w:rsidRPr="00F10434">
        <w:rPr>
          <w:rFonts w:ascii="Book Antiqua" w:hAnsi="Book Antiqua"/>
          <w:szCs w:val="24"/>
          <w:lang w:val="es-ES"/>
        </w:rPr>
        <w:t xml:space="preserve">, luego del análisis y evaluación sobre los elementos de la pieza legislativa, la Comisión de Salud somete el presente Informe Positivo en el que recomiendan a este Augusto Cuerpo la aprobación del </w:t>
      </w:r>
      <w:r w:rsidRPr="00F10434">
        <w:rPr>
          <w:rFonts w:ascii="Book Antiqua" w:hAnsi="Book Antiqua"/>
          <w:b/>
          <w:bCs/>
          <w:szCs w:val="24"/>
          <w:lang w:val="es-ES"/>
        </w:rPr>
        <w:t>P. del S. 3</w:t>
      </w:r>
      <w:r w:rsidR="00BF2EF8">
        <w:rPr>
          <w:rFonts w:ascii="Book Antiqua" w:hAnsi="Book Antiqua"/>
          <w:b/>
          <w:bCs/>
          <w:szCs w:val="24"/>
          <w:lang w:val="es-ES"/>
        </w:rPr>
        <w:t>31</w:t>
      </w:r>
      <w:r w:rsidRPr="00F10434">
        <w:rPr>
          <w:rFonts w:ascii="Book Antiqua" w:hAnsi="Book Antiqua"/>
          <w:szCs w:val="24"/>
          <w:lang w:val="es-ES"/>
        </w:rPr>
        <w:t xml:space="preserve">, </w:t>
      </w:r>
      <w:r w:rsidR="0019757A" w:rsidRPr="0019757A">
        <w:rPr>
          <w:rFonts w:ascii="Book Antiqua" w:hAnsi="Book Antiqua"/>
          <w:szCs w:val="24"/>
          <w:lang w:val="es-ES"/>
        </w:rPr>
        <w:t xml:space="preserve">sin </w:t>
      </w:r>
      <w:r w:rsidRPr="0019757A">
        <w:rPr>
          <w:rFonts w:ascii="Book Antiqua" w:hAnsi="Book Antiqua"/>
          <w:szCs w:val="24"/>
          <w:lang w:val="es-ES"/>
        </w:rPr>
        <w:t>enmiendas</w:t>
      </w:r>
      <w:r w:rsidR="0019757A" w:rsidRPr="0019757A">
        <w:rPr>
          <w:rFonts w:ascii="Book Antiqua" w:hAnsi="Book Antiqua"/>
          <w:szCs w:val="24"/>
          <w:lang w:val="es-ES"/>
        </w:rPr>
        <w:t>.</w:t>
      </w:r>
    </w:p>
    <w:p w14:paraId="629E6DC5" w14:textId="77777777" w:rsidR="00ED30AA" w:rsidRPr="00F10434" w:rsidRDefault="00ED30AA" w:rsidP="00ED30AA">
      <w:pPr>
        <w:jc w:val="both"/>
        <w:rPr>
          <w:rFonts w:ascii="Book Antiqua" w:hAnsi="Book Antiqua"/>
          <w:szCs w:val="24"/>
          <w:lang w:val="es-ES"/>
        </w:rPr>
      </w:pPr>
    </w:p>
    <w:p w14:paraId="72E607D6" w14:textId="77777777" w:rsidR="00ED30AA" w:rsidRPr="00F10434" w:rsidRDefault="00ED30AA" w:rsidP="00ED30AA">
      <w:pPr>
        <w:jc w:val="both"/>
        <w:rPr>
          <w:rFonts w:ascii="Book Antiqua" w:hAnsi="Book Antiqua"/>
          <w:szCs w:val="24"/>
          <w:lang w:val="es-ES"/>
        </w:rPr>
      </w:pPr>
      <w:r w:rsidRPr="00F10434">
        <w:rPr>
          <w:rFonts w:ascii="Book Antiqua" w:hAnsi="Book Antiqua"/>
          <w:szCs w:val="24"/>
          <w:lang w:val="es-ES"/>
        </w:rPr>
        <w:t>Respetuosamente sometido,</w:t>
      </w:r>
    </w:p>
    <w:p w14:paraId="7DC7A4CF" w14:textId="77777777" w:rsidR="00ED30AA" w:rsidRPr="00F10434" w:rsidRDefault="00ED30AA" w:rsidP="00ED30AA">
      <w:pPr>
        <w:jc w:val="both"/>
        <w:rPr>
          <w:rFonts w:ascii="Book Antiqua" w:hAnsi="Book Antiqua"/>
          <w:szCs w:val="24"/>
          <w:lang w:val="es-ES"/>
        </w:rPr>
      </w:pPr>
    </w:p>
    <w:p w14:paraId="6F0A9401" w14:textId="77777777" w:rsidR="00ED30AA" w:rsidRPr="00F10434" w:rsidRDefault="00ED30AA" w:rsidP="00ED30AA">
      <w:pPr>
        <w:jc w:val="both"/>
        <w:rPr>
          <w:rFonts w:ascii="Book Antiqua" w:hAnsi="Book Antiqua"/>
          <w:szCs w:val="24"/>
          <w:lang w:val="es-ES"/>
        </w:rPr>
      </w:pPr>
    </w:p>
    <w:p w14:paraId="03DCDF7B" w14:textId="77777777" w:rsidR="00ED30AA" w:rsidRPr="00F10434" w:rsidRDefault="00ED30AA" w:rsidP="00ED30AA">
      <w:pPr>
        <w:jc w:val="both"/>
        <w:rPr>
          <w:rFonts w:ascii="Book Antiqua" w:hAnsi="Book Antiqua"/>
          <w:szCs w:val="24"/>
          <w:lang w:val="es-ES"/>
        </w:rPr>
      </w:pPr>
    </w:p>
    <w:p w14:paraId="4B762190" w14:textId="77777777" w:rsidR="00ED30AA" w:rsidRPr="00F10434" w:rsidRDefault="00ED30AA" w:rsidP="00ED30AA">
      <w:pPr>
        <w:jc w:val="both"/>
        <w:rPr>
          <w:rFonts w:ascii="Book Antiqua" w:hAnsi="Book Antiqua"/>
          <w:b/>
          <w:bCs/>
          <w:i/>
          <w:iCs/>
          <w:szCs w:val="24"/>
          <w:lang w:val="es-ES"/>
        </w:rPr>
      </w:pPr>
      <w:proofErr w:type="spellStart"/>
      <w:r w:rsidRPr="00F10434">
        <w:rPr>
          <w:rFonts w:ascii="Book Antiqua" w:hAnsi="Book Antiqua"/>
          <w:b/>
          <w:bCs/>
          <w:i/>
          <w:iCs/>
          <w:szCs w:val="24"/>
          <w:lang w:val="es-ES"/>
        </w:rPr>
        <w:t>Hon</w:t>
      </w:r>
      <w:proofErr w:type="spellEnd"/>
      <w:r w:rsidRPr="00F10434">
        <w:rPr>
          <w:rFonts w:ascii="Book Antiqua" w:hAnsi="Book Antiqua"/>
          <w:b/>
          <w:bCs/>
          <w:i/>
          <w:iCs/>
          <w:szCs w:val="24"/>
          <w:lang w:val="es-ES"/>
        </w:rPr>
        <w:t>. Gabriel Rodríguez Aguiló</w:t>
      </w:r>
      <w:r w:rsidRPr="00F10434">
        <w:rPr>
          <w:rFonts w:ascii="Book Antiqua" w:hAnsi="Book Antiqua"/>
          <w:b/>
          <w:bCs/>
          <w:i/>
          <w:iCs/>
          <w:szCs w:val="24"/>
          <w:lang w:val="es-ES"/>
        </w:rPr>
        <w:tab/>
      </w:r>
      <w:r w:rsidRPr="00F10434">
        <w:rPr>
          <w:rFonts w:ascii="Book Antiqua" w:hAnsi="Book Antiqua"/>
          <w:b/>
          <w:bCs/>
          <w:i/>
          <w:iCs/>
          <w:szCs w:val="24"/>
          <w:lang w:val="es-ES"/>
        </w:rPr>
        <w:tab/>
        <w:t xml:space="preserve"> </w:t>
      </w:r>
    </w:p>
    <w:p w14:paraId="0DF26DC7" w14:textId="77777777" w:rsidR="00ED30AA" w:rsidRPr="00F10434" w:rsidRDefault="00ED30AA" w:rsidP="00ED30AA">
      <w:pPr>
        <w:jc w:val="both"/>
        <w:rPr>
          <w:rFonts w:ascii="Book Antiqua" w:hAnsi="Book Antiqua"/>
          <w:szCs w:val="24"/>
          <w:lang w:val="es-ES"/>
        </w:rPr>
      </w:pPr>
      <w:r w:rsidRPr="00F10434">
        <w:rPr>
          <w:rFonts w:ascii="Book Antiqua" w:hAnsi="Book Antiqua"/>
          <w:szCs w:val="24"/>
          <w:lang w:val="es-ES"/>
        </w:rPr>
        <w:t>Presidente</w:t>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p>
    <w:p w14:paraId="286A2451" w14:textId="77777777" w:rsidR="00ED30AA" w:rsidRPr="00F10434" w:rsidRDefault="00ED30AA" w:rsidP="00ED30AA">
      <w:pPr>
        <w:jc w:val="both"/>
        <w:rPr>
          <w:rFonts w:ascii="Book Antiqua" w:hAnsi="Book Antiqua"/>
          <w:szCs w:val="24"/>
          <w:lang w:val="es-ES"/>
        </w:rPr>
      </w:pPr>
      <w:r w:rsidRPr="00F10434">
        <w:rPr>
          <w:rFonts w:ascii="Book Antiqua" w:hAnsi="Book Antiqua"/>
          <w:szCs w:val="24"/>
          <w:lang w:val="es-ES"/>
        </w:rPr>
        <w:t>Comisión de Salud</w:t>
      </w:r>
    </w:p>
    <w:p w14:paraId="2547179B" w14:textId="77777777" w:rsidR="003B01A3" w:rsidRPr="00F10434" w:rsidRDefault="003B01A3" w:rsidP="00D2409B">
      <w:pPr>
        <w:spacing w:line="276" w:lineRule="auto"/>
        <w:jc w:val="both"/>
        <w:rPr>
          <w:rFonts w:ascii="Book Antiqua" w:hAnsi="Book Antiqua"/>
          <w:szCs w:val="24"/>
          <w:highlight w:val="yellow"/>
          <w:lang w:val="es-ES"/>
        </w:rPr>
      </w:pPr>
    </w:p>
    <w:p w14:paraId="4CAE1CF5" w14:textId="77777777" w:rsidR="003B01A3" w:rsidRPr="00F10434" w:rsidRDefault="003B01A3" w:rsidP="00D2409B">
      <w:pPr>
        <w:spacing w:line="276" w:lineRule="auto"/>
        <w:ind w:firstLine="720"/>
        <w:jc w:val="both"/>
        <w:rPr>
          <w:rFonts w:ascii="Book Antiqua" w:hAnsi="Book Antiqua"/>
          <w:szCs w:val="24"/>
          <w:highlight w:val="yellow"/>
          <w:lang w:val="es-ES"/>
        </w:rPr>
      </w:pPr>
    </w:p>
    <w:p w14:paraId="79B52A3C" w14:textId="77777777" w:rsidR="003B01A3" w:rsidRPr="00F10434" w:rsidRDefault="003B01A3" w:rsidP="00D2409B">
      <w:pPr>
        <w:spacing w:line="276" w:lineRule="auto"/>
        <w:ind w:firstLine="720"/>
        <w:jc w:val="both"/>
        <w:rPr>
          <w:rFonts w:ascii="Book Antiqua" w:hAnsi="Book Antiqua"/>
          <w:szCs w:val="24"/>
          <w:highlight w:val="yellow"/>
          <w:lang w:val="es-ES"/>
        </w:rPr>
      </w:pPr>
    </w:p>
    <w:p w14:paraId="4C26B282" w14:textId="77777777" w:rsidR="003B01A3" w:rsidRPr="00F10434" w:rsidRDefault="003B01A3" w:rsidP="00D2409B">
      <w:pPr>
        <w:spacing w:line="276" w:lineRule="auto"/>
        <w:ind w:firstLine="720"/>
        <w:jc w:val="both"/>
        <w:rPr>
          <w:rFonts w:ascii="Book Antiqua" w:hAnsi="Book Antiqua"/>
          <w:szCs w:val="24"/>
          <w:highlight w:val="yellow"/>
          <w:lang w:val="es-ES"/>
        </w:rPr>
      </w:pPr>
    </w:p>
    <w:sectPr w:rsidR="003B01A3" w:rsidRPr="00F10434"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311FD" w14:textId="77777777" w:rsidR="007A6992" w:rsidRDefault="007A6992">
      <w:r>
        <w:separator/>
      </w:r>
    </w:p>
  </w:endnote>
  <w:endnote w:type="continuationSeparator" w:id="0">
    <w:p w14:paraId="1F666D4D" w14:textId="77777777" w:rsidR="007A6992" w:rsidRDefault="007A6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77777777" w:rsidR="005718E8" w:rsidRDefault="005718E8">
    <w:pPr>
      <w:pStyle w:val="Footer"/>
      <w:jc w:val="center"/>
    </w:pPr>
    <w:r>
      <w:fldChar w:fldCharType="begin"/>
    </w:r>
    <w:r>
      <w:instrText xml:space="preserve"> PAGE   \* MERGEFORMAT </w:instrText>
    </w:r>
    <w:r>
      <w:fldChar w:fldCharType="separate"/>
    </w:r>
    <w:r w:rsidR="00610112">
      <w:rPr>
        <w:noProof/>
      </w:rPr>
      <w:t>10</w:t>
    </w:r>
    <w:r>
      <w:rPr>
        <w:noProof/>
      </w:rPr>
      <w:fldChar w:fldCharType="end"/>
    </w: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FCD08" w14:textId="77777777" w:rsidR="007A6992" w:rsidRDefault="007A6992">
      <w:r>
        <w:separator/>
      </w:r>
    </w:p>
  </w:footnote>
  <w:footnote w:type="continuationSeparator" w:id="0">
    <w:p w14:paraId="2619EC98" w14:textId="77777777" w:rsidR="007A6992" w:rsidRDefault="007A6992">
      <w:r>
        <w:continuationSeparator/>
      </w:r>
    </w:p>
  </w:footnote>
  <w:footnote w:id="1">
    <w:p w14:paraId="2D050508" w14:textId="77777777" w:rsidR="00BF2EF8" w:rsidRPr="00E236E1" w:rsidRDefault="00BF2EF8" w:rsidP="00BF2EF8">
      <w:pPr>
        <w:jc w:val="both"/>
        <w:rPr>
          <w:rFonts w:ascii="Book Antiqua" w:hAnsi="Book Antiqua"/>
          <w:sz w:val="16"/>
          <w:szCs w:val="16"/>
          <w:lang w:val="es-PR"/>
        </w:rPr>
      </w:pPr>
      <w:r>
        <w:rPr>
          <w:rStyle w:val="FootnoteReference"/>
          <w:rFonts w:ascii="Book Antiqua" w:hAnsi="Book Antiqua"/>
          <w:sz w:val="16"/>
          <w:szCs w:val="16"/>
        </w:rPr>
        <w:footnoteRef/>
      </w:r>
      <w:r>
        <w:rPr>
          <w:rFonts w:ascii="Book Antiqua" w:hAnsi="Book Antiqua"/>
          <w:sz w:val="16"/>
          <w:szCs w:val="16"/>
          <w:lang w:val="es-PR"/>
        </w:rPr>
        <w:t xml:space="preserve"> </w:t>
      </w:r>
      <w:r w:rsidRPr="00E236E1">
        <w:rPr>
          <w:rFonts w:ascii="Book Antiqua" w:hAnsi="Book Antiqua"/>
          <w:sz w:val="16"/>
          <w:szCs w:val="16"/>
          <w:lang w:val="es-PR"/>
        </w:rPr>
        <w:t xml:space="preserve">Centro de Periodismo Investigativo v. Wanda Llovet en su capacidad de directora del Registro Demográfico de Puerto Rico, Civil Núm. SJ2018CV00561, consolidado con </w:t>
      </w:r>
      <w:r w:rsidRPr="00097937">
        <w:rPr>
          <w:rFonts w:ascii="Book Antiqua" w:hAnsi="Book Antiqua"/>
          <w:i/>
          <w:iCs/>
          <w:sz w:val="16"/>
          <w:szCs w:val="16"/>
          <w:lang w:val="es-PR"/>
        </w:rPr>
        <w:t>The Cable News Network, Inc</w:t>
      </w:r>
      <w:r w:rsidRPr="00E236E1">
        <w:rPr>
          <w:rFonts w:ascii="Book Antiqua" w:hAnsi="Book Antiqua"/>
          <w:sz w:val="16"/>
          <w:szCs w:val="16"/>
          <w:lang w:val="es-PR"/>
        </w:rPr>
        <w:t>. v. Wanda Llovet en su capacidad de directora del Registro Demográfico de Puerto Rico, Civil Núm. SJ2018CV00843, Sentencia del 4 de junio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309FFD25" w14:textId="77777777" w:rsidR="000F4023"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w:t>
    </w:r>
  </w:p>
  <w:p w14:paraId="418D21AC" w14:textId="3412C65A"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l S</w:t>
    </w:r>
    <w:r w:rsidRPr="00AA356F">
      <w:rPr>
        <w:rFonts w:ascii="Book Antiqua" w:hAnsi="Book Antiqua"/>
        <w:b/>
        <w:sz w:val="20"/>
        <w:lang w:val="es-PR"/>
      </w:rPr>
      <w:t xml:space="preserve">. </w:t>
    </w:r>
    <w:r>
      <w:rPr>
        <w:rFonts w:ascii="Book Antiqua" w:hAnsi="Book Antiqua"/>
        <w:b/>
        <w:sz w:val="20"/>
        <w:lang w:val="es-PR"/>
      </w:rPr>
      <w:t>3</w:t>
    </w:r>
    <w:r w:rsidR="00BF2EF8">
      <w:rPr>
        <w:rFonts w:ascii="Book Antiqua" w:hAnsi="Book Antiqua"/>
        <w:b/>
        <w:sz w:val="20"/>
        <w:lang w:val="es-PR"/>
      </w:rPr>
      <w:t>31</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2"/>
  </w:num>
  <w:num w:numId="2" w16cid:durableId="996879017">
    <w:abstractNumId w:val="13"/>
  </w:num>
  <w:num w:numId="3" w16cid:durableId="1363820785">
    <w:abstractNumId w:val="8"/>
  </w:num>
  <w:num w:numId="4" w16cid:durableId="303313110">
    <w:abstractNumId w:val="2"/>
  </w:num>
  <w:num w:numId="5" w16cid:durableId="874389364">
    <w:abstractNumId w:val="18"/>
  </w:num>
  <w:num w:numId="6" w16cid:durableId="1358460559">
    <w:abstractNumId w:val="6"/>
  </w:num>
  <w:num w:numId="7" w16cid:durableId="198127431">
    <w:abstractNumId w:val="9"/>
  </w:num>
  <w:num w:numId="8" w16cid:durableId="1751612478">
    <w:abstractNumId w:val="16"/>
  </w:num>
  <w:num w:numId="9" w16cid:durableId="392125813">
    <w:abstractNumId w:val="3"/>
  </w:num>
  <w:num w:numId="10" w16cid:durableId="688794570">
    <w:abstractNumId w:val="17"/>
  </w:num>
  <w:num w:numId="11" w16cid:durableId="591013037">
    <w:abstractNumId w:val="1"/>
  </w:num>
  <w:num w:numId="12" w16cid:durableId="40909517">
    <w:abstractNumId w:val="15"/>
  </w:num>
  <w:num w:numId="13" w16cid:durableId="138772109">
    <w:abstractNumId w:val="10"/>
  </w:num>
  <w:num w:numId="14" w16cid:durableId="2006399549">
    <w:abstractNumId w:val="19"/>
  </w:num>
  <w:num w:numId="15" w16cid:durableId="1322201008">
    <w:abstractNumId w:val="5"/>
  </w:num>
  <w:num w:numId="16" w16cid:durableId="499083648">
    <w:abstractNumId w:val="4"/>
  </w:num>
  <w:num w:numId="17" w16cid:durableId="838958967">
    <w:abstractNumId w:val="11"/>
  </w:num>
  <w:num w:numId="18" w16cid:durableId="210961959">
    <w:abstractNumId w:val="7"/>
  </w:num>
  <w:num w:numId="19" w16cid:durableId="2050110963">
    <w:abstractNumId w:val="14"/>
  </w:num>
  <w:num w:numId="20" w16cid:durableId="1232740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3731B"/>
    <w:rsid w:val="000453BE"/>
    <w:rsid w:val="00050C79"/>
    <w:rsid w:val="00063100"/>
    <w:rsid w:val="00065570"/>
    <w:rsid w:val="00066E3A"/>
    <w:rsid w:val="000746D5"/>
    <w:rsid w:val="00077A90"/>
    <w:rsid w:val="00082612"/>
    <w:rsid w:val="000867B6"/>
    <w:rsid w:val="000A4FAB"/>
    <w:rsid w:val="000A671F"/>
    <w:rsid w:val="000C02DB"/>
    <w:rsid w:val="000C1758"/>
    <w:rsid w:val="000C1C3D"/>
    <w:rsid w:val="000C4470"/>
    <w:rsid w:val="000C4965"/>
    <w:rsid w:val="000D59B8"/>
    <w:rsid w:val="000F4023"/>
    <w:rsid w:val="001036CE"/>
    <w:rsid w:val="00104C64"/>
    <w:rsid w:val="0010744E"/>
    <w:rsid w:val="0011496A"/>
    <w:rsid w:val="001223AA"/>
    <w:rsid w:val="00124C9C"/>
    <w:rsid w:val="00147BF2"/>
    <w:rsid w:val="00150C55"/>
    <w:rsid w:val="001519C1"/>
    <w:rsid w:val="00157D83"/>
    <w:rsid w:val="001676B6"/>
    <w:rsid w:val="00185E95"/>
    <w:rsid w:val="00190D17"/>
    <w:rsid w:val="0019757A"/>
    <w:rsid w:val="001977A4"/>
    <w:rsid w:val="001A0B88"/>
    <w:rsid w:val="001A4C2B"/>
    <w:rsid w:val="001B0938"/>
    <w:rsid w:val="001B0FF8"/>
    <w:rsid w:val="001D7A7B"/>
    <w:rsid w:val="001E0043"/>
    <w:rsid w:val="001E2EE8"/>
    <w:rsid w:val="001F6DD7"/>
    <w:rsid w:val="002057D6"/>
    <w:rsid w:val="00230981"/>
    <w:rsid w:val="002375CB"/>
    <w:rsid w:val="00251EAD"/>
    <w:rsid w:val="002548B8"/>
    <w:rsid w:val="002618D7"/>
    <w:rsid w:val="0026457A"/>
    <w:rsid w:val="00267B5B"/>
    <w:rsid w:val="0027727B"/>
    <w:rsid w:val="0028282F"/>
    <w:rsid w:val="00290180"/>
    <w:rsid w:val="0029568E"/>
    <w:rsid w:val="0029599C"/>
    <w:rsid w:val="002A0C2B"/>
    <w:rsid w:val="002B4DBD"/>
    <w:rsid w:val="002D006E"/>
    <w:rsid w:val="002D0DC0"/>
    <w:rsid w:val="002D1053"/>
    <w:rsid w:val="002D12F9"/>
    <w:rsid w:val="002D7B0E"/>
    <w:rsid w:val="002F1E64"/>
    <w:rsid w:val="002F4C29"/>
    <w:rsid w:val="003007B4"/>
    <w:rsid w:val="0030733A"/>
    <w:rsid w:val="00325C6C"/>
    <w:rsid w:val="0033091C"/>
    <w:rsid w:val="00330C1C"/>
    <w:rsid w:val="0033517D"/>
    <w:rsid w:val="00337195"/>
    <w:rsid w:val="00342195"/>
    <w:rsid w:val="0034592F"/>
    <w:rsid w:val="00346032"/>
    <w:rsid w:val="00346595"/>
    <w:rsid w:val="003648B8"/>
    <w:rsid w:val="00366580"/>
    <w:rsid w:val="00376315"/>
    <w:rsid w:val="00392175"/>
    <w:rsid w:val="00393121"/>
    <w:rsid w:val="003A4410"/>
    <w:rsid w:val="003B01A3"/>
    <w:rsid w:val="003B16BF"/>
    <w:rsid w:val="003C1E4B"/>
    <w:rsid w:val="003D01D6"/>
    <w:rsid w:val="003D0913"/>
    <w:rsid w:val="003D7760"/>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433B"/>
    <w:rsid w:val="00441885"/>
    <w:rsid w:val="00441FB6"/>
    <w:rsid w:val="004424B4"/>
    <w:rsid w:val="00442993"/>
    <w:rsid w:val="00465534"/>
    <w:rsid w:val="004770CF"/>
    <w:rsid w:val="00477B35"/>
    <w:rsid w:val="0048779C"/>
    <w:rsid w:val="00491727"/>
    <w:rsid w:val="00491C0F"/>
    <w:rsid w:val="004941AC"/>
    <w:rsid w:val="004B2368"/>
    <w:rsid w:val="004D1649"/>
    <w:rsid w:val="004F629E"/>
    <w:rsid w:val="005027AD"/>
    <w:rsid w:val="00502E18"/>
    <w:rsid w:val="00516A65"/>
    <w:rsid w:val="0052399A"/>
    <w:rsid w:val="00532C72"/>
    <w:rsid w:val="00540A2B"/>
    <w:rsid w:val="005414EF"/>
    <w:rsid w:val="00551362"/>
    <w:rsid w:val="00555018"/>
    <w:rsid w:val="00561187"/>
    <w:rsid w:val="00562EFE"/>
    <w:rsid w:val="005718E8"/>
    <w:rsid w:val="00581921"/>
    <w:rsid w:val="00597E80"/>
    <w:rsid w:val="005A749E"/>
    <w:rsid w:val="005B6660"/>
    <w:rsid w:val="005C1E02"/>
    <w:rsid w:val="005D3D5C"/>
    <w:rsid w:val="005E2D25"/>
    <w:rsid w:val="005F67C5"/>
    <w:rsid w:val="00603D56"/>
    <w:rsid w:val="006045E0"/>
    <w:rsid w:val="00604E08"/>
    <w:rsid w:val="00610112"/>
    <w:rsid w:val="00627FF4"/>
    <w:rsid w:val="00634C00"/>
    <w:rsid w:val="0064060E"/>
    <w:rsid w:val="00646C64"/>
    <w:rsid w:val="0065169F"/>
    <w:rsid w:val="00653DA6"/>
    <w:rsid w:val="00660DEA"/>
    <w:rsid w:val="00670B29"/>
    <w:rsid w:val="00671884"/>
    <w:rsid w:val="00683D71"/>
    <w:rsid w:val="00686237"/>
    <w:rsid w:val="00690E19"/>
    <w:rsid w:val="0069371B"/>
    <w:rsid w:val="006A098B"/>
    <w:rsid w:val="006A3010"/>
    <w:rsid w:val="006A3B82"/>
    <w:rsid w:val="006C3E0A"/>
    <w:rsid w:val="006D6421"/>
    <w:rsid w:val="006D7EDB"/>
    <w:rsid w:val="006E14B4"/>
    <w:rsid w:val="006E4D94"/>
    <w:rsid w:val="006F173C"/>
    <w:rsid w:val="00703972"/>
    <w:rsid w:val="00707CB9"/>
    <w:rsid w:val="00711370"/>
    <w:rsid w:val="00725EBC"/>
    <w:rsid w:val="00730DB1"/>
    <w:rsid w:val="00731286"/>
    <w:rsid w:val="0074531D"/>
    <w:rsid w:val="007453CD"/>
    <w:rsid w:val="00750189"/>
    <w:rsid w:val="00752D3C"/>
    <w:rsid w:val="00753A00"/>
    <w:rsid w:val="00755CBC"/>
    <w:rsid w:val="007677D7"/>
    <w:rsid w:val="007721AD"/>
    <w:rsid w:val="007778EA"/>
    <w:rsid w:val="00795520"/>
    <w:rsid w:val="0079639C"/>
    <w:rsid w:val="007A6992"/>
    <w:rsid w:val="007A6B76"/>
    <w:rsid w:val="007F0F99"/>
    <w:rsid w:val="007F4155"/>
    <w:rsid w:val="008059B1"/>
    <w:rsid w:val="0080637C"/>
    <w:rsid w:val="00824F94"/>
    <w:rsid w:val="0082542F"/>
    <w:rsid w:val="008371ED"/>
    <w:rsid w:val="00847610"/>
    <w:rsid w:val="008517CF"/>
    <w:rsid w:val="008663F2"/>
    <w:rsid w:val="00867577"/>
    <w:rsid w:val="00872C3D"/>
    <w:rsid w:val="008731C3"/>
    <w:rsid w:val="00875D0B"/>
    <w:rsid w:val="0087699D"/>
    <w:rsid w:val="00877813"/>
    <w:rsid w:val="0088333D"/>
    <w:rsid w:val="00884074"/>
    <w:rsid w:val="008849AB"/>
    <w:rsid w:val="00892942"/>
    <w:rsid w:val="00893989"/>
    <w:rsid w:val="008A2A15"/>
    <w:rsid w:val="008A37EC"/>
    <w:rsid w:val="008A70C8"/>
    <w:rsid w:val="008B01AC"/>
    <w:rsid w:val="008B79A1"/>
    <w:rsid w:val="008D1BAF"/>
    <w:rsid w:val="008E11CC"/>
    <w:rsid w:val="008E29CD"/>
    <w:rsid w:val="008F2C4E"/>
    <w:rsid w:val="008F3069"/>
    <w:rsid w:val="008F3DDD"/>
    <w:rsid w:val="008F4E1D"/>
    <w:rsid w:val="008F71D8"/>
    <w:rsid w:val="00907B34"/>
    <w:rsid w:val="00917FF1"/>
    <w:rsid w:val="00925C0B"/>
    <w:rsid w:val="00926C56"/>
    <w:rsid w:val="009647F8"/>
    <w:rsid w:val="00973CE5"/>
    <w:rsid w:val="00986798"/>
    <w:rsid w:val="00986EE7"/>
    <w:rsid w:val="00993159"/>
    <w:rsid w:val="00993A4A"/>
    <w:rsid w:val="009966A7"/>
    <w:rsid w:val="009A17EB"/>
    <w:rsid w:val="009A40BF"/>
    <w:rsid w:val="009B3FB4"/>
    <w:rsid w:val="009C0408"/>
    <w:rsid w:val="009C7CFB"/>
    <w:rsid w:val="009D6FD8"/>
    <w:rsid w:val="009E14F4"/>
    <w:rsid w:val="009E3D79"/>
    <w:rsid w:val="009F1EE7"/>
    <w:rsid w:val="009F3AEE"/>
    <w:rsid w:val="00A23DD3"/>
    <w:rsid w:val="00A27969"/>
    <w:rsid w:val="00A27F80"/>
    <w:rsid w:val="00A426A2"/>
    <w:rsid w:val="00A43947"/>
    <w:rsid w:val="00A47CF0"/>
    <w:rsid w:val="00A602F4"/>
    <w:rsid w:val="00A77674"/>
    <w:rsid w:val="00A82809"/>
    <w:rsid w:val="00A86164"/>
    <w:rsid w:val="00A96E04"/>
    <w:rsid w:val="00AA5521"/>
    <w:rsid w:val="00AA7044"/>
    <w:rsid w:val="00AA752E"/>
    <w:rsid w:val="00AB6058"/>
    <w:rsid w:val="00AD009F"/>
    <w:rsid w:val="00AD2D77"/>
    <w:rsid w:val="00AE50F2"/>
    <w:rsid w:val="00AF2B6E"/>
    <w:rsid w:val="00B0028A"/>
    <w:rsid w:val="00B15FE6"/>
    <w:rsid w:val="00B1720E"/>
    <w:rsid w:val="00B2443A"/>
    <w:rsid w:val="00B24750"/>
    <w:rsid w:val="00B31342"/>
    <w:rsid w:val="00B44A73"/>
    <w:rsid w:val="00B45C79"/>
    <w:rsid w:val="00B55416"/>
    <w:rsid w:val="00B7319D"/>
    <w:rsid w:val="00B80F89"/>
    <w:rsid w:val="00B82A58"/>
    <w:rsid w:val="00B841C6"/>
    <w:rsid w:val="00BA5706"/>
    <w:rsid w:val="00BA6610"/>
    <w:rsid w:val="00BF25CF"/>
    <w:rsid w:val="00BF2EF8"/>
    <w:rsid w:val="00C0637B"/>
    <w:rsid w:val="00C11220"/>
    <w:rsid w:val="00C14A21"/>
    <w:rsid w:val="00C1596C"/>
    <w:rsid w:val="00C20C6A"/>
    <w:rsid w:val="00C22967"/>
    <w:rsid w:val="00C2296F"/>
    <w:rsid w:val="00C23741"/>
    <w:rsid w:val="00C25C7B"/>
    <w:rsid w:val="00C2602B"/>
    <w:rsid w:val="00C32414"/>
    <w:rsid w:val="00C55D90"/>
    <w:rsid w:val="00C80616"/>
    <w:rsid w:val="00C81F4D"/>
    <w:rsid w:val="00C875C4"/>
    <w:rsid w:val="00C917EB"/>
    <w:rsid w:val="00CA4006"/>
    <w:rsid w:val="00CA779D"/>
    <w:rsid w:val="00CB4105"/>
    <w:rsid w:val="00CB4CB9"/>
    <w:rsid w:val="00CB7175"/>
    <w:rsid w:val="00CC088C"/>
    <w:rsid w:val="00CC17D5"/>
    <w:rsid w:val="00CC37EC"/>
    <w:rsid w:val="00CD0F3E"/>
    <w:rsid w:val="00CD795E"/>
    <w:rsid w:val="00CE14E0"/>
    <w:rsid w:val="00CE154C"/>
    <w:rsid w:val="00CE6503"/>
    <w:rsid w:val="00CF05E6"/>
    <w:rsid w:val="00CF25AC"/>
    <w:rsid w:val="00CF2D32"/>
    <w:rsid w:val="00D0144B"/>
    <w:rsid w:val="00D1046C"/>
    <w:rsid w:val="00D11130"/>
    <w:rsid w:val="00D12FA5"/>
    <w:rsid w:val="00D14654"/>
    <w:rsid w:val="00D2409B"/>
    <w:rsid w:val="00D2448F"/>
    <w:rsid w:val="00D3090A"/>
    <w:rsid w:val="00D431D0"/>
    <w:rsid w:val="00D4768B"/>
    <w:rsid w:val="00D60B52"/>
    <w:rsid w:val="00D60DF7"/>
    <w:rsid w:val="00D63DFA"/>
    <w:rsid w:val="00D97A55"/>
    <w:rsid w:val="00DA78FC"/>
    <w:rsid w:val="00DB568B"/>
    <w:rsid w:val="00DB60D3"/>
    <w:rsid w:val="00DB7B0A"/>
    <w:rsid w:val="00DC070F"/>
    <w:rsid w:val="00DC5471"/>
    <w:rsid w:val="00DD0559"/>
    <w:rsid w:val="00DD7780"/>
    <w:rsid w:val="00DE29FB"/>
    <w:rsid w:val="00DE3EC3"/>
    <w:rsid w:val="00DE549B"/>
    <w:rsid w:val="00DE64B2"/>
    <w:rsid w:val="00DF51E5"/>
    <w:rsid w:val="00DF623B"/>
    <w:rsid w:val="00E00281"/>
    <w:rsid w:val="00E0639A"/>
    <w:rsid w:val="00E20080"/>
    <w:rsid w:val="00E25B40"/>
    <w:rsid w:val="00E37C60"/>
    <w:rsid w:val="00E442B2"/>
    <w:rsid w:val="00E47932"/>
    <w:rsid w:val="00E51678"/>
    <w:rsid w:val="00E66D0E"/>
    <w:rsid w:val="00E673D2"/>
    <w:rsid w:val="00E72ADB"/>
    <w:rsid w:val="00E85143"/>
    <w:rsid w:val="00E875B5"/>
    <w:rsid w:val="00E919F3"/>
    <w:rsid w:val="00E94489"/>
    <w:rsid w:val="00EA0336"/>
    <w:rsid w:val="00EA3F62"/>
    <w:rsid w:val="00EA42E1"/>
    <w:rsid w:val="00EA48E7"/>
    <w:rsid w:val="00EB26D6"/>
    <w:rsid w:val="00EC5186"/>
    <w:rsid w:val="00ED30AA"/>
    <w:rsid w:val="00ED38AE"/>
    <w:rsid w:val="00EE2267"/>
    <w:rsid w:val="00EE55F8"/>
    <w:rsid w:val="00EE669C"/>
    <w:rsid w:val="00EE7946"/>
    <w:rsid w:val="00EF11D6"/>
    <w:rsid w:val="00EF4598"/>
    <w:rsid w:val="00EF4941"/>
    <w:rsid w:val="00F10434"/>
    <w:rsid w:val="00F235EC"/>
    <w:rsid w:val="00F367B5"/>
    <w:rsid w:val="00F4364D"/>
    <w:rsid w:val="00F6086C"/>
    <w:rsid w:val="00F85731"/>
    <w:rsid w:val="00F937D1"/>
    <w:rsid w:val="00FB5B25"/>
    <w:rsid w:val="00FC6F2F"/>
    <w:rsid w:val="00FD13FD"/>
    <w:rsid w:val="00FD1A3E"/>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styleId="FootnoteReference">
    <w:name w:val="footnote reference"/>
    <w:uiPriority w:val="99"/>
    <w:semiHidden/>
    <w:unhideWhenUsed/>
    <w:rsid w:val="00BF2E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2.xml><?xml version="1.0" encoding="utf-8"?>
<ds:datastoreItem xmlns:ds="http://schemas.openxmlformats.org/officeDocument/2006/customXml" ds:itemID="{10B12C5E-EFFC-4B9D-B08F-78E3CFC8A79F}">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E9DA15-E3E9-476E-A26C-61B465D5EDB3}">
  <ds:schemaRefs>
    <ds:schemaRef ds:uri="http://schemas.microsoft.com/sharepoint/events"/>
    <ds:schemaRef ds:uri="http://www.w3.org/2000/xmlns/"/>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6.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1930</Words>
  <Characters>11006</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2025-06-25T00:30:00Z</cp:lastPrinted>
  <dcterms:created xsi:type="dcterms:W3CDTF">2025-06-25T19:11:00Z</dcterms:created>
  <dcterms:modified xsi:type="dcterms:W3CDTF">2025-06-25T19:11:00Z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