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76DF7A2A"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ED1BAF">
        <w:rPr>
          <w:rFonts w:ascii="Book Antiqua" w:eastAsia="Book Antiqua" w:hAnsi="Book Antiqua" w:cs="Book Antiqua"/>
          <w:b/>
          <w:sz w:val="52"/>
          <w:szCs w:val="52"/>
          <w:lang w:val="es-ES"/>
        </w:rPr>
        <w:t>331</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4917F280"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354502">
        <w:rPr>
          <w:rFonts w:ascii="Book Antiqua" w:eastAsia="Times New Roman" w:hAnsi="Book Antiqua" w:cs="Times New Roman"/>
          <w:sz w:val="24"/>
          <w:szCs w:val="24"/>
          <w:lang w:val="es-ES"/>
        </w:rPr>
        <w:t>14</w:t>
      </w:r>
      <w:r w:rsidR="00BF27E3">
        <w:rPr>
          <w:rFonts w:ascii="Book Antiqua" w:eastAsia="Times New Roman" w:hAnsi="Book Antiqua" w:cs="Times New Roman"/>
          <w:sz w:val="24"/>
          <w:szCs w:val="24"/>
          <w:lang w:val="es-ES"/>
        </w:rPr>
        <w:t xml:space="preserve"> de </w:t>
      </w:r>
      <w:r w:rsidR="00ED1BAF">
        <w:rPr>
          <w:rFonts w:ascii="Book Antiqua" w:eastAsia="Times New Roman" w:hAnsi="Book Antiqua" w:cs="Times New Roman"/>
          <w:sz w:val="24"/>
          <w:szCs w:val="24"/>
          <w:lang w:val="es-ES"/>
        </w:rPr>
        <w:t>mayo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47F4E89D" w:rsidR="00426A07" w:rsidRPr="00EF4B78" w:rsidRDefault="00426A07" w:rsidP="00044471">
      <w:pPr>
        <w:spacing w:after="0" w:line="276" w:lineRule="auto"/>
        <w:jc w:val="both"/>
        <w:rPr>
          <w:rFonts w:ascii="Book Antiqua" w:eastAsia="Times New Roman" w:hAnsi="Book Antiqua" w:cs="Times New Roman"/>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del Senado</w:t>
      </w:r>
      <w:r w:rsidR="004C2432" w:rsidRPr="00044471">
        <w:rPr>
          <w:rFonts w:ascii="Book Antiqua" w:eastAsia="Times New Roman" w:hAnsi="Book Antiqua" w:cs="Times New Roman"/>
          <w:b/>
          <w:sz w:val="24"/>
          <w:szCs w:val="24"/>
          <w:lang w:val="es-ES"/>
        </w:rPr>
        <w:t xml:space="preserve"> </w:t>
      </w:r>
      <w:r w:rsidR="00ED1BAF">
        <w:rPr>
          <w:rFonts w:ascii="Book Antiqua" w:eastAsia="Times New Roman" w:hAnsi="Book Antiqua" w:cs="Times New Roman"/>
          <w:b/>
          <w:sz w:val="24"/>
          <w:szCs w:val="24"/>
          <w:lang w:val="es-ES"/>
        </w:rPr>
        <w:t>331</w:t>
      </w:r>
      <w:r w:rsidRPr="00044471">
        <w:rPr>
          <w:rFonts w:ascii="Book Antiqua" w:eastAsia="Times New Roman" w:hAnsi="Book Antiqua" w:cs="Times New Roman"/>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aprobación, </w:t>
      </w:r>
      <w:r w:rsidR="00BF27E3" w:rsidRPr="00EF4B78">
        <w:rPr>
          <w:rFonts w:ascii="Book Antiqua" w:eastAsia="Times New Roman" w:hAnsi="Book Antiqua" w:cs="Times New Roman"/>
          <w:color w:val="000000" w:themeColor="text1"/>
          <w:sz w:val="24"/>
          <w:szCs w:val="24"/>
          <w:lang w:val="es-ES"/>
        </w:rPr>
        <w:t xml:space="preserve">con las enmiendas que se incluyen en el </w:t>
      </w:r>
      <w:r w:rsidR="00EF4B78" w:rsidRPr="00EF4B78">
        <w:rPr>
          <w:rFonts w:ascii="Book Antiqua" w:eastAsia="Times New Roman" w:hAnsi="Book Antiqua" w:cs="Times New Roman"/>
          <w:color w:val="000000" w:themeColor="text1"/>
          <w:sz w:val="24"/>
          <w:szCs w:val="24"/>
          <w:lang w:val="es-ES"/>
        </w:rPr>
        <w:t>Entrillad</w:t>
      </w:r>
      <w:r w:rsidR="003F079D">
        <w:rPr>
          <w:rFonts w:ascii="Book Antiqua" w:eastAsia="Times New Roman" w:hAnsi="Book Antiqua" w:cs="Times New Roman"/>
          <w:color w:val="000000" w:themeColor="text1"/>
          <w:sz w:val="24"/>
          <w:szCs w:val="24"/>
          <w:lang w:val="es-ES"/>
        </w:rPr>
        <w:t xml:space="preserve">o </w:t>
      </w:r>
      <w:r w:rsidR="00BF27E3" w:rsidRPr="00EF4B78">
        <w:rPr>
          <w:rFonts w:ascii="Book Antiqua" w:eastAsia="Times New Roman" w:hAnsi="Book Antiqua" w:cs="Times New Roman"/>
          <w:color w:val="000000" w:themeColor="text1"/>
          <w:sz w:val="24"/>
          <w:szCs w:val="24"/>
          <w:lang w:val="es-ES"/>
        </w:rPr>
        <w:t>Electrónico que se acompaña</w:t>
      </w:r>
      <w:r w:rsidR="004C2432" w:rsidRPr="00EF4B78">
        <w:rPr>
          <w:rFonts w:ascii="Book Antiqua" w:eastAsia="Times New Roman" w:hAnsi="Book Antiqua" w:cs="Times New Roman"/>
          <w:sz w:val="24"/>
          <w:szCs w:val="24"/>
          <w:lang w:val="es-ES"/>
        </w:rPr>
        <w:t>.</w:t>
      </w:r>
    </w:p>
    <w:p w14:paraId="417ECB02" w14:textId="77777777" w:rsidR="004C2432" w:rsidRPr="00EF4B78"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35A9727E" w14:textId="5C43D53A" w:rsidR="00ED1BAF" w:rsidRDefault="00EA7611" w:rsidP="0049050E">
      <w:pPr>
        <w:suppressLineNumbers/>
        <w:spacing w:before="240" w:after="0" w:line="276" w:lineRule="auto"/>
        <w:ind w:left="547" w:hanging="547"/>
        <w:jc w:val="both"/>
        <w:rPr>
          <w:rFonts w:ascii="Book Antiqua" w:eastAsia="Times New Roman" w:hAnsi="Book Antiqua"/>
          <w:sz w:val="24"/>
          <w:szCs w:val="24"/>
          <w:lang w:val="es-ES_tradnl"/>
        </w:rPr>
      </w:pPr>
      <w:r w:rsidRPr="00CF0207">
        <w:rPr>
          <w:rFonts w:ascii="Book Antiqua" w:eastAsia="Times New Roman" w:hAnsi="Book Antiqua"/>
          <w:sz w:val="24"/>
          <w:szCs w:val="24"/>
          <w:lang w:val="es-PR"/>
        </w:rPr>
        <w:t xml:space="preserve">El </w:t>
      </w:r>
      <w:r>
        <w:rPr>
          <w:rFonts w:ascii="Book Antiqua" w:eastAsia="Times New Roman" w:hAnsi="Book Antiqua"/>
          <w:b/>
          <w:sz w:val="24"/>
          <w:szCs w:val="24"/>
          <w:lang w:val="es-PR"/>
        </w:rPr>
        <w:t>Proyecto del Senado</w:t>
      </w:r>
      <w:r w:rsidRPr="00CF0207">
        <w:rPr>
          <w:rFonts w:ascii="Book Antiqua" w:eastAsia="Times New Roman" w:hAnsi="Book Antiqua"/>
          <w:b/>
          <w:sz w:val="24"/>
          <w:szCs w:val="24"/>
          <w:lang w:val="es-PR"/>
        </w:rPr>
        <w:t xml:space="preserve"> </w:t>
      </w:r>
      <w:r w:rsidR="00ED1BAF">
        <w:rPr>
          <w:rFonts w:ascii="Book Antiqua" w:eastAsia="Times New Roman" w:hAnsi="Book Antiqua"/>
          <w:b/>
          <w:sz w:val="24"/>
          <w:szCs w:val="24"/>
          <w:lang w:val="es-PR"/>
        </w:rPr>
        <w:t>331</w:t>
      </w:r>
      <w:r w:rsidRPr="00CF0207">
        <w:rPr>
          <w:rFonts w:ascii="Book Antiqua" w:eastAsia="Times New Roman" w:hAnsi="Book Antiqua"/>
          <w:sz w:val="24"/>
          <w:szCs w:val="24"/>
          <w:lang w:val="es-PR"/>
        </w:rPr>
        <w:t xml:space="preserve"> </w:t>
      </w:r>
      <w:bookmarkStart w:id="0" w:name="_Hlk178322334"/>
      <w:r w:rsidR="00ED1BAF">
        <w:rPr>
          <w:rFonts w:ascii="Book Antiqua" w:eastAsia="Times New Roman" w:hAnsi="Book Antiqua"/>
          <w:sz w:val="24"/>
          <w:szCs w:val="24"/>
          <w:lang w:val="es-PR"/>
        </w:rPr>
        <w:t>propone</w:t>
      </w:r>
      <w:r w:rsidR="00ED1BAF" w:rsidRPr="005D0ABC">
        <w:rPr>
          <w:rFonts w:ascii="Book Antiqua" w:eastAsia="Times New Roman" w:hAnsi="Book Antiqua"/>
          <w:sz w:val="24"/>
          <w:szCs w:val="24"/>
          <w:lang w:val="es-ES_tradnl"/>
        </w:rPr>
        <w:t xml:space="preserve"> </w:t>
      </w:r>
      <w:bookmarkEnd w:id="0"/>
      <w:r w:rsidR="00ED1BAF" w:rsidRPr="00287E4D">
        <w:rPr>
          <w:rFonts w:ascii="Book Antiqua" w:eastAsia="Times New Roman" w:hAnsi="Book Antiqua"/>
          <w:sz w:val="24"/>
          <w:szCs w:val="24"/>
          <w:lang w:val="es-PR"/>
        </w:rPr>
        <w:t>enmendar los Artículos 2, 3 y 38 de la Ley Núm. 24 del 22 de abril de 1931, según enmendada, conocida como “Ley del Registro Demográfico de Puerto Rico”, con el propósito de establecer el carácter confidencial de todos los certificados expedidos por el Registro Demográfico; redefinir el concepto de “parte interesada” para aclarar en qué casos podrán los tribunales ordenar la entrega de los certificados expedidos por el Registro Demográfico</w:t>
      </w:r>
      <w:r w:rsidR="00ED1BAF" w:rsidRPr="00287E4D">
        <w:rPr>
          <w:rFonts w:ascii="Book Antiqua" w:eastAsia="Times New Roman" w:hAnsi="Book Antiqua"/>
          <w:sz w:val="24"/>
          <w:szCs w:val="24"/>
          <w:lang w:val="es-ES_tradnl"/>
        </w:rPr>
        <w:t>.</w:t>
      </w:r>
    </w:p>
    <w:p w14:paraId="685A5C78" w14:textId="409A2C95" w:rsidR="004C2432" w:rsidRPr="00ED1BAF" w:rsidRDefault="004C2432" w:rsidP="00044471">
      <w:pPr>
        <w:spacing w:line="276" w:lineRule="auto"/>
        <w:ind w:left="540" w:hanging="540"/>
        <w:jc w:val="both"/>
        <w:rPr>
          <w:rFonts w:ascii="Book Antiqua" w:eastAsia="Book Antiqua" w:hAnsi="Book Antiqua" w:cs="Book Antiqua"/>
          <w:color w:val="000000"/>
          <w:szCs w:val="24"/>
          <w:lang w:val="es-ES_tradnl"/>
        </w:rPr>
      </w:pPr>
    </w:p>
    <w:p w14:paraId="7BAA753D" w14:textId="2FC2084F" w:rsidR="007E656E" w:rsidRDefault="00607F19" w:rsidP="00044471">
      <w:pPr>
        <w:spacing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762B6DD5" w14:textId="77777777" w:rsidR="00050C02" w:rsidRPr="00157AC0" w:rsidRDefault="00050C02" w:rsidP="0049050E">
      <w:pPr>
        <w:pStyle w:val="NoSpacing"/>
        <w:rPr>
          <w:lang w:val="es-PR"/>
        </w:rPr>
      </w:pPr>
    </w:p>
    <w:p w14:paraId="179012D3" w14:textId="77777777" w:rsidR="00ED1BAF" w:rsidRPr="00C00D4C" w:rsidRDefault="00A52183" w:rsidP="00ED1BAF">
      <w:pPr>
        <w:suppressLineNumbers/>
        <w:spacing w:before="120" w:after="120" w:line="360" w:lineRule="auto"/>
        <w:ind w:firstLine="360"/>
        <w:jc w:val="both"/>
        <w:rPr>
          <w:rFonts w:ascii="Book Antiqua" w:eastAsia="Times New Roman" w:hAnsi="Book Antiqua"/>
          <w:sz w:val="24"/>
          <w:szCs w:val="20"/>
          <w:lang w:val="es-PR"/>
        </w:rPr>
      </w:pPr>
      <w:r w:rsidRPr="00A52183">
        <w:rPr>
          <w:rFonts w:ascii="Book Antiqua" w:eastAsia="Times New Roman" w:hAnsi="Book Antiqua" w:cs="Times New Roman"/>
          <w:bCs/>
          <w:sz w:val="24"/>
          <w:szCs w:val="24"/>
          <w:lang w:val="es-ES"/>
        </w:rPr>
        <w:t xml:space="preserve">Según se desprende de la Exposición de Motivos de la medida, </w:t>
      </w:r>
      <w:r w:rsidR="00ED1BAF" w:rsidRPr="00C00D4C">
        <w:rPr>
          <w:rFonts w:ascii="Book Antiqua" w:eastAsia="Times New Roman" w:hAnsi="Book Antiqua"/>
          <w:sz w:val="24"/>
          <w:szCs w:val="20"/>
          <w:lang w:val="es-ES"/>
        </w:rPr>
        <w:t xml:space="preserve">El Registro </w:t>
      </w:r>
      <w:r w:rsidR="00ED1BAF" w:rsidRPr="00C00D4C">
        <w:rPr>
          <w:rFonts w:ascii="Book Antiqua" w:eastAsia="Times New Roman" w:hAnsi="Book Antiqua"/>
          <w:sz w:val="24"/>
          <w:szCs w:val="20"/>
          <w:lang w:val="es-PR"/>
        </w:rPr>
        <w:t xml:space="preserve">Demográfico de Puerto Rico, creado por virtud de la Ley Núm. 24 del 22 de abril de 1931, según enmendada, tiene el propósito de mantener las estadísticas de </w:t>
      </w:r>
      <w:r w:rsidR="00ED1BAF" w:rsidRPr="00C00D4C">
        <w:rPr>
          <w:rFonts w:ascii="Book Antiqua" w:eastAsia="Times New Roman" w:hAnsi="Book Antiqua"/>
          <w:i/>
          <w:iCs/>
          <w:sz w:val="24"/>
          <w:szCs w:val="20"/>
          <w:lang w:val="es-PR"/>
        </w:rPr>
        <w:t xml:space="preserve">“todo lo concerniente a la inscripción de todos los eventos inscritos en el Registro Demográfico que ocurran o se celebren </w:t>
      </w:r>
      <w:r w:rsidR="00ED1BAF" w:rsidRPr="00C00D4C">
        <w:rPr>
          <w:rFonts w:ascii="Book Antiqua" w:eastAsia="Times New Roman" w:hAnsi="Book Antiqua"/>
          <w:i/>
          <w:iCs/>
          <w:sz w:val="24"/>
          <w:szCs w:val="20"/>
          <w:lang w:val="es-PR"/>
        </w:rPr>
        <w:lastRenderedPageBreak/>
        <w:t>en Puerto Rico”</w:t>
      </w:r>
      <w:r w:rsidR="00ED1BAF" w:rsidRPr="00C00D4C">
        <w:rPr>
          <w:rFonts w:ascii="Book Antiqua" w:eastAsia="Times New Roman" w:hAnsi="Book Antiqua"/>
          <w:sz w:val="24"/>
          <w:szCs w:val="20"/>
          <w:lang w:val="es-PR"/>
        </w:rPr>
        <w:t>.  La información contenida en el Registro, así como también aquella divulgada a través de la expedición de certificados de nacimiento, matrimonio o defunción, es considerada como la fuente óptima para la realización de todo tipo de estudio demográfico o análisis estadístico sobre el país. Además de ser evidencia admisible “prima facie” en los tribunales de Puerto Rico al amparo de las Reglas de Evidencia.</w:t>
      </w:r>
    </w:p>
    <w:p w14:paraId="0D2EEF9D" w14:textId="77777777" w:rsidR="00ED1BAF" w:rsidRPr="00C00D4C" w:rsidRDefault="00ED1BAF" w:rsidP="00ED1BAF">
      <w:pPr>
        <w:suppressLineNumbers/>
        <w:spacing w:before="120" w:after="120" w:line="360" w:lineRule="auto"/>
        <w:ind w:firstLine="360"/>
        <w:jc w:val="both"/>
        <w:rPr>
          <w:rFonts w:ascii="Book Antiqua" w:eastAsia="Times New Roman" w:hAnsi="Book Antiqua"/>
          <w:sz w:val="24"/>
          <w:szCs w:val="20"/>
          <w:lang w:val="es-PR"/>
        </w:rPr>
      </w:pPr>
      <w:r w:rsidRPr="00C00D4C">
        <w:rPr>
          <w:rFonts w:ascii="Book Antiqua" w:eastAsia="Times New Roman" w:hAnsi="Book Antiqua"/>
          <w:sz w:val="24"/>
          <w:szCs w:val="20"/>
          <w:lang w:val="es-PR"/>
        </w:rPr>
        <w:t xml:space="preserve">Ahora bien, la información contenida en certificados de nacimiento, matrimonio y defunción puede también ser usada, desafortunadamente, para fines ilícitos, particularmente el robo de identidad. Así ocurrió con los certificados de nacimiento, cuyo uso como método de identificación se convirtió en una práctica tan común, que motivó la aprobación por esta Asamblea Legislativa de la </w:t>
      </w:r>
      <w:r w:rsidRPr="00C00D4C">
        <w:rPr>
          <w:rFonts w:ascii="Book Antiqua" w:eastAsia="Times New Roman" w:hAnsi="Book Antiqua"/>
          <w:bCs/>
          <w:sz w:val="24"/>
          <w:szCs w:val="20"/>
          <w:lang w:val="es-PR"/>
        </w:rPr>
        <w:t xml:space="preserve">Ley Núm. 191-2009, </w:t>
      </w:r>
      <w:r w:rsidRPr="00C00D4C">
        <w:rPr>
          <w:rFonts w:ascii="Book Antiqua" w:eastAsia="Times New Roman" w:hAnsi="Book Antiqua"/>
          <w:sz w:val="24"/>
          <w:szCs w:val="20"/>
          <w:lang w:val="es-PR"/>
        </w:rPr>
        <w:t>“Ley para Prohibir la Retención, Archivo y Custodia de copias certificadas de certificados de nacimiento”.</w:t>
      </w:r>
      <w:r>
        <w:rPr>
          <w:rFonts w:ascii="Book Antiqua" w:eastAsia="Times New Roman" w:hAnsi="Book Antiqua"/>
          <w:sz w:val="24"/>
          <w:szCs w:val="20"/>
          <w:lang w:val="es-PR"/>
        </w:rPr>
        <w:t xml:space="preserve"> </w:t>
      </w:r>
      <w:r w:rsidRPr="00C00D4C">
        <w:rPr>
          <w:rFonts w:ascii="Book Antiqua" w:eastAsia="Times New Roman" w:hAnsi="Book Antiqua"/>
          <w:sz w:val="24"/>
          <w:szCs w:val="20"/>
          <w:lang w:val="es-PR"/>
        </w:rPr>
        <w:t xml:space="preserve">En la Exposición de Motivos de aquella ley, se señala lo siguiente: </w:t>
      </w:r>
    </w:p>
    <w:p w14:paraId="5CAB0E09" w14:textId="77777777" w:rsidR="00ED1BAF" w:rsidRPr="00C00D4C" w:rsidRDefault="00ED1BAF" w:rsidP="00ED1BAF">
      <w:pPr>
        <w:suppressLineNumbers/>
        <w:spacing w:before="120" w:after="120" w:line="360" w:lineRule="auto"/>
        <w:ind w:left="720" w:right="720"/>
        <w:jc w:val="both"/>
        <w:rPr>
          <w:rFonts w:ascii="Book Antiqua" w:eastAsia="Times New Roman" w:hAnsi="Book Antiqua"/>
          <w:szCs w:val="18"/>
          <w:lang w:val="es-PR"/>
        </w:rPr>
      </w:pPr>
      <w:r w:rsidRPr="00C00D4C">
        <w:rPr>
          <w:rFonts w:ascii="Book Antiqua" w:eastAsia="Times New Roman" w:hAnsi="Book Antiqua"/>
          <w:szCs w:val="18"/>
          <w:lang w:val="es-PR"/>
        </w:rPr>
        <w:t xml:space="preserve">[c]omo consecuencia de la fácil disponibilidad de tan privilegiado documento, los mismos se hurtan en gran escala por delincuentes que se proponen cometer algún tipo de conducta delictiva, como es la apropiación ilegal de identidad o el fraude de pasaportes. Esta situación es sumamente preocupante. Por ejemplo, la persona que obtiene sin derecho un pasaporte de los Estados Unidos por medios fraudulentos puede usarlo, no sólo para viajar al exterior y entrar a los Estados Unidos libremente, sino para facilitar conductas delictivas de toda clase, por ejemplo, la obtención fraudulenta de beneficios inmigratorios, el narco-tráfico, la obtención de crédito, el terrorismo y el tráfico de mujeres y niños. </w:t>
      </w:r>
    </w:p>
    <w:p w14:paraId="29464B5C" w14:textId="77777777" w:rsidR="00ED1BAF" w:rsidRPr="00C00D4C" w:rsidRDefault="00ED1BAF" w:rsidP="00ED1BAF">
      <w:pPr>
        <w:suppressLineNumbers/>
        <w:spacing w:before="120" w:after="120" w:line="360" w:lineRule="auto"/>
        <w:ind w:firstLine="360"/>
        <w:jc w:val="both"/>
        <w:rPr>
          <w:rFonts w:ascii="Book Antiqua" w:eastAsia="Times New Roman" w:hAnsi="Book Antiqua"/>
          <w:sz w:val="24"/>
          <w:szCs w:val="20"/>
          <w:lang w:val="es-PR"/>
        </w:rPr>
      </w:pPr>
      <w:r w:rsidRPr="00C00D4C">
        <w:rPr>
          <w:rFonts w:ascii="Book Antiqua" w:eastAsia="Times New Roman" w:hAnsi="Book Antiqua"/>
          <w:sz w:val="24"/>
          <w:szCs w:val="20"/>
          <w:lang w:val="es-PR"/>
        </w:rPr>
        <w:t xml:space="preserve">Según el Servicio de Seguridad Diplomática del Departamento de Estado de los Estados Unidos de América, de los ocho mil (8,000) casos de fraude de pasaportes investigados por dicha unidad, el cuarenta por ciento (40%) aproximadamente tienen su origen en situaciones que han utilizado certificados de nacimientos de personas puertorriqueñas. Lamentablemente, el número de casos de fraude de pasaporte, utilizando certificados de nacimientos de puertorriqueños, sigue aumentando. La razón </w:t>
      </w:r>
      <w:r w:rsidRPr="00C00D4C">
        <w:rPr>
          <w:rFonts w:ascii="Book Antiqua" w:eastAsia="Times New Roman" w:hAnsi="Book Antiqua"/>
          <w:sz w:val="24"/>
          <w:szCs w:val="20"/>
          <w:lang w:val="es-PR"/>
        </w:rPr>
        <w:lastRenderedPageBreak/>
        <w:t>es muy sencilla: existen demasiadas copias certificadas de certificados de nacimientos en circulación y de fácil acceso a delincuentes.</w:t>
      </w:r>
    </w:p>
    <w:p w14:paraId="08C5C4F8" w14:textId="77777777" w:rsidR="00ED1BAF" w:rsidRPr="00C00D4C" w:rsidRDefault="00ED1BAF" w:rsidP="00ED1BAF">
      <w:pPr>
        <w:suppressLineNumbers/>
        <w:spacing w:before="120" w:after="120" w:line="360" w:lineRule="auto"/>
        <w:ind w:firstLine="360"/>
        <w:jc w:val="both"/>
        <w:rPr>
          <w:rFonts w:ascii="Book Antiqua" w:eastAsia="Times New Roman" w:hAnsi="Book Antiqua"/>
          <w:bCs/>
          <w:sz w:val="24"/>
          <w:szCs w:val="20"/>
          <w:lang w:val="es-PR"/>
        </w:rPr>
      </w:pPr>
      <w:r w:rsidRPr="00C00D4C">
        <w:rPr>
          <w:rFonts w:ascii="Book Antiqua" w:eastAsia="Times New Roman" w:hAnsi="Book Antiqua"/>
          <w:sz w:val="24"/>
          <w:szCs w:val="20"/>
          <w:lang w:val="es-PR"/>
        </w:rPr>
        <w:t xml:space="preserve">Igual situación puede presentarse con los certificados de defunción, los cuales contienen información de carácter privilegiado (tales como nombres, números de seguro social, fechas y lugares de nacimiento, etc.) cuyo uso por personas inescrupulosas puede dar lugar a situaciones como las descritas en la antes citada Exposición de Motivos de la </w:t>
      </w:r>
      <w:r w:rsidRPr="00C00D4C">
        <w:rPr>
          <w:rFonts w:ascii="Book Antiqua" w:eastAsia="Times New Roman" w:hAnsi="Book Antiqua"/>
          <w:bCs/>
          <w:sz w:val="24"/>
          <w:szCs w:val="20"/>
          <w:lang w:val="es-PR"/>
        </w:rPr>
        <w:t xml:space="preserve">Ley Núm. 191-2009, </w:t>
      </w:r>
      <w:r w:rsidRPr="00C00D4C">
        <w:rPr>
          <w:rFonts w:ascii="Book Antiqua" w:eastAsia="Times New Roman" w:hAnsi="Book Antiqua"/>
          <w:bCs/>
          <w:i/>
          <w:iCs/>
          <w:sz w:val="24"/>
          <w:szCs w:val="20"/>
          <w:lang w:val="es-PR"/>
        </w:rPr>
        <w:t>supra</w:t>
      </w:r>
      <w:r w:rsidRPr="00C00D4C">
        <w:rPr>
          <w:rFonts w:ascii="Book Antiqua" w:eastAsia="Times New Roman" w:hAnsi="Book Antiqua"/>
          <w:bCs/>
          <w:sz w:val="24"/>
          <w:szCs w:val="20"/>
          <w:lang w:val="es-PR"/>
        </w:rPr>
        <w:t xml:space="preserve">.  </w:t>
      </w:r>
    </w:p>
    <w:p w14:paraId="26220894" w14:textId="77777777" w:rsidR="00ED1BAF" w:rsidRPr="00C00D4C" w:rsidRDefault="00ED1BAF" w:rsidP="00ED1BAF">
      <w:pPr>
        <w:suppressLineNumbers/>
        <w:spacing w:before="120" w:after="120" w:line="360" w:lineRule="auto"/>
        <w:ind w:firstLine="360"/>
        <w:jc w:val="both"/>
        <w:rPr>
          <w:rFonts w:ascii="Book Antiqua" w:eastAsia="Times New Roman" w:hAnsi="Book Antiqua"/>
          <w:bCs/>
          <w:sz w:val="24"/>
          <w:szCs w:val="20"/>
          <w:lang w:val="es-PR"/>
        </w:rPr>
      </w:pPr>
      <w:r w:rsidRPr="00C00D4C">
        <w:rPr>
          <w:rFonts w:ascii="Book Antiqua" w:eastAsia="Times New Roman" w:hAnsi="Book Antiqua"/>
          <w:bCs/>
          <w:sz w:val="24"/>
          <w:szCs w:val="20"/>
          <w:lang w:val="es-PR"/>
        </w:rPr>
        <w:t>Por otro lado, el Departamento de Salud es una entidad cubierta bajo los estatutos federales de la Health Insurance Portability and Accountability Act (HIPAA, por sus siglas en inglés). Esta ley establece las pautas para proteger la confidencialidad y privacidad de la información del paciente, así como datos médicos. La regla de privacidad de HIPAA, en el Rules and Regulations del Federal Register, Vol. 78, No. 17 (45 CFR Parts 160-164) establece que la información de salud identificable de las personas permanece protegida durante cincuenta (50) años, después de su muerte. Durante este periodo de protección, según la información de salud protegida, (en adelante PHI, por sus siglas en inglés), generalmente se salvaguarda la información de salud del difunto en la misma manera que la de las personas vivas, pero incluye una serie de disposiciones especiales de divulgación relevantes para las personas fallecidas.</w:t>
      </w:r>
    </w:p>
    <w:p w14:paraId="08D1AAEF" w14:textId="77777777" w:rsidR="00ED1BAF" w:rsidRPr="00C00D4C" w:rsidRDefault="00ED1BAF" w:rsidP="00ED1BAF">
      <w:pPr>
        <w:suppressLineNumbers/>
        <w:spacing w:before="120" w:after="120" w:line="360" w:lineRule="auto"/>
        <w:ind w:firstLine="360"/>
        <w:jc w:val="both"/>
        <w:rPr>
          <w:rFonts w:ascii="Book Antiqua" w:eastAsia="Times New Roman" w:hAnsi="Book Antiqua"/>
          <w:bCs/>
          <w:sz w:val="24"/>
          <w:szCs w:val="20"/>
          <w:lang w:val="es-PR"/>
        </w:rPr>
      </w:pPr>
      <w:r w:rsidRPr="00C00D4C">
        <w:rPr>
          <w:rFonts w:ascii="Book Antiqua" w:eastAsia="Times New Roman" w:hAnsi="Book Antiqua"/>
          <w:bCs/>
          <w:sz w:val="24"/>
          <w:szCs w:val="20"/>
          <w:lang w:val="es-PR"/>
        </w:rPr>
        <w:t>Ciertamente, el Registro Demográfico en su deber de divulgar estadísticas vitales tiene la obligación de garantizar que los datos que puedan identificar personas naturales no serán divulgados en el proceso de recopilación de estos, ya que lo contrario constituiría una crasa violación a derechos de terceros.</w:t>
      </w:r>
    </w:p>
    <w:p w14:paraId="6E975249" w14:textId="77777777" w:rsidR="00ED1BAF" w:rsidRPr="00C00D4C" w:rsidRDefault="00ED1BAF" w:rsidP="00ED1BAF">
      <w:pPr>
        <w:suppressLineNumbers/>
        <w:spacing w:before="120" w:after="120" w:line="360" w:lineRule="auto"/>
        <w:ind w:firstLine="360"/>
        <w:jc w:val="both"/>
        <w:rPr>
          <w:rFonts w:ascii="Book Antiqua" w:eastAsia="Times New Roman" w:hAnsi="Book Antiqua"/>
          <w:bCs/>
          <w:sz w:val="24"/>
          <w:szCs w:val="20"/>
          <w:lang w:val="es-PR"/>
        </w:rPr>
      </w:pPr>
      <w:r w:rsidRPr="00C00D4C">
        <w:rPr>
          <w:rFonts w:ascii="Book Antiqua" w:eastAsia="Times New Roman" w:hAnsi="Book Antiqua"/>
          <w:bCs/>
          <w:sz w:val="24"/>
          <w:szCs w:val="20"/>
          <w:lang w:val="es-PR"/>
        </w:rPr>
        <w:t xml:space="preserve">No obstante, recientes determinaciones judiciales han concluido que el derecho constitucional de acceso a la información gubernamental obliga al Estado a brindar a la prensa copia de los certificados de defunción que ésta, en el ejercicio de sus labores, </w:t>
      </w:r>
      <w:r w:rsidRPr="00C00D4C">
        <w:rPr>
          <w:rFonts w:ascii="Book Antiqua" w:eastAsia="Times New Roman" w:hAnsi="Book Antiqua"/>
          <w:bCs/>
          <w:sz w:val="24"/>
          <w:szCs w:val="20"/>
          <w:lang w:val="es-PR"/>
        </w:rPr>
        <w:lastRenderedPageBreak/>
        <w:t>solicite</w:t>
      </w:r>
      <w:r w:rsidRPr="00C00D4C">
        <w:rPr>
          <w:rFonts w:ascii="Book Antiqua" w:eastAsia="Times New Roman" w:hAnsi="Book Antiqua"/>
          <w:bCs/>
          <w:sz w:val="24"/>
          <w:szCs w:val="20"/>
          <w:vertAlign w:val="superscript"/>
          <w:lang w:val="es-PR"/>
        </w:rPr>
        <w:footnoteReference w:id="1"/>
      </w:r>
      <w:r w:rsidRPr="00C00D4C">
        <w:rPr>
          <w:rFonts w:ascii="Book Antiqua" w:eastAsia="Times New Roman" w:hAnsi="Book Antiqua"/>
          <w:bCs/>
          <w:sz w:val="24"/>
          <w:szCs w:val="20"/>
          <w:lang w:val="es-PR"/>
        </w:rPr>
        <w:t>.  Estas determinaciones reconocen la importancia vital que tiene la prensa en el funcionamiento de una sociedad democrática. Considera, además, la necesidad de que la prensa tenga acceso a aquellos documentos generados por el Estado sobre los cuales éste no pueda demostrar que existe un interés apremiante.</w:t>
      </w:r>
    </w:p>
    <w:p w14:paraId="7F76FA9F" w14:textId="77777777" w:rsidR="0049050E" w:rsidRDefault="00ED1BAF" w:rsidP="0049050E">
      <w:pPr>
        <w:suppressLineNumbers/>
        <w:spacing w:before="120" w:after="120" w:line="360" w:lineRule="auto"/>
        <w:ind w:firstLine="360"/>
        <w:jc w:val="both"/>
        <w:rPr>
          <w:rFonts w:ascii="Book Antiqua" w:eastAsia="Times New Roman" w:hAnsi="Book Antiqua"/>
          <w:bCs/>
          <w:sz w:val="24"/>
          <w:szCs w:val="20"/>
          <w:lang w:val="es-PR"/>
        </w:rPr>
      </w:pPr>
      <w:r w:rsidRPr="00C00D4C">
        <w:rPr>
          <w:rFonts w:ascii="Book Antiqua" w:eastAsia="Times New Roman" w:hAnsi="Book Antiqua"/>
          <w:bCs/>
          <w:sz w:val="24"/>
          <w:szCs w:val="20"/>
          <w:lang w:val="es-PR"/>
        </w:rPr>
        <w:t xml:space="preserve">Estas determinaciones han revelado que existe un vacío en la Ley del Registro Demográfico, pues no garantiza de forma explícita la confidencialidad de la información que esta entidad recopila por mandato de ley. Observamos que la legislación no establece salvaguardas para los derechos de terceros que no interesen la divulgación sobre las circunstancias particulares del fallecimiento sus familiares al público. De igual forma, no delimita o establece con precisión en qué circunstancias un Tribunal puede ordenar la entrega de información, siendo una orden judicial razón suficiente para entregar información, independientemente de la naturaleza del caso bajo su consideración.  Finalmente, el estatuto tampoco dispone qué información (particularmente aquella contenida en los certificados de defunción) tiene un carácter sensitivo de tal naturaleza que justifique razonablemente la decisión del Estado de mantener su confidencialidad.  </w:t>
      </w:r>
    </w:p>
    <w:p w14:paraId="377CDDFA" w14:textId="1279B314" w:rsidR="00A52183" w:rsidRPr="0049050E" w:rsidRDefault="00ED1BAF" w:rsidP="0049050E">
      <w:pPr>
        <w:suppressLineNumbers/>
        <w:spacing w:before="120" w:after="120" w:line="360" w:lineRule="auto"/>
        <w:ind w:firstLine="360"/>
        <w:jc w:val="both"/>
        <w:rPr>
          <w:rFonts w:ascii="Book Antiqua" w:eastAsia="Times New Roman" w:hAnsi="Book Antiqua"/>
          <w:bCs/>
          <w:sz w:val="24"/>
          <w:szCs w:val="20"/>
          <w:lang w:val="es-PR"/>
        </w:rPr>
      </w:pPr>
      <w:r w:rsidRPr="00C00D4C">
        <w:rPr>
          <w:rFonts w:ascii="Book Antiqua" w:eastAsia="Times New Roman" w:hAnsi="Book Antiqua"/>
          <w:bCs/>
          <w:sz w:val="24"/>
          <w:szCs w:val="20"/>
          <w:lang w:val="es-PR"/>
        </w:rPr>
        <w:t xml:space="preserve">Esta ley atenderá las lagunas antes señaladas, protegerá los derechos de terceros y delimitará con precisión la información que puede y debe ser entregada a la ciudadanía y a la prensa.  Además, establecerá un balance entre el reconocido derecho de acceso a la información y la confidencialidad de información que puede ser considerada como sensitiva por los familiares de una persona difunta y evitar, a su vez, que pueda ser utilizada con fines ilícitos.   </w:t>
      </w:r>
    </w:p>
    <w:p w14:paraId="2BC16377" w14:textId="77777777" w:rsidR="0036586B" w:rsidRPr="00044471" w:rsidRDefault="0036586B" w:rsidP="009D428E">
      <w:pPr>
        <w:pStyle w:val="NoSpacing"/>
        <w:rPr>
          <w:lang w:val="es-ES"/>
        </w:rPr>
      </w:pPr>
    </w:p>
    <w:p w14:paraId="62B35931" w14:textId="0E58B1D2"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53332421" w14:textId="086A8802"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 xml:space="preserve">Como parte del proceso de análisis y evaluación del </w:t>
      </w:r>
      <w:r w:rsidRPr="008E0949">
        <w:rPr>
          <w:rFonts w:ascii="Book Antiqua" w:hAnsi="Book Antiqua"/>
          <w:b/>
          <w:bCs/>
          <w:sz w:val="24"/>
          <w:szCs w:val="24"/>
          <w:lang w:val="es-ES"/>
        </w:rPr>
        <w:t xml:space="preserve">P. del S. </w:t>
      </w:r>
      <w:r w:rsidR="000505DD" w:rsidRPr="008E0949">
        <w:rPr>
          <w:rFonts w:ascii="Book Antiqua" w:hAnsi="Book Antiqua"/>
          <w:b/>
          <w:bCs/>
          <w:sz w:val="24"/>
          <w:szCs w:val="24"/>
          <w:lang w:val="es-ES"/>
        </w:rPr>
        <w:t>331</w:t>
      </w:r>
      <w:r w:rsidRPr="00050C02">
        <w:rPr>
          <w:rFonts w:ascii="Book Antiqua" w:hAnsi="Book Antiqua"/>
          <w:sz w:val="24"/>
          <w:szCs w:val="24"/>
          <w:lang w:val="es-ES"/>
        </w:rPr>
        <w:t xml:space="preserve">, </w:t>
      </w:r>
      <w:r w:rsidR="00F471D6">
        <w:rPr>
          <w:rFonts w:ascii="Book Antiqua" w:hAnsi="Book Antiqua"/>
          <w:sz w:val="24"/>
          <w:szCs w:val="24"/>
          <w:lang w:val="es-ES"/>
        </w:rPr>
        <w:t xml:space="preserve">la </w:t>
      </w:r>
      <w:r w:rsidR="00F471D6" w:rsidRPr="00050C02">
        <w:rPr>
          <w:rFonts w:ascii="Book Antiqua" w:hAnsi="Book Antiqua"/>
          <w:sz w:val="24"/>
          <w:szCs w:val="24"/>
          <w:lang w:val="es-ES"/>
        </w:rPr>
        <w:t>Honorable</w:t>
      </w:r>
      <w:r w:rsidRPr="00050C02">
        <w:rPr>
          <w:rFonts w:ascii="Book Antiqua" w:hAnsi="Book Antiqua"/>
          <w:sz w:val="24"/>
          <w:szCs w:val="24"/>
          <w:lang w:val="es-ES"/>
        </w:rPr>
        <w:t xml:space="preserve"> Comisión </w:t>
      </w:r>
      <w:r>
        <w:rPr>
          <w:rFonts w:ascii="Book Antiqua" w:hAnsi="Book Antiqua"/>
          <w:sz w:val="24"/>
          <w:szCs w:val="24"/>
          <w:lang w:val="es-ES"/>
        </w:rPr>
        <w:t xml:space="preserve">de </w:t>
      </w:r>
      <w:r w:rsidR="0060292F">
        <w:rPr>
          <w:rFonts w:ascii="Book Antiqua" w:hAnsi="Book Antiqua"/>
          <w:sz w:val="24"/>
          <w:szCs w:val="24"/>
          <w:lang w:val="es-ES"/>
        </w:rPr>
        <w:t>S</w:t>
      </w:r>
      <w:r>
        <w:rPr>
          <w:rFonts w:ascii="Book Antiqua" w:hAnsi="Book Antiqua"/>
          <w:sz w:val="24"/>
          <w:szCs w:val="24"/>
          <w:lang w:val="es-ES"/>
        </w:rPr>
        <w:t xml:space="preserve">alud del Senado </w:t>
      </w:r>
      <w:r w:rsidRPr="00050C02">
        <w:rPr>
          <w:rFonts w:ascii="Book Antiqua" w:hAnsi="Book Antiqua"/>
          <w:sz w:val="24"/>
          <w:szCs w:val="24"/>
          <w:lang w:val="es-ES"/>
        </w:rPr>
        <w:t xml:space="preserve">solicitó los comentarios sobre la medida a diversos componentes </w:t>
      </w:r>
      <w:r w:rsidRPr="00050C02">
        <w:rPr>
          <w:rFonts w:ascii="Book Antiqua" w:hAnsi="Book Antiqua"/>
          <w:sz w:val="24"/>
          <w:szCs w:val="24"/>
          <w:lang w:val="es-ES"/>
        </w:rPr>
        <w:lastRenderedPageBreak/>
        <w:t xml:space="preserve">gubernamentales y no gubernamentales. Los memoriales recibidos y utilizados para el análisis de esta pieza legislativa son: </w:t>
      </w:r>
      <w:r w:rsidR="008B41F5">
        <w:rPr>
          <w:rFonts w:ascii="Book Antiqua" w:hAnsi="Book Antiqua"/>
          <w:sz w:val="24"/>
          <w:szCs w:val="24"/>
          <w:lang w:val="es-ES"/>
        </w:rPr>
        <w:t>Departamento de Salud</w:t>
      </w:r>
      <w:r w:rsidR="00807B80">
        <w:rPr>
          <w:rFonts w:ascii="Book Antiqua" w:hAnsi="Book Antiqua"/>
          <w:sz w:val="24"/>
          <w:szCs w:val="24"/>
          <w:lang w:val="es-ES"/>
        </w:rPr>
        <w:t xml:space="preserve"> y la Administración de</w:t>
      </w:r>
      <w:r w:rsidR="00DF4195">
        <w:rPr>
          <w:rFonts w:ascii="Book Antiqua" w:hAnsi="Book Antiqua"/>
          <w:sz w:val="24"/>
          <w:szCs w:val="24"/>
          <w:lang w:val="es-ES"/>
        </w:rPr>
        <w:t xml:space="preserve"> Tribunales.</w:t>
      </w:r>
    </w:p>
    <w:p w14:paraId="364BB4E7" w14:textId="77777777" w:rsidR="00050C02" w:rsidRPr="00050C02" w:rsidRDefault="00050C02" w:rsidP="00050C02">
      <w:pPr>
        <w:spacing w:after="0" w:line="276" w:lineRule="auto"/>
        <w:jc w:val="both"/>
        <w:rPr>
          <w:rFonts w:ascii="Book Antiqua" w:hAnsi="Book Antiqua"/>
          <w:sz w:val="24"/>
          <w:szCs w:val="24"/>
          <w:lang w:val="es-ES"/>
        </w:rPr>
      </w:pPr>
    </w:p>
    <w:p w14:paraId="6BFDE84B" w14:textId="10496CF7"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Igualmente, se solicitaron los comentarios al</w:t>
      </w:r>
      <w:r w:rsidR="00AB4673">
        <w:rPr>
          <w:rFonts w:ascii="Book Antiqua" w:hAnsi="Book Antiqua"/>
          <w:sz w:val="24"/>
          <w:szCs w:val="24"/>
          <w:lang w:val="es-ES"/>
        </w:rPr>
        <w:t xml:space="preserve"> Departamento de </w:t>
      </w:r>
      <w:r w:rsidR="002248B3">
        <w:rPr>
          <w:rFonts w:ascii="Book Antiqua" w:hAnsi="Book Antiqua"/>
          <w:sz w:val="24"/>
          <w:szCs w:val="24"/>
          <w:lang w:val="es-ES"/>
        </w:rPr>
        <w:t>Justicia</w:t>
      </w:r>
      <w:r w:rsidR="002248B3" w:rsidRPr="00050C02">
        <w:rPr>
          <w:rFonts w:ascii="Book Antiqua" w:hAnsi="Book Antiqua"/>
          <w:sz w:val="24"/>
          <w:szCs w:val="24"/>
          <w:lang w:val="es-ES"/>
        </w:rPr>
        <w:t>;</w:t>
      </w:r>
      <w:r w:rsidR="00860BD4">
        <w:rPr>
          <w:rFonts w:ascii="Book Antiqua" w:hAnsi="Book Antiqua"/>
          <w:sz w:val="24"/>
          <w:szCs w:val="24"/>
          <w:lang w:val="es-ES"/>
        </w:rPr>
        <w:t xml:space="preserve"> </w:t>
      </w:r>
      <w:r w:rsidR="002248B3">
        <w:rPr>
          <w:rFonts w:ascii="Book Antiqua" w:hAnsi="Book Antiqua"/>
          <w:sz w:val="24"/>
          <w:szCs w:val="24"/>
          <w:lang w:val="es-ES"/>
        </w:rPr>
        <w:t>Instituto</w:t>
      </w:r>
      <w:r w:rsidR="00CB4C0D">
        <w:rPr>
          <w:rFonts w:ascii="Book Antiqua" w:hAnsi="Book Antiqua"/>
          <w:sz w:val="24"/>
          <w:szCs w:val="24"/>
          <w:lang w:val="es-ES"/>
        </w:rPr>
        <w:t xml:space="preserve"> de Ciencias </w:t>
      </w:r>
      <w:r w:rsidR="0057070A">
        <w:rPr>
          <w:rFonts w:ascii="Book Antiqua" w:hAnsi="Book Antiqua"/>
          <w:sz w:val="24"/>
          <w:szCs w:val="24"/>
          <w:lang w:val="es-ES"/>
        </w:rPr>
        <w:t>Forenses,</w:t>
      </w:r>
      <w:r w:rsidRPr="00050C02">
        <w:rPr>
          <w:rFonts w:ascii="Book Antiqua" w:hAnsi="Book Antiqua"/>
          <w:sz w:val="24"/>
          <w:szCs w:val="24"/>
          <w:lang w:val="es-ES"/>
        </w:rPr>
        <w:t xml:space="preserve"> no obstante, al momento de redactar este Informe, estos no han remitido los mismos. </w:t>
      </w:r>
    </w:p>
    <w:p w14:paraId="427964FA" w14:textId="77777777" w:rsidR="00050C02" w:rsidRPr="00050C02" w:rsidRDefault="00050C02" w:rsidP="00050C02">
      <w:pPr>
        <w:spacing w:after="0" w:line="276" w:lineRule="auto"/>
        <w:jc w:val="both"/>
        <w:rPr>
          <w:rFonts w:ascii="Book Antiqua" w:hAnsi="Book Antiqua"/>
          <w:sz w:val="24"/>
          <w:szCs w:val="24"/>
          <w:lang w:val="es-ES"/>
        </w:rPr>
      </w:pPr>
    </w:p>
    <w:p w14:paraId="48D54ECF" w14:textId="126B463D" w:rsidR="00044471"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A continuación, presentaremos un resumen de los argumentos y comentarios esbozados por las diferentes agencias y entidades consulta</w:t>
      </w:r>
      <w:r w:rsidR="005A50E1">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296E8187" w14:textId="77777777" w:rsidR="00050C02" w:rsidRPr="00044471" w:rsidRDefault="00050C02" w:rsidP="00050C02">
      <w:pPr>
        <w:spacing w:after="0" w:line="276" w:lineRule="auto"/>
        <w:jc w:val="both"/>
        <w:rPr>
          <w:rFonts w:ascii="Book Antiqua" w:eastAsia="Times New Roman" w:hAnsi="Book Antiqua" w:cs="Times New Roman"/>
          <w:bCs/>
          <w:sz w:val="24"/>
          <w:szCs w:val="24"/>
          <w:lang w:val="es-ES"/>
        </w:rPr>
      </w:pPr>
    </w:p>
    <w:p w14:paraId="5EF34A40" w14:textId="36DB2ED1" w:rsidR="00044471" w:rsidRDefault="00B05996"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SALUD</w:t>
      </w:r>
    </w:p>
    <w:p w14:paraId="5FA1C260"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7D3EF210" w14:textId="77777777" w:rsidR="009D428E" w:rsidRDefault="00DC23D9" w:rsidP="009D428E">
      <w:pPr>
        <w:spacing w:after="0" w:line="276" w:lineRule="auto"/>
        <w:jc w:val="both"/>
        <w:rPr>
          <w:rFonts w:ascii="Book Antiqua" w:eastAsia="Calibri" w:hAnsi="Book Antiqua" w:cs="Times New Roman"/>
          <w:kern w:val="2"/>
          <w:sz w:val="24"/>
          <w:szCs w:val="24"/>
          <w:lang w:val="es-ES"/>
          <w14:ligatures w14:val="standardContextual"/>
        </w:rPr>
      </w:pPr>
      <w:bookmarkStart w:id="1" w:name="_Hlk197415287"/>
      <w:r w:rsidRPr="00DC23D9">
        <w:rPr>
          <w:rFonts w:ascii="Book Antiqua" w:eastAsia="Times New Roman" w:hAnsi="Book Antiqua" w:cs="Times New Roman"/>
          <w:bCs/>
          <w:sz w:val="24"/>
          <w:szCs w:val="24"/>
          <w:lang w:val="es-ES"/>
        </w:rPr>
        <w:t>Luego de examinar la pieza legislativa de referencia</w:t>
      </w:r>
      <w:r w:rsidRPr="00DC23D9">
        <w:rPr>
          <w:rFonts w:ascii="Book Antiqua" w:eastAsia="Times New Roman" w:hAnsi="Book Antiqua" w:cs="Times New Roman"/>
          <w:b/>
          <w:sz w:val="24"/>
          <w:szCs w:val="24"/>
          <w:lang w:val="es-ES"/>
        </w:rPr>
        <w:t xml:space="preserve">, </w:t>
      </w:r>
      <w:r w:rsidR="00F26A91">
        <w:rPr>
          <w:rFonts w:ascii="Book Antiqua" w:eastAsia="Times New Roman" w:hAnsi="Book Antiqua" w:cs="Times New Roman"/>
          <w:b/>
          <w:sz w:val="24"/>
          <w:szCs w:val="24"/>
          <w:lang w:val="es-ES"/>
        </w:rPr>
        <w:t xml:space="preserve">El Departamento de </w:t>
      </w:r>
      <w:r w:rsidR="00952B1F">
        <w:rPr>
          <w:rFonts w:ascii="Book Antiqua" w:eastAsia="Times New Roman" w:hAnsi="Book Antiqua" w:cs="Times New Roman"/>
          <w:b/>
          <w:sz w:val="24"/>
          <w:szCs w:val="24"/>
          <w:lang w:val="es-ES"/>
        </w:rPr>
        <w:t xml:space="preserve">Salud </w:t>
      </w:r>
      <w:r w:rsidR="00952B1F" w:rsidRPr="00044471">
        <w:rPr>
          <w:rFonts w:ascii="Book Antiqua" w:eastAsia="Times New Roman" w:hAnsi="Book Antiqua" w:cs="Times New Roman"/>
          <w:bCs/>
          <w:sz w:val="24"/>
          <w:szCs w:val="24"/>
          <w:lang w:val="es-ES"/>
        </w:rPr>
        <w:t>presentó</w:t>
      </w:r>
      <w:r w:rsidR="00044471" w:rsidRPr="00044471">
        <w:rPr>
          <w:rFonts w:ascii="Book Antiqua" w:eastAsia="Times New Roman" w:hAnsi="Book Antiqua" w:cs="Times New Roman"/>
          <w:bCs/>
          <w:sz w:val="24"/>
          <w:szCs w:val="24"/>
          <w:lang w:val="es-ES"/>
        </w:rPr>
        <w:t xml:space="preserve"> su </w:t>
      </w:r>
      <w:r w:rsidR="00D12C50">
        <w:rPr>
          <w:rFonts w:ascii="Book Antiqua" w:eastAsia="Times New Roman" w:hAnsi="Book Antiqua" w:cs="Times New Roman"/>
          <w:bCs/>
          <w:sz w:val="24"/>
          <w:szCs w:val="24"/>
          <w:lang w:val="es-ES"/>
        </w:rPr>
        <w:t>M</w:t>
      </w:r>
      <w:r w:rsidR="00044471" w:rsidRPr="00044471">
        <w:rPr>
          <w:rFonts w:ascii="Book Antiqua" w:eastAsia="Times New Roman" w:hAnsi="Book Antiqua" w:cs="Times New Roman"/>
          <w:bCs/>
          <w:sz w:val="24"/>
          <w:szCs w:val="24"/>
          <w:lang w:val="es-ES"/>
        </w:rPr>
        <w:t xml:space="preserve">emorial </w:t>
      </w:r>
      <w:r w:rsidR="00D12C50">
        <w:rPr>
          <w:rFonts w:ascii="Book Antiqua" w:eastAsia="Times New Roman" w:hAnsi="Book Antiqua" w:cs="Times New Roman"/>
          <w:bCs/>
          <w:sz w:val="24"/>
          <w:szCs w:val="24"/>
          <w:lang w:val="es-ES"/>
        </w:rPr>
        <w:t>E</w:t>
      </w:r>
      <w:r w:rsidR="00044471" w:rsidRPr="00044471">
        <w:rPr>
          <w:rFonts w:ascii="Book Antiqua" w:eastAsia="Times New Roman" w:hAnsi="Book Antiqua" w:cs="Times New Roman"/>
          <w:bCs/>
          <w:sz w:val="24"/>
          <w:szCs w:val="24"/>
          <w:lang w:val="es-ES"/>
        </w:rPr>
        <w:t xml:space="preserve">xplicativo por conducto de su </w:t>
      </w:r>
      <w:r w:rsidR="00145D40">
        <w:rPr>
          <w:rFonts w:ascii="Book Antiqua" w:eastAsia="Times New Roman" w:hAnsi="Book Antiqua" w:cs="Times New Roman"/>
          <w:bCs/>
          <w:sz w:val="24"/>
          <w:szCs w:val="24"/>
          <w:lang w:val="es-ES"/>
        </w:rPr>
        <w:t>Secretario</w:t>
      </w:r>
      <w:r w:rsidR="00145D40" w:rsidRPr="00044471">
        <w:rPr>
          <w:rFonts w:ascii="Book Antiqua" w:eastAsia="Times New Roman" w:hAnsi="Book Antiqua" w:cs="Times New Roman"/>
          <w:bCs/>
          <w:sz w:val="24"/>
          <w:szCs w:val="24"/>
          <w:lang w:val="es-ES"/>
        </w:rPr>
        <w:t>,</w:t>
      </w:r>
      <w:r w:rsidR="00145D40">
        <w:rPr>
          <w:rFonts w:ascii="Book Antiqua" w:eastAsia="Times New Roman" w:hAnsi="Book Antiqua" w:cs="Times New Roman"/>
          <w:bCs/>
          <w:sz w:val="24"/>
          <w:szCs w:val="24"/>
          <w:lang w:val="es-ES"/>
        </w:rPr>
        <w:t xml:space="preserve"> Dr</w:t>
      </w:r>
      <w:r w:rsidR="00F26A91">
        <w:rPr>
          <w:rFonts w:ascii="Book Antiqua" w:eastAsia="Times New Roman" w:hAnsi="Book Antiqua" w:cs="Times New Roman"/>
          <w:bCs/>
          <w:sz w:val="24"/>
          <w:szCs w:val="24"/>
          <w:lang w:val="es-ES"/>
        </w:rPr>
        <w:t>.</w:t>
      </w:r>
      <w:r w:rsidR="00044471" w:rsidRPr="00044471">
        <w:rPr>
          <w:rFonts w:ascii="Book Antiqua" w:eastAsia="Times New Roman" w:hAnsi="Book Antiqua" w:cs="Times New Roman"/>
          <w:bCs/>
          <w:sz w:val="24"/>
          <w:szCs w:val="24"/>
          <w:lang w:val="es-ES"/>
        </w:rPr>
        <w:t xml:space="preserve"> </w:t>
      </w:r>
      <w:r w:rsidR="00952B1F">
        <w:rPr>
          <w:rFonts w:ascii="Book Antiqua" w:eastAsia="Times New Roman" w:hAnsi="Book Antiqua" w:cs="Times New Roman"/>
          <w:bCs/>
          <w:sz w:val="24"/>
          <w:szCs w:val="24"/>
          <w:lang w:val="es-ES"/>
        </w:rPr>
        <w:t>Victor Ramos Otero</w:t>
      </w:r>
      <w:r w:rsidR="00044471" w:rsidRPr="00044471">
        <w:rPr>
          <w:rFonts w:ascii="Book Antiqua" w:eastAsia="Times New Roman" w:hAnsi="Book Antiqua" w:cs="Times New Roman"/>
          <w:bCs/>
          <w:sz w:val="24"/>
          <w:szCs w:val="24"/>
          <w:lang w:val="es-ES"/>
        </w:rPr>
        <w:t xml:space="preserve">, </w:t>
      </w:r>
      <w:r w:rsidR="00044471" w:rsidRPr="00044471">
        <w:rPr>
          <w:rFonts w:ascii="Book Antiqua" w:eastAsia="Calibri" w:hAnsi="Book Antiqua" w:cs="Times New Roman"/>
          <w:kern w:val="2"/>
          <w:sz w:val="24"/>
          <w:szCs w:val="24"/>
          <w:lang w:val="es-ES"/>
          <w14:ligatures w14:val="standardContextual"/>
        </w:rPr>
        <w:t>expresándose a favor de la aprobación de la medida, sujeto a la incorporación de enmiendas</w:t>
      </w:r>
      <w:r w:rsidR="005C5687">
        <w:rPr>
          <w:rFonts w:ascii="Book Antiqua" w:eastAsia="Calibri" w:hAnsi="Book Antiqua" w:cs="Times New Roman"/>
          <w:kern w:val="2"/>
          <w:sz w:val="24"/>
          <w:szCs w:val="24"/>
          <w:lang w:val="es-ES"/>
          <w14:ligatures w14:val="standardContextual"/>
        </w:rPr>
        <w:t xml:space="preserve"> </w:t>
      </w:r>
      <w:r w:rsidR="00145D40">
        <w:rPr>
          <w:rFonts w:ascii="Book Antiqua" w:eastAsia="Calibri" w:hAnsi="Book Antiqua" w:cs="Times New Roman"/>
          <w:kern w:val="2"/>
          <w:sz w:val="24"/>
          <w:szCs w:val="24"/>
          <w:lang w:val="es-ES"/>
          <w14:ligatures w14:val="standardContextual"/>
        </w:rPr>
        <w:t>sugeridas.</w:t>
      </w:r>
    </w:p>
    <w:p w14:paraId="14F9858D" w14:textId="77777777" w:rsidR="009D428E" w:rsidRDefault="009D428E" w:rsidP="009D428E">
      <w:pPr>
        <w:spacing w:after="0" w:line="276" w:lineRule="auto"/>
        <w:jc w:val="both"/>
        <w:rPr>
          <w:rFonts w:ascii="Book Antiqua" w:eastAsia="Calibri" w:hAnsi="Book Antiqua" w:cs="Times New Roman"/>
          <w:kern w:val="2"/>
          <w:sz w:val="24"/>
          <w:szCs w:val="24"/>
          <w:lang w:val="es-ES"/>
          <w14:ligatures w14:val="standardContextual"/>
        </w:rPr>
      </w:pPr>
    </w:p>
    <w:p w14:paraId="51C12EC9" w14:textId="0DE22F3C" w:rsidR="0066653F" w:rsidRDefault="009D428E" w:rsidP="0066653F">
      <w:pPr>
        <w:spacing w:after="0" w:line="276" w:lineRule="auto"/>
        <w:jc w:val="both"/>
        <w:rPr>
          <w:rFonts w:ascii="Book Antiqua" w:eastAsia="Calibri" w:hAnsi="Book Antiqua" w:cs="Times New Roman"/>
          <w:kern w:val="2"/>
          <w:sz w:val="24"/>
          <w:szCs w:val="24"/>
          <w:lang w:val="es-PR"/>
          <w14:ligatures w14:val="standardContextual"/>
        </w:rPr>
      </w:pPr>
      <w:r>
        <w:rPr>
          <w:rFonts w:ascii="Book Antiqua" w:eastAsia="Times New Roman" w:hAnsi="Book Antiqua" w:cs="Times New Roman"/>
          <w:sz w:val="24"/>
          <w:szCs w:val="24"/>
          <w:lang w:val="es-PR"/>
        </w:rPr>
        <w:t xml:space="preserve">El Departamento de </w:t>
      </w:r>
      <w:r w:rsidR="0066653F">
        <w:rPr>
          <w:rFonts w:ascii="Book Antiqua" w:eastAsia="Times New Roman" w:hAnsi="Book Antiqua" w:cs="Times New Roman"/>
          <w:sz w:val="24"/>
          <w:szCs w:val="24"/>
          <w:lang w:val="es-PR"/>
        </w:rPr>
        <w:t>S</w:t>
      </w:r>
      <w:r>
        <w:rPr>
          <w:rFonts w:ascii="Book Antiqua" w:eastAsia="Times New Roman" w:hAnsi="Book Antiqua" w:cs="Times New Roman"/>
          <w:sz w:val="24"/>
          <w:szCs w:val="24"/>
          <w:lang w:val="es-PR"/>
        </w:rPr>
        <w:t>alud considera que l</w:t>
      </w:r>
      <w:r w:rsidR="000B39D2" w:rsidRPr="000B39D2">
        <w:rPr>
          <w:rFonts w:ascii="Book Antiqua" w:eastAsia="Times New Roman" w:hAnsi="Book Antiqua" w:cs="Times New Roman"/>
          <w:sz w:val="24"/>
          <w:szCs w:val="24"/>
          <w:lang w:val="es-PR"/>
        </w:rPr>
        <w:t>a aprobación del Proyecto del Senado 331 atiende los vacíos comprendidos en la ley actual, protegiendo los derechos de terceros y delimitando con precisión la información que puede y debe ser entregada a la ciudadanía y a la prensa.</w:t>
      </w:r>
      <w:r w:rsidR="0066653F">
        <w:rPr>
          <w:rFonts w:ascii="Book Antiqua" w:eastAsia="Times New Roman" w:hAnsi="Book Antiqua" w:cs="Times New Roman"/>
          <w:sz w:val="24"/>
          <w:szCs w:val="24"/>
          <w:lang w:val="es-PR"/>
        </w:rPr>
        <w:t xml:space="preserve"> Además</w:t>
      </w:r>
      <w:r w:rsidR="00DF673C">
        <w:rPr>
          <w:rFonts w:ascii="Book Antiqua" w:eastAsia="Times New Roman" w:hAnsi="Book Antiqua" w:cs="Times New Roman"/>
          <w:sz w:val="24"/>
          <w:szCs w:val="24"/>
          <w:lang w:val="es-PR"/>
        </w:rPr>
        <w:t xml:space="preserve">, esbozó </w:t>
      </w:r>
      <w:r w:rsidR="0066653F">
        <w:rPr>
          <w:rFonts w:ascii="Book Antiqua" w:eastAsia="Times New Roman" w:hAnsi="Book Antiqua" w:cs="Times New Roman"/>
          <w:sz w:val="24"/>
          <w:szCs w:val="24"/>
          <w:lang w:val="es-PR"/>
        </w:rPr>
        <w:t>que establecería</w:t>
      </w:r>
      <w:r w:rsidR="000B39D2" w:rsidRPr="000B39D2">
        <w:rPr>
          <w:rFonts w:ascii="Book Antiqua" w:eastAsia="Times New Roman" w:hAnsi="Book Antiqua" w:cs="Times New Roman"/>
          <w:sz w:val="24"/>
          <w:szCs w:val="24"/>
          <w:lang w:val="es-PR"/>
        </w:rPr>
        <w:t xml:space="preserve"> un balance entre el derecho reconocido de acceso a la información y la confidencialidad de información que puede ser considerada como sensitiva por los familiares de una persona difunta, o ser usada con fines no lícitos por personas inescrupulosas.</w:t>
      </w:r>
    </w:p>
    <w:p w14:paraId="7D9E8FAF" w14:textId="77777777" w:rsidR="0066653F" w:rsidRDefault="0066653F" w:rsidP="0066653F">
      <w:pPr>
        <w:spacing w:after="0" w:line="276" w:lineRule="auto"/>
        <w:jc w:val="both"/>
        <w:rPr>
          <w:rFonts w:ascii="Book Antiqua" w:eastAsia="Calibri" w:hAnsi="Book Antiqua" w:cs="Times New Roman"/>
          <w:kern w:val="2"/>
          <w:sz w:val="24"/>
          <w:szCs w:val="24"/>
          <w:lang w:val="es-PR"/>
          <w14:ligatures w14:val="standardContextual"/>
        </w:rPr>
      </w:pPr>
    </w:p>
    <w:p w14:paraId="4537C497" w14:textId="0F851953" w:rsidR="00A0468C" w:rsidRPr="0066653F" w:rsidRDefault="00DF673C" w:rsidP="0066653F">
      <w:pPr>
        <w:spacing w:after="0" w:line="276" w:lineRule="auto"/>
        <w:jc w:val="both"/>
        <w:rPr>
          <w:rFonts w:ascii="Book Antiqua" w:eastAsia="Calibri" w:hAnsi="Book Antiqua" w:cs="Times New Roman"/>
          <w:kern w:val="2"/>
          <w:sz w:val="24"/>
          <w:szCs w:val="24"/>
          <w:lang w:val="es-ES"/>
          <w14:ligatures w14:val="standardContextual"/>
        </w:rPr>
      </w:pPr>
      <w:r>
        <w:rPr>
          <w:rFonts w:ascii="Book Antiqua" w:eastAsia="Times New Roman" w:hAnsi="Book Antiqua" w:cs="Times New Roman"/>
          <w:sz w:val="24"/>
          <w:szCs w:val="24"/>
          <w:lang w:val="es-PR"/>
        </w:rPr>
        <w:t>Argumentó el Departamento que e</w:t>
      </w:r>
      <w:r w:rsidR="00F67530" w:rsidRPr="00F67530">
        <w:rPr>
          <w:rFonts w:ascii="Book Antiqua" w:eastAsia="Times New Roman" w:hAnsi="Book Antiqua" w:cs="Times New Roman"/>
          <w:sz w:val="24"/>
          <w:szCs w:val="24"/>
          <w:lang w:val="es-PR"/>
        </w:rPr>
        <w:t>s</w:t>
      </w:r>
      <w:r w:rsidR="00A0468C" w:rsidRPr="00A0468C">
        <w:rPr>
          <w:rFonts w:ascii="Book Antiqua" w:eastAsia="Times New Roman" w:hAnsi="Book Antiqua" w:cs="Times New Roman"/>
          <w:sz w:val="24"/>
          <w:szCs w:val="24"/>
          <w:lang w:val="es-PR"/>
        </w:rPr>
        <w:t xml:space="preserve"> fundamental ampliar de manera clara</w:t>
      </w:r>
      <w:r w:rsidR="00F67530" w:rsidRPr="00F67530">
        <w:rPr>
          <w:rFonts w:ascii="Book Antiqua" w:eastAsia="Times New Roman" w:hAnsi="Book Antiqua" w:cs="Times New Roman"/>
          <w:sz w:val="24"/>
          <w:szCs w:val="24"/>
          <w:lang w:val="es-PR"/>
        </w:rPr>
        <w:t xml:space="preserve"> de</w:t>
      </w:r>
      <w:r w:rsidR="00A0468C" w:rsidRPr="00A0468C">
        <w:rPr>
          <w:rFonts w:ascii="Book Antiqua" w:eastAsia="Times New Roman" w:hAnsi="Book Antiqua" w:cs="Times New Roman"/>
          <w:sz w:val="24"/>
          <w:szCs w:val="24"/>
          <w:lang w:val="es-PR"/>
        </w:rPr>
        <w:t xml:space="preserve"> quiénes deben ser considerados como partes interesadas. Por ejemplo, el Proyecto reconoce a los abuelos como tales, por lo que se entiende coherente y necesario incluir expresamente a los nietos dentro de esta definición, garantizando un trato recíproco entre generaciones y reflejando la realidad social puertorriqueña, donde los abuelos y nietos suelen asumir roles activos en el cuido mutuo. </w:t>
      </w:r>
      <w:r>
        <w:rPr>
          <w:rFonts w:ascii="Book Antiqua" w:eastAsia="Times New Roman" w:hAnsi="Book Antiqua" w:cs="Times New Roman"/>
          <w:sz w:val="24"/>
          <w:szCs w:val="24"/>
          <w:lang w:val="es-PR"/>
        </w:rPr>
        <w:t>Destacó, que a</w:t>
      </w:r>
      <w:r w:rsidR="00A0468C" w:rsidRPr="00A0468C">
        <w:rPr>
          <w:rFonts w:ascii="Book Antiqua" w:eastAsia="Times New Roman" w:hAnsi="Book Antiqua" w:cs="Times New Roman"/>
          <w:sz w:val="24"/>
          <w:szCs w:val="24"/>
          <w:lang w:val="es-PR"/>
        </w:rPr>
        <w:t xml:space="preserve">sí lo reconoció el Tribunal Supremo de Puerto Rico en </w:t>
      </w:r>
      <w:r w:rsidR="00A0468C" w:rsidRPr="00A0468C">
        <w:rPr>
          <w:rFonts w:ascii="Book Antiqua" w:eastAsia="Times New Roman" w:hAnsi="Book Antiqua" w:cs="Times New Roman"/>
          <w:i/>
          <w:iCs/>
          <w:sz w:val="24"/>
          <w:szCs w:val="24"/>
          <w:lang w:val="es-PR"/>
        </w:rPr>
        <w:t>Alonso v. Ramírez Acosta</w:t>
      </w:r>
      <w:r w:rsidR="00A0468C" w:rsidRPr="00A0468C">
        <w:rPr>
          <w:rFonts w:ascii="Book Antiqua" w:eastAsia="Times New Roman" w:hAnsi="Book Antiqua" w:cs="Times New Roman"/>
          <w:sz w:val="24"/>
          <w:szCs w:val="24"/>
          <w:lang w:val="es-PR"/>
        </w:rPr>
        <w:t>, 155 D.P.R. 91, 100, 101 (2001), al destacar el papel esencial de los abuelos en el desarrollo de sus nietos.</w:t>
      </w:r>
    </w:p>
    <w:p w14:paraId="36094767" w14:textId="77777777" w:rsidR="004928DD" w:rsidRDefault="004928DD" w:rsidP="00A0468C">
      <w:pPr>
        <w:spacing w:before="100" w:beforeAutospacing="1" w:after="100" w:afterAutospacing="1" w:line="240" w:lineRule="auto"/>
        <w:contextualSpacing/>
        <w:jc w:val="both"/>
        <w:rPr>
          <w:rFonts w:ascii="Book Antiqua" w:eastAsia="Times New Roman" w:hAnsi="Book Antiqua" w:cs="Times New Roman"/>
          <w:sz w:val="24"/>
          <w:szCs w:val="24"/>
          <w:lang w:val="es-PR"/>
        </w:rPr>
      </w:pPr>
    </w:p>
    <w:p w14:paraId="65E44549" w14:textId="77777777" w:rsidR="004928DD" w:rsidRPr="00A0468C" w:rsidRDefault="004928DD" w:rsidP="00A0468C">
      <w:pPr>
        <w:spacing w:before="100" w:beforeAutospacing="1" w:after="100" w:afterAutospacing="1" w:line="240" w:lineRule="auto"/>
        <w:contextualSpacing/>
        <w:jc w:val="both"/>
        <w:rPr>
          <w:rFonts w:ascii="Book Antiqua" w:eastAsia="Times New Roman" w:hAnsi="Book Antiqua" w:cs="Times New Roman"/>
          <w:sz w:val="24"/>
          <w:szCs w:val="24"/>
          <w:lang w:val="es-PR"/>
        </w:rPr>
      </w:pPr>
    </w:p>
    <w:p w14:paraId="0CB8D2E0" w14:textId="3206034D" w:rsidR="00044471" w:rsidRPr="00044471" w:rsidRDefault="00DF673C" w:rsidP="00044471">
      <w:pPr>
        <w:spacing w:after="0" w:line="276" w:lineRule="auto"/>
        <w:jc w:val="both"/>
        <w:rPr>
          <w:rFonts w:ascii="Book Antiqua" w:eastAsia="Calibri" w:hAnsi="Book Antiqua" w:cs="Times New Roman"/>
          <w:kern w:val="2"/>
          <w:sz w:val="24"/>
          <w:szCs w:val="24"/>
          <w:lang w:val="es-ES"/>
          <w14:ligatures w14:val="standardContextual"/>
        </w:rPr>
      </w:pPr>
      <w:r>
        <w:rPr>
          <w:rFonts w:ascii="Book Antiqua" w:eastAsia="Calibri" w:hAnsi="Book Antiqua" w:cs="Times New Roman"/>
          <w:kern w:val="2"/>
          <w:sz w:val="24"/>
          <w:szCs w:val="24"/>
          <w:lang w:val="es-ES"/>
          <w14:ligatures w14:val="standardContextual"/>
        </w:rPr>
        <w:lastRenderedPageBreak/>
        <w:t>Sugirió</w:t>
      </w:r>
      <w:r w:rsidR="00044471" w:rsidRPr="00044471">
        <w:rPr>
          <w:rFonts w:ascii="Book Antiqua" w:eastAsia="Calibri" w:hAnsi="Book Antiqua" w:cs="Times New Roman"/>
          <w:kern w:val="2"/>
          <w:sz w:val="24"/>
          <w:szCs w:val="24"/>
          <w:lang w:val="es-ES"/>
          <w14:ligatures w14:val="standardContextual"/>
        </w:rPr>
        <w:t xml:space="preserve"> </w:t>
      </w:r>
      <w:r>
        <w:rPr>
          <w:rFonts w:ascii="Book Antiqua" w:eastAsia="Calibri" w:hAnsi="Book Antiqua" w:cs="Times New Roman"/>
          <w:kern w:val="2"/>
          <w:sz w:val="24"/>
          <w:szCs w:val="24"/>
          <w:lang w:val="es-ES"/>
          <w14:ligatures w14:val="standardContextual"/>
        </w:rPr>
        <w:t xml:space="preserve">realizar </w:t>
      </w:r>
      <w:r w:rsidR="00044471" w:rsidRPr="00044471">
        <w:rPr>
          <w:rFonts w:ascii="Book Antiqua" w:eastAsia="Calibri" w:hAnsi="Book Antiqua" w:cs="Times New Roman"/>
          <w:kern w:val="2"/>
          <w:sz w:val="24"/>
          <w:szCs w:val="24"/>
          <w:lang w:val="es-ES"/>
          <w14:ligatures w14:val="standardContextual"/>
        </w:rPr>
        <w:t xml:space="preserve">las </w:t>
      </w:r>
      <w:r>
        <w:rPr>
          <w:rFonts w:ascii="Book Antiqua" w:eastAsia="Calibri" w:hAnsi="Book Antiqua" w:cs="Times New Roman"/>
          <w:kern w:val="2"/>
          <w:sz w:val="24"/>
          <w:szCs w:val="24"/>
          <w:lang w:val="es-ES"/>
          <w14:ligatures w14:val="standardContextual"/>
        </w:rPr>
        <w:t xml:space="preserve">siguientes </w:t>
      </w:r>
      <w:r w:rsidR="00044471" w:rsidRPr="00044471">
        <w:rPr>
          <w:rFonts w:ascii="Book Antiqua" w:eastAsia="Calibri" w:hAnsi="Book Antiqua" w:cs="Times New Roman"/>
          <w:kern w:val="2"/>
          <w:sz w:val="24"/>
          <w:szCs w:val="24"/>
          <w:lang w:val="es-ES"/>
          <w14:ligatures w14:val="standardContextual"/>
        </w:rPr>
        <w:t xml:space="preserve">enmiendas </w:t>
      </w:r>
      <w:r>
        <w:rPr>
          <w:rFonts w:ascii="Book Antiqua" w:eastAsia="Calibri" w:hAnsi="Book Antiqua" w:cs="Times New Roman"/>
          <w:kern w:val="2"/>
          <w:sz w:val="24"/>
          <w:szCs w:val="24"/>
          <w:lang w:val="es-ES"/>
          <w14:ligatures w14:val="standardContextual"/>
        </w:rPr>
        <w:t>a la pieza legislativa</w:t>
      </w:r>
      <w:r w:rsidR="00044471" w:rsidRPr="00044471">
        <w:rPr>
          <w:rFonts w:ascii="Book Antiqua" w:eastAsia="Calibri" w:hAnsi="Book Antiqua" w:cs="Times New Roman"/>
          <w:kern w:val="2"/>
          <w:sz w:val="24"/>
          <w:szCs w:val="24"/>
          <w:lang w:val="es-ES"/>
          <w14:ligatures w14:val="standardContextual"/>
        </w:rPr>
        <w:t>:</w:t>
      </w:r>
    </w:p>
    <w:bookmarkEnd w:id="1"/>
    <w:p w14:paraId="77BF63E9" w14:textId="77777777" w:rsidR="00044471" w:rsidRPr="00044471" w:rsidRDefault="00044471" w:rsidP="00044471">
      <w:pPr>
        <w:spacing w:after="0" w:line="276" w:lineRule="auto"/>
        <w:jc w:val="both"/>
        <w:rPr>
          <w:rFonts w:ascii="Book Antiqua" w:eastAsia="Calibri" w:hAnsi="Book Antiqua" w:cs="Times New Roman"/>
          <w:kern w:val="2"/>
          <w:sz w:val="24"/>
          <w:szCs w:val="24"/>
          <w:lang w:val="es-ES"/>
          <w14:ligatures w14:val="standardContextual"/>
        </w:rPr>
      </w:pPr>
    </w:p>
    <w:p w14:paraId="4B6BEF3F" w14:textId="77777777" w:rsidR="0007703B" w:rsidRPr="00E63910" w:rsidRDefault="0007703B" w:rsidP="0007703B">
      <w:pPr>
        <w:numPr>
          <w:ilvl w:val="0"/>
          <w:numId w:val="8"/>
        </w:numPr>
        <w:spacing w:line="240" w:lineRule="auto"/>
        <w:contextualSpacing/>
        <w:jc w:val="both"/>
        <w:rPr>
          <w:rFonts w:ascii="Book Antiqua" w:eastAsia="Times New Roman" w:hAnsi="Book Antiqua" w:cs="Times New Roman"/>
          <w:sz w:val="24"/>
          <w:szCs w:val="24"/>
          <w:lang w:val="es-PR"/>
        </w:rPr>
      </w:pPr>
      <w:r w:rsidRPr="00E63910">
        <w:rPr>
          <w:rFonts w:ascii="Book Antiqua" w:eastAsia="Times New Roman" w:hAnsi="Book Antiqua" w:cs="Times New Roman"/>
          <w:b/>
          <w:bCs/>
          <w:sz w:val="24"/>
          <w:szCs w:val="24"/>
          <w:lang w:val="es-PR"/>
        </w:rPr>
        <w:t>Página 1 en el Título del proyecto</w:t>
      </w:r>
      <w:r w:rsidRPr="00E63910">
        <w:rPr>
          <w:rFonts w:ascii="Book Antiqua" w:eastAsia="Times New Roman" w:hAnsi="Book Antiqua" w:cs="Times New Roman"/>
          <w:sz w:val="24"/>
          <w:szCs w:val="24"/>
          <w:lang w:val="es-PR"/>
        </w:rPr>
        <w:t xml:space="preserve"> </w:t>
      </w:r>
      <w:r w:rsidRPr="00E63910">
        <w:rPr>
          <w:rFonts w:ascii="Book Antiqua" w:eastAsia="Times New Roman" w:hAnsi="Book Antiqua" w:cs="Times New Roman"/>
          <w:b/>
          <w:bCs/>
          <w:sz w:val="24"/>
          <w:szCs w:val="24"/>
          <w:lang w:val="es-PR"/>
        </w:rPr>
        <w:t xml:space="preserve">– </w:t>
      </w:r>
      <w:r w:rsidRPr="00E63910">
        <w:rPr>
          <w:rFonts w:ascii="Book Antiqua" w:eastAsia="Times New Roman" w:hAnsi="Book Antiqua" w:cs="Times New Roman"/>
          <w:sz w:val="24"/>
          <w:szCs w:val="24"/>
          <w:lang w:val="es-PR"/>
        </w:rPr>
        <w:t>en la frase “(…) todos los certificados expedidos por el Registro Demográfico; (…)”, recomendamos sustituir la palabra</w:t>
      </w:r>
      <w:r w:rsidRPr="00E63910">
        <w:rPr>
          <w:rFonts w:ascii="Book Antiqua" w:eastAsia="Times New Roman" w:hAnsi="Book Antiqua" w:cs="Times New Roman"/>
          <w:b/>
          <w:bCs/>
          <w:sz w:val="24"/>
          <w:szCs w:val="24"/>
          <w:lang w:val="es-PR"/>
        </w:rPr>
        <w:t xml:space="preserve"> [expedidos] </w:t>
      </w:r>
      <w:r w:rsidRPr="00E63910">
        <w:rPr>
          <w:rFonts w:ascii="Book Antiqua" w:eastAsia="Times New Roman" w:hAnsi="Book Antiqua" w:cs="Times New Roman"/>
          <w:sz w:val="24"/>
          <w:szCs w:val="24"/>
          <w:lang w:val="es-PR"/>
        </w:rPr>
        <w:t>por “</w:t>
      </w:r>
      <w:r w:rsidRPr="00E63910">
        <w:rPr>
          <w:rFonts w:ascii="Book Antiqua" w:eastAsia="Times New Roman" w:hAnsi="Book Antiqua" w:cs="Times New Roman"/>
          <w:i/>
          <w:iCs/>
          <w:sz w:val="24"/>
          <w:szCs w:val="24"/>
          <w:u w:val="single"/>
          <w:lang w:val="es-PR"/>
        </w:rPr>
        <w:t>registrados</w:t>
      </w:r>
      <w:r w:rsidRPr="00E63910">
        <w:rPr>
          <w:rFonts w:ascii="Book Antiqua" w:eastAsia="Times New Roman" w:hAnsi="Book Antiqua" w:cs="Times New Roman"/>
          <w:sz w:val="24"/>
          <w:szCs w:val="24"/>
          <w:lang w:val="es-PR"/>
        </w:rPr>
        <w:t>”. Esta corrección es necesaria, ya que no todos los certificados son expedidos, aunque sí todos están registrados. El término “registrados” es más preciso y abarcador dentro del contexto legal del Registro Demográfico.</w:t>
      </w:r>
    </w:p>
    <w:p w14:paraId="06C62BE4" w14:textId="77777777" w:rsidR="0007703B" w:rsidRPr="00E63910" w:rsidRDefault="0007703B" w:rsidP="0007703B">
      <w:pPr>
        <w:spacing w:after="0" w:line="240" w:lineRule="auto"/>
        <w:ind w:left="720"/>
        <w:contextualSpacing/>
        <w:jc w:val="both"/>
        <w:rPr>
          <w:rFonts w:ascii="Book Antiqua" w:eastAsia="Times New Roman" w:hAnsi="Book Antiqua" w:cs="Times New Roman"/>
          <w:sz w:val="24"/>
          <w:szCs w:val="24"/>
          <w:lang w:val="es-PR"/>
        </w:rPr>
      </w:pPr>
    </w:p>
    <w:p w14:paraId="7B8E81CC" w14:textId="77777777" w:rsidR="0007703B" w:rsidRPr="00E63910" w:rsidRDefault="0007703B" w:rsidP="0007703B">
      <w:pPr>
        <w:numPr>
          <w:ilvl w:val="0"/>
          <w:numId w:val="8"/>
        </w:numPr>
        <w:spacing w:before="100" w:beforeAutospacing="1" w:after="100" w:afterAutospacing="1" w:line="240" w:lineRule="auto"/>
        <w:contextualSpacing/>
        <w:jc w:val="both"/>
        <w:rPr>
          <w:rFonts w:ascii="Book Antiqua" w:eastAsia="Times New Roman" w:hAnsi="Book Antiqua" w:cs="Times New Roman"/>
          <w:sz w:val="24"/>
          <w:szCs w:val="24"/>
          <w:lang w:val="es-PR"/>
        </w:rPr>
      </w:pPr>
      <w:r w:rsidRPr="00E63910">
        <w:rPr>
          <w:rFonts w:ascii="Book Antiqua" w:eastAsia="Times New Roman" w:hAnsi="Book Antiqua" w:cs="Times New Roman"/>
          <w:b/>
          <w:bCs/>
          <w:sz w:val="24"/>
          <w:szCs w:val="24"/>
          <w:lang w:val="es-PR"/>
        </w:rPr>
        <w:t>Página 6, línea 3</w:t>
      </w:r>
      <w:r w:rsidRPr="00E63910">
        <w:rPr>
          <w:rFonts w:ascii="Book Antiqua" w:eastAsia="Times New Roman" w:hAnsi="Book Antiqua" w:cs="Times New Roman"/>
          <w:sz w:val="24"/>
          <w:szCs w:val="24"/>
          <w:lang w:val="es-PR"/>
        </w:rPr>
        <w:t xml:space="preserve"> – Añadir la palabra “</w:t>
      </w:r>
      <w:r w:rsidRPr="00E63910">
        <w:rPr>
          <w:rFonts w:ascii="Book Antiqua" w:eastAsia="Times New Roman" w:hAnsi="Book Antiqua" w:cs="Times New Roman"/>
          <w:i/>
          <w:iCs/>
          <w:sz w:val="24"/>
          <w:szCs w:val="24"/>
          <w:u w:val="single"/>
          <w:lang w:val="es-PR"/>
        </w:rPr>
        <w:t>nietos</w:t>
      </w:r>
      <w:r w:rsidRPr="00E63910">
        <w:rPr>
          <w:rFonts w:ascii="Book Antiqua" w:eastAsia="Times New Roman" w:hAnsi="Book Antiqua" w:cs="Times New Roman"/>
          <w:sz w:val="24"/>
          <w:szCs w:val="24"/>
          <w:lang w:val="es-PR"/>
        </w:rPr>
        <w:t>” junto a “hijos”, para reflejar la reciprocidad generacional en el reconocimiento como parte interesada, garantizando coherencia con la inclusión de los abuelos en el texto.</w:t>
      </w:r>
    </w:p>
    <w:p w14:paraId="25166340" w14:textId="77777777" w:rsidR="0007703B" w:rsidRPr="00E63910" w:rsidRDefault="0007703B" w:rsidP="0007703B">
      <w:pPr>
        <w:spacing w:before="100" w:beforeAutospacing="1" w:after="100" w:afterAutospacing="1" w:line="240" w:lineRule="auto"/>
        <w:contextualSpacing/>
        <w:jc w:val="both"/>
        <w:rPr>
          <w:rFonts w:ascii="Book Antiqua" w:eastAsia="Times New Roman" w:hAnsi="Book Antiqua" w:cs="Times New Roman"/>
          <w:sz w:val="24"/>
          <w:szCs w:val="24"/>
          <w:lang w:val="es-PR"/>
        </w:rPr>
      </w:pPr>
    </w:p>
    <w:p w14:paraId="66EA56B4" w14:textId="77777777" w:rsidR="0007703B" w:rsidRPr="00E63910" w:rsidRDefault="0007703B" w:rsidP="0007703B">
      <w:pPr>
        <w:numPr>
          <w:ilvl w:val="0"/>
          <w:numId w:val="8"/>
        </w:numPr>
        <w:spacing w:before="100" w:beforeAutospacing="1" w:after="100" w:afterAutospacing="1" w:line="240" w:lineRule="auto"/>
        <w:contextualSpacing/>
        <w:rPr>
          <w:rFonts w:ascii="Book Antiqua" w:eastAsia="Times New Roman" w:hAnsi="Book Antiqua" w:cs="Times New Roman"/>
          <w:sz w:val="24"/>
          <w:szCs w:val="24"/>
          <w:lang w:val="es-PR"/>
        </w:rPr>
      </w:pPr>
      <w:r w:rsidRPr="00E63910">
        <w:rPr>
          <w:rFonts w:ascii="Book Antiqua" w:eastAsia="Times New Roman" w:hAnsi="Book Antiqua" w:cs="Times New Roman"/>
          <w:b/>
          <w:bCs/>
          <w:sz w:val="24"/>
          <w:szCs w:val="24"/>
          <w:lang w:val="es-PR"/>
        </w:rPr>
        <w:t>Página 6, línea 5</w:t>
      </w:r>
      <w:r w:rsidRPr="00E63910">
        <w:rPr>
          <w:rFonts w:ascii="Book Antiqua" w:eastAsia="Times New Roman" w:hAnsi="Book Antiqua" w:cs="Times New Roman"/>
          <w:sz w:val="24"/>
          <w:szCs w:val="24"/>
          <w:lang w:val="es-PR"/>
        </w:rPr>
        <w:t xml:space="preserve"> – Eliminar la frase </w:t>
      </w:r>
      <w:r w:rsidRPr="00E63910">
        <w:rPr>
          <w:rFonts w:ascii="Book Antiqua" w:eastAsia="Times New Roman" w:hAnsi="Book Antiqua" w:cs="Times New Roman"/>
          <w:b/>
          <w:bCs/>
          <w:sz w:val="24"/>
          <w:szCs w:val="24"/>
          <w:lang w:val="es-PR"/>
        </w:rPr>
        <w:t>[de este haber fallecido]</w:t>
      </w:r>
      <w:r w:rsidRPr="00E63910">
        <w:rPr>
          <w:rFonts w:ascii="Book Antiqua" w:eastAsia="Times New Roman" w:hAnsi="Book Antiqua" w:cs="Times New Roman"/>
          <w:sz w:val="24"/>
          <w:szCs w:val="24"/>
          <w:lang w:val="es-PR"/>
        </w:rPr>
        <w:t xml:space="preserve"> luego de “</w:t>
      </w:r>
      <w:r w:rsidRPr="00E63910">
        <w:rPr>
          <w:rFonts w:ascii="Book Antiqua" w:eastAsia="Times New Roman" w:hAnsi="Book Antiqua" w:cs="Times New Roman"/>
          <w:i/>
          <w:iCs/>
          <w:sz w:val="24"/>
          <w:szCs w:val="24"/>
          <w:lang w:val="es-PR"/>
        </w:rPr>
        <w:t>herederos</w:t>
      </w:r>
      <w:r w:rsidRPr="00E63910">
        <w:rPr>
          <w:rFonts w:ascii="Book Antiqua" w:eastAsia="Times New Roman" w:hAnsi="Book Antiqua" w:cs="Times New Roman"/>
          <w:sz w:val="24"/>
          <w:szCs w:val="24"/>
          <w:lang w:val="es-PR"/>
        </w:rPr>
        <w:t>”, por ser redundante. El derecho hereditario solo surge con la muerte del causante.</w:t>
      </w:r>
    </w:p>
    <w:p w14:paraId="470D2A08" w14:textId="77777777" w:rsidR="0007703B" w:rsidRPr="00E63910" w:rsidRDefault="0007703B" w:rsidP="0007703B">
      <w:pPr>
        <w:spacing w:before="100" w:beforeAutospacing="1" w:after="100" w:afterAutospacing="1" w:line="240" w:lineRule="auto"/>
        <w:contextualSpacing/>
        <w:rPr>
          <w:rFonts w:ascii="Book Antiqua" w:eastAsia="Times New Roman" w:hAnsi="Book Antiqua" w:cs="Times New Roman"/>
          <w:sz w:val="24"/>
          <w:szCs w:val="24"/>
          <w:lang w:val="es-PR"/>
        </w:rPr>
      </w:pPr>
    </w:p>
    <w:p w14:paraId="5F124B4C" w14:textId="77777777" w:rsidR="0007703B" w:rsidRPr="00E63910" w:rsidRDefault="0007703B" w:rsidP="0007703B">
      <w:pPr>
        <w:numPr>
          <w:ilvl w:val="0"/>
          <w:numId w:val="8"/>
        </w:numPr>
        <w:spacing w:before="100" w:beforeAutospacing="1" w:after="100" w:afterAutospacing="1" w:line="240" w:lineRule="auto"/>
        <w:contextualSpacing/>
        <w:rPr>
          <w:rFonts w:ascii="Book Antiqua" w:eastAsia="Times New Roman" w:hAnsi="Book Antiqua" w:cs="Times New Roman"/>
          <w:sz w:val="24"/>
          <w:szCs w:val="24"/>
          <w:lang w:val="es-PR"/>
        </w:rPr>
      </w:pPr>
      <w:r w:rsidRPr="00E63910">
        <w:rPr>
          <w:rFonts w:ascii="Book Antiqua" w:eastAsia="Times New Roman" w:hAnsi="Book Antiqua" w:cs="Times New Roman"/>
          <w:b/>
          <w:bCs/>
          <w:sz w:val="24"/>
          <w:szCs w:val="24"/>
          <w:lang w:val="es-PR"/>
        </w:rPr>
        <w:t>Página 6, línea 10</w:t>
      </w:r>
      <w:r w:rsidRPr="00E63910">
        <w:rPr>
          <w:rFonts w:ascii="Book Antiqua" w:eastAsia="Times New Roman" w:hAnsi="Book Antiqua" w:cs="Times New Roman"/>
          <w:sz w:val="24"/>
          <w:szCs w:val="24"/>
          <w:lang w:val="es-PR"/>
        </w:rPr>
        <w:t xml:space="preserve"> – Luego de “</w:t>
      </w:r>
      <w:r w:rsidRPr="00E63910">
        <w:rPr>
          <w:rFonts w:ascii="Book Antiqua" w:eastAsia="Times New Roman" w:hAnsi="Book Antiqua" w:cs="Times New Roman"/>
          <w:i/>
          <w:iCs/>
          <w:sz w:val="24"/>
          <w:szCs w:val="24"/>
          <w:lang w:val="es-PR"/>
        </w:rPr>
        <w:t>derechos reales</w:t>
      </w:r>
      <w:r w:rsidRPr="00E63910">
        <w:rPr>
          <w:rFonts w:ascii="Book Antiqua" w:eastAsia="Times New Roman" w:hAnsi="Book Antiqua" w:cs="Times New Roman"/>
          <w:sz w:val="24"/>
          <w:szCs w:val="24"/>
          <w:lang w:val="es-PR"/>
        </w:rPr>
        <w:t xml:space="preserve">”, añadir: </w:t>
      </w:r>
      <w:r w:rsidRPr="00E63910">
        <w:rPr>
          <w:rFonts w:ascii="Book Antiqua" w:eastAsia="Times New Roman" w:hAnsi="Book Antiqua" w:cs="Times New Roman"/>
          <w:b/>
          <w:bCs/>
          <w:sz w:val="24"/>
          <w:szCs w:val="24"/>
          <w:lang w:val="es-PR"/>
        </w:rPr>
        <w:t>“</w:t>
      </w:r>
      <w:r w:rsidRPr="00E63910">
        <w:rPr>
          <w:rFonts w:ascii="Book Antiqua" w:eastAsia="Times New Roman" w:hAnsi="Book Antiqua" w:cs="Times New Roman"/>
          <w:i/>
          <w:iCs/>
          <w:sz w:val="24"/>
          <w:szCs w:val="24"/>
          <w:u w:val="single"/>
          <w:lang w:val="es-PR"/>
        </w:rPr>
        <w:t>o Procedimientos Ex Parte que involucren anotaciones en el Registro Demográfico</w:t>
      </w:r>
      <w:r w:rsidRPr="00E63910">
        <w:rPr>
          <w:rFonts w:ascii="Book Antiqua" w:eastAsia="Times New Roman" w:hAnsi="Book Antiqua" w:cs="Times New Roman"/>
          <w:b/>
          <w:bCs/>
          <w:sz w:val="24"/>
          <w:szCs w:val="24"/>
          <w:lang w:val="es-PR"/>
        </w:rPr>
        <w:t>”</w:t>
      </w:r>
      <w:r w:rsidRPr="00E63910">
        <w:rPr>
          <w:rFonts w:ascii="Book Antiqua" w:eastAsia="Times New Roman" w:hAnsi="Book Antiqua" w:cs="Times New Roman"/>
          <w:sz w:val="24"/>
          <w:szCs w:val="24"/>
          <w:lang w:val="es-PR"/>
        </w:rPr>
        <w:t>, como los cambios de nombre, correcciones de actas y otros procedimientos judiciales que requieren la verificación de los datos registrales.</w:t>
      </w:r>
    </w:p>
    <w:p w14:paraId="5BDF8D02" w14:textId="77777777" w:rsidR="0007703B" w:rsidRPr="00E63910" w:rsidRDefault="0007703B" w:rsidP="0007703B">
      <w:pPr>
        <w:spacing w:before="100" w:beforeAutospacing="1" w:after="100" w:afterAutospacing="1" w:line="240" w:lineRule="auto"/>
        <w:contextualSpacing/>
        <w:rPr>
          <w:rFonts w:ascii="Book Antiqua" w:eastAsia="Times New Roman" w:hAnsi="Book Antiqua" w:cs="Times New Roman"/>
          <w:sz w:val="24"/>
          <w:szCs w:val="24"/>
          <w:lang w:val="es-PR"/>
        </w:rPr>
      </w:pPr>
    </w:p>
    <w:p w14:paraId="2A315CDF" w14:textId="77777777" w:rsidR="0007703B" w:rsidRPr="00E63910" w:rsidRDefault="0007703B" w:rsidP="0007703B">
      <w:pPr>
        <w:numPr>
          <w:ilvl w:val="0"/>
          <w:numId w:val="8"/>
        </w:numPr>
        <w:spacing w:before="100" w:beforeAutospacing="1" w:after="100" w:afterAutospacing="1" w:line="240" w:lineRule="auto"/>
        <w:contextualSpacing/>
        <w:jc w:val="both"/>
        <w:rPr>
          <w:rFonts w:ascii="Book Antiqua" w:eastAsia="Times New Roman" w:hAnsi="Book Antiqua" w:cs="Times New Roman"/>
          <w:sz w:val="24"/>
          <w:szCs w:val="24"/>
          <w:lang w:val="es-PR"/>
        </w:rPr>
      </w:pPr>
      <w:r w:rsidRPr="00E63910">
        <w:rPr>
          <w:rFonts w:ascii="Book Antiqua" w:eastAsia="Times New Roman" w:hAnsi="Book Antiqua" w:cs="Times New Roman"/>
          <w:b/>
          <w:bCs/>
          <w:sz w:val="24"/>
          <w:szCs w:val="24"/>
          <w:lang w:val="es-PR"/>
        </w:rPr>
        <w:t xml:space="preserve">Página 7, línea 18 </w:t>
      </w:r>
      <w:r w:rsidRPr="00E63910">
        <w:rPr>
          <w:rFonts w:ascii="Book Antiqua" w:eastAsia="Times New Roman" w:hAnsi="Book Antiqua" w:cs="Times New Roman"/>
          <w:sz w:val="24"/>
          <w:szCs w:val="24"/>
          <w:lang w:val="es-PR"/>
        </w:rPr>
        <w:t>(</w:t>
      </w:r>
      <w:r w:rsidRPr="00E63910">
        <w:rPr>
          <w:rFonts w:ascii="Book Antiqua" w:eastAsia="Times New Roman" w:hAnsi="Book Antiqua" w:cs="Times New Roman"/>
          <w:b/>
          <w:bCs/>
          <w:sz w:val="24"/>
          <w:szCs w:val="24"/>
          <w:lang w:val="es-PR"/>
        </w:rPr>
        <w:t xml:space="preserve">Artículo 38, inciso J)– </w:t>
      </w:r>
      <w:r w:rsidRPr="00E63910">
        <w:rPr>
          <w:rFonts w:ascii="Book Antiqua" w:eastAsia="Times New Roman" w:hAnsi="Book Antiqua" w:cs="Times New Roman"/>
          <w:sz w:val="24"/>
          <w:szCs w:val="24"/>
          <w:lang w:val="es-PR"/>
        </w:rPr>
        <w:t xml:space="preserve">Enmendar la frase </w:t>
      </w:r>
      <w:r w:rsidRPr="00E63910">
        <w:rPr>
          <w:rFonts w:ascii="Book Antiqua" w:eastAsia="Times New Roman" w:hAnsi="Book Antiqua" w:cs="Times New Roman"/>
          <w:i/>
          <w:iCs/>
          <w:sz w:val="24"/>
          <w:szCs w:val="24"/>
          <w:lang w:val="es-PR"/>
        </w:rPr>
        <w:t>“más allá de la excepción establecida en el inciso A de este Artículo”</w:t>
      </w:r>
      <w:r w:rsidRPr="00E63910">
        <w:rPr>
          <w:rFonts w:ascii="Book Antiqua" w:eastAsia="Times New Roman" w:hAnsi="Book Antiqua" w:cs="Times New Roman"/>
          <w:sz w:val="24"/>
          <w:szCs w:val="24"/>
          <w:lang w:val="es-PR"/>
        </w:rPr>
        <w:t xml:space="preserve"> para que lea como sigue: </w:t>
      </w:r>
      <w:r w:rsidRPr="00E63910">
        <w:rPr>
          <w:rFonts w:ascii="Book Antiqua" w:eastAsia="Times New Roman" w:hAnsi="Book Antiqua" w:cs="Times New Roman"/>
          <w:i/>
          <w:iCs/>
          <w:sz w:val="24"/>
          <w:szCs w:val="24"/>
          <w:u w:val="single"/>
          <w:lang w:val="es-PR"/>
        </w:rPr>
        <w:t>“más allá de las excepciones establecidas en los incisos A y B de este Artículo”</w:t>
      </w:r>
      <w:r w:rsidRPr="00E63910">
        <w:rPr>
          <w:rFonts w:ascii="Book Antiqua" w:eastAsia="Times New Roman" w:hAnsi="Book Antiqua" w:cs="Times New Roman"/>
          <w:sz w:val="24"/>
          <w:szCs w:val="24"/>
          <w:lang w:val="es-PR"/>
        </w:rPr>
        <w:t>. Este cambio es esencial, ya que el inciso B del Artículo 38 permite expresamente que las agencias del Gobierno Federal o Estatal, incluyendo los tribunales, puedan obtener transcripciones electrónicas de todos los certificados registrados (nacimiento, matrimonio y defunción) libre de derechos y sin gastos para el Gobierno de Puerto Rico, siempre que se utilicen para fines oficiales. Este mecanismo de acceso, vigente en el ordenamiento, es fundamental para mantener operativos los acuerdos colaborativos entre el Departamento de Salud y diversas entidades gubernamentales. Omitir su reconocimiento podría invalidar solicitudes de las distintas agencias, incluyendo al Ministerio Público, y por ende, obstaculizar gestiones judiciales o de política pública.</w:t>
      </w:r>
    </w:p>
    <w:p w14:paraId="42C49401" w14:textId="77777777" w:rsidR="0007703B" w:rsidRPr="00E63910" w:rsidRDefault="0007703B" w:rsidP="0007703B">
      <w:pPr>
        <w:spacing w:before="100" w:beforeAutospacing="1" w:after="100" w:afterAutospacing="1" w:line="240" w:lineRule="auto"/>
        <w:contextualSpacing/>
        <w:jc w:val="both"/>
        <w:rPr>
          <w:rFonts w:ascii="Book Antiqua" w:eastAsia="Times New Roman" w:hAnsi="Book Antiqua" w:cs="Times New Roman"/>
          <w:sz w:val="24"/>
          <w:szCs w:val="24"/>
          <w:lang w:val="es-PR"/>
        </w:rPr>
      </w:pPr>
    </w:p>
    <w:p w14:paraId="0A6EBEA9" w14:textId="77777777" w:rsidR="0007703B" w:rsidRPr="00E63910" w:rsidRDefault="0007703B" w:rsidP="0007703B">
      <w:pPr>
        <w:numPr>
          <w:ilvl w:val="0"/>
          <w:numId w:val="8"/>
        </w:numPr>
        <w:spacing w:before="100" w:beforeAutospacing="1" w:after="100" w:afterAutospacing="1" w:line="240" w:lineRule="auto"/>
        <w:contextualSpacing/>
        <w:jc w:val="both"/>
        <w:rPr>
          <w:rFonts w:ascii="Book Antiqua" w:eastAsia="Times New Roman" w:hAnsi="Book Antiqua" w:cs="Times New Roman"/>
          <w:sz w:val="24"/>
          <w:szCs w:val="24"/>
          <w:lang w:val="es-PR"/>
        </w:rPr>
      </w:pPr>
      <w:r w:rsidRPr="00E63910">
        <w:rPr>
          <w:rFonts w:ascii="Book Antiqua" w:eastAsia="Times New Roman" w:hAnsi="Book Antiqua" w:cs="Times New Roman"/>
          <w:b/>
          <w:bCs/>
          <w:sz w:val="24"/>
          <w:szCs w:val="24"/>
          <w:lang w:val="es-PR"/>
        </w:rPr>
        <w:t xml:space="preserve">Página 7, línea 18 </w:t>
      </w:r>
      <w:bookmarkStart w:id="2" w:name="_Hlk193994083"/>
      <w:r w:rsidRPr="00E63910">
        <w:rPr>
          <w:rFonts w:ascii="Book Antiqua" w:eastAsia="Times New Roman" w:hAnsi="Book Antiqua" w:cs="Times New Roman"/>
          <w:b/>
          <w:bCs/>
          <w:sz w:val="24"/>
          <w:szCs w:val="24"/>
          <w:lang w:val="es-PR"/>
        </w:rPr>
        <w:t>(Artículo 38, inciso J)</w:t>
      </w:r>
      <w:r w:rsidRPr="00E63910">
        <w:rPr>
          <w:rFonts w:ascii="Book Antiqua" w:eastAsia="Times New Roman" w:hAnsi="Book Antiqua" w:cs="Times New Roman"/>
          <w:sz w:val="24"/>
          <w:szCs w:val="24"/>
          <w:lang w:val="es-PR"/>
        </w:rPr>
        <w:t xml:space="preserve"> </w:t>
      </w:r>
      <w:bookmarkEnd w:id="2"/>
      <w:r w:rsidRPr="00E63910">
        <w:rPr>
          <w:rFonts w:ascii="Book Antiqua" w:eastAsia="Times New Roman" w:hAnsi="Book Antiqua" w:cs="Times New Roman"/>
          <w:sz w:val="24"/>
          <w:szCs w:val="24"/>
          <w:lang w:val="es-PR"/>
        </w:rPr>
        <w:t xml:space="preserve">– Considerar añadir, luego de la oración que indica: </w:t>
      </w:r>
      <w:r w:rsidRPr="00E63910">
        <w:rPr>
          <w:rFonts w:ascii="Book Antiqua" w:eastAsia="Times New Roman" w:hAnsi="Book Antiqua" w:cs="Times New Roman"/>
          <w:i/>
          <w:iCs/>
          <w:sz w:val="24"/>
          <w:szCs w:val="24"/>
          <w:lang w:val="es-PR"/>
        </w:rPr>
        <w:t>“No podrá ser entregada a terceros, más allá de las excepciones...”</w:t>
      </w:r>
      <w:r w:rsidRPr="00E63910">
        <w:rPr>
          <w:rFonts w:ascii="Book Antiqua" w:eastAsia="Times New Roman" w:hAnsi="Book Antiqua" w:cs="Times New Roman"/>
          <w:sz w:val="24"/>
          <w:szCs w:val="24"/>
          <w:lang w:val="es-PR"/>
        </w:rPr>
        <w:t xml:space="preserve">, un lenguaje que aclare que el término “entrega” incluye tanto la entrega de certificados registrados como el acceso a bases de datos completos, en aquellos casos en que una orden judicial así lo requiera. Esta precisión evitará interpretaciones restrictivas y garantizará que las disposiciones del proyecto </w:t>
      </w:r>
      <w:r w:rsidRPr="00E63910">
        <w:rPr>
          <w:rFonts w:ascii="Book Antiqua" w:eastAsia="Times New Roman" w:hAnsi="Book Antiqua" w:cs="Times New Roman"/>
          <w:sz w:val="24"/>
          <w:szCs w:val="24"/>
          <w:lang w:val="es-PR"/>
        </w:rPr>
        <w:lastRenderedPageBreak/>
        <w:t>cubran adecuadamente los diferentes formatos de información custodiados por el Registro Demográfico.</w:t>
      </w:r>
    </w:p>
    <w:p w14:paraId="55951A22" w14:textId="77777777" w:rsidR="0007703B" w:rsidRDefault="0007703B" w:rsidP="0007703B">
      <w:pPr>
        <w:spacing w:line="240" w:lineRule="auto"/>
        <w:contextualSpacing/>
        <w:rPr>
          <w:rFonts w:ascii="Times New Roman" w:eastAsia="Times New Roman" w:hAnsi="Times New Roman" w:cs="Times New Roman"/>
          <w:noProof/>
          <w:sz w:val="24"/>
          <w:szCs w:val="24"/>
          <w:lang w:val="es-PR"/>
        </w:rPr>
      </w:pPr>
    </w:p>
    <w:p w14:paraId="7BE7E8E0" w14:textId="77777777" w:rsidR="0028201F" w:rsidRDefault="0028201F" w:rsidP="0007703B">
      <w:pPr>
        <w:spacing w:line="240" w:lineRule="auto"/>
        <w:contextualSpacing/>
        <w:rPr>
          <w:rFonts w:ascii="Times New Roman" w:eastAsia="Times New Roman" w:hAnsi="Times New Roman" w:cs="Times New Roman"/>
          <w:noProof/>
          <w:sz w:val="24"/>
          <w:szCs w:val="24"/>
          <w:lang w:val="es-PR"/>
        </w:rPr>
      </w:pPr>
    </w:p>
    <w:p w14:paraId="7A64265B" w14:textId="2992F012" w:rsidR="0028201F" w:rsidRPr="00F67089" w:rsidRDefault="00936D96" w:rsidP="00936D96">
      <w:pPr>
        <w:spacing w:line="240" w:lineRule="auto"/>
        <w:contextualSpacing/>
        <w:jc w:val="center"/>
        <w:rPr>
          <w:rFonts w:ascii="Times New Roman" w:eastAsia="Times New Roman" w:hAnsi="Times New Roman" w:cs="Times New Roman"/>
          <w:b/>
          <w:bCs/>
          <w:noProof/>
          <w:sz w:val="24"/>
          <w:szCs w:val="24"/>
          <w:lang w:val="es-PR"/>
        </w:rPr>
      </w:pPr>
      <w:r w:rsidRPr="00F67089">
        <w:rPr>
          <w:rFonts w:ascii="Times New Roman" w:eastAsia="Times New Roman" w:hAnsi="Times New Roman" w:cs="Times New Roman"/>
          <w:b/>
          <w:bCs/>
          <w:noProof/>
          <w:sz w:val="24"/>
          <w:szCs w:val="24"/>
          <w:lang w:val="es-PR"/>
        </w:rPr>
        <w:t>ADMINISTRACI</w:t>
      </w:r>
      <w:r w:rsidR="008443FA" w:rsidRPr="00F67089">
        <w:rPr>
          <w:rFonts w:ascii="Times New Roman" w:eastAsia="Times New Roman" w:hAnsi="Times New Roman" w:cs="Times New Roman"/>
          <w:b/>
          <w:bCs/>
          <w:noProof/>
          <w:sz w:val="24"/>
          <w:szCs w:val="24"/>
          <w:lang w:val="es-PR"/>
        </w:rPr>
        <w:t>ÓN DE TRIBUNALES</w:t>
      </w:r>
    </w:p>
    <w:p w14:paraId="46D50DA7" w14:textId="77777777" w:rsidR="00AE4179" w:rsidRPr="00F67089" w:rsidRDefault="00AE4179" w:rsidP="00936D96">
      <w:pPr>
        <w:spacing w:line="240" w:lineRule="auto"/>
        <w:contextualSpacing/>
        <w:jc w:val="center"/>
        <w:rPr>
          <w:rFonts w:ascii="Times New Roman" w:eastAsia="Times New Roman" w:hAnsi="Times New Roman" w:cs="Times New Roman"/>
          <w:b/>
          <w:bCs/>
          <w:noProof/>
          <w:sz w:val="24"/>
          <w:szCs w:val="24"/>
          <w:lang w:val="es-PR"/>
        </w:rPr>
      </w:pPr>
    </w:p>
    <w:p w14:paraId="339C650F" w14:textId="396D8373" w:rsidR="008C05EA" w:rsidRDefault="00AE4179" w:rsidP="00AE4179">
      <w:pPr>
        <w:spacing w:after="0" w:line="276" w:lineRule="auto"/>
        <w:jc w:val="both"/>
        <w:rPr>
          <w:rFonts w:ascii="Book Antiqua" w:eastAsia="Calibri" w:hAnsi="Book Antiqua" w:cs="Times New Roman"/>
          <w:kern w:val="2"/>
          <w:sz w:val="24"/>
          <w:szCs w:val="24"/>
          <w:lang w:val="es-ES"/>
          <w14:ligatures w14:val="standardContextual"/>
        </w:rPr>
      </w:pPr>
      <w:r w:rsidRPr="00DC23D9">
        <w:rPr>
          <w:rFonts w:ascii="Book Antiqua" w:eastAsia="Times New Roman" w:hAnsi="Book Antiqua" w:cs="Times New Roman"/>
          <w:bCs/>
          <w:sz w:val="24"/>
          <w:szCs w:val="24"/>
          <w:lang w:val="es-ES"/>
        </w:rPr>
        <w:t>Luego de examinar la pieza legislativa de referencia</w:t>
      </w:r>
      <w:r w:rsidRPr="00DC23D9">
        <w:rPr>
          <w:rFonts w:ascii="Book Antiqua" w:eastAsia="Times New Roman" w:hAnsi="Book Antiqua" w:cs="Times New Roman"/>
          <w:b/>
          <w:sz w:val="24"/>
          <w:szCs w:val="24"/>
          <w:lang w:val="es-ES"/>
        </w:rPr>
        <w:t>,</w:t>
      </w:r>
      <w:r w:rsidR="00F338A0">
        <w:rPr>
          <w:rFonts w:ascii="Book Antiqua" w:eastAsia="Times New Roman" w:hAnsi="Book Antiqua" w:cs="Times New Roman"/>
          <w:b/>
          <w:sz w:val="24"/>
          <w:szCs w:val="24"/>
          <w:lang w:val="es-ES"/>
        </w:rPr>
        <w:t xml:space="preserve"> </w:t>
      </w:r>
      <w:r w:rsidR="00F338A0" w:rsidRPr="00F338A0">
        <w:rPr>
          <w:rFonts w:ascii="Book Antiqua" w:eastAsia="Times New Roman" w:hAnsi="Book Antiqua" w:cs="Times New Roman"/>
          <w:bCs/>
          <w:sz w:val="24"/>
          <w:szCs w:val="24"/>
          <w:lang w:val="es-ES"/>
        </w:rPr>
        <w:t>la</w:t>
      </w:r>
      <w:r w:rsidRPr="00F338A0">
        <w:rPr>
          <w:rFonts w:ascii="Book Antiqua" w:eastAsia="Times New Roman" w:hAnsi="Book Antiqua" w:cs="Times New Roman"/>
          <w:bCs/>
          <w:sz w:val="24"/>
          <w:szCs w:val="24"/>
          <w:lang w:val="es-ES"/>
        </w:rPr>
        <w:t xml:space="preserve"> </w:t>
      </w:r>
      <w:r w:rsidR="00D04038">
        <w:rPr>
          <w:rFonts w:ascii="Book Antiqua" w:eastAsia="Times New Roman" w:hAnsi="Book Antiqua" w:cs="Times New Roman"/>
          <w:b/>
          <w:sz w:val="24"/>
          <w:szCs w:val="24"/>
          <w:lang w:val="es-ES"/>
        </w:rPr>
        <w:t>Administración de Tribunales</w:t>
      </w:r>
      <w:r>
        <w:rPr>
          <w:rFonts w:ascii="Book Antiqua" w:eastAsia="Times New Roman" w:hAnsi="Book Antiqua" w:cs="Times New Roman"/>
          <w:b/>
          <w:sz w:val="24"/>
          <w:szCs w:val="24"/>
          <w:lang w:val="es-ES"/>
        </w:rPr>
        <w:t xml:space="preserve"> </w:t>
      </w:r>
      <w:r w:rsidRPr="00044471">
        <w:rPr>
          <w:rFonts w:ascii="Book Antiqua" w:eastAsia="Times New Roman" w:hAnsi="Book Antiqua" w:cs="Times New Roman"/>
          <w:bCs/>
          <w:sz w:val="24"/>
          <w:szCs w:val="24"/>
          <w:lang w:val="es-ES"/>
        </w:rPr>
        <w:t xml:space="preserve">presentó su </w:t>
      </w:r>
      <w:r>
        <w:rPr>
          <w:rFonts w:ascii="Book Antiqua" w:eastAsia="Times New Roman" w:hAnsi="Book Antiqua" w:cs="Times New Roman"/>
          <w:bCs/>
          <w:sz w:val="24"/>
          <w:szCs w:val="24"/>
          <w:lang w:val="es-ES"/>
        </w:rPr>
        <w:t>M</w:t>
      </w:r>
      <w:r w:rsidRPr="00044471">
        <w:rPr>
          <w:rFonts w:ascii="Book Antiqua" w:eastAsia="Times New Roman" w:hAnsi="Book Antiqua" w:cs="Times New Roman"/>
          <w:bCs/>
          <w:sz w:val="24"/>
          <w:szCs w:val="24"/>
          <w:lang w:val="es-ES"/>
        </w:rPr>
        <w:t xml:space="preserve">emorial </w:t>
      </w:r>
      <w:r>
        <w:rPr>
          <w:rFonts w:ascii="Book Antiqua" w:eastAsia="Times New Roman" w:hAnsi="Book Antiqua" w:cs="Times New Roman"/>
          <w:bCs/>
          <w:sz w:val="24"/>
          <w:szCs w:val="24"/>
          <w:lang w:val="es-ES"/>
        </w:rPr>
        <w:t>E</w:t>
      </w:r>
      <w:r w:rsidRPr="00044471">
        <w:rPr>
          <w:rFonts w:ascii="Book Antiqua" w:eastAsia="Times New Roman" w:hAnsi="Book Antiqua" w:cs="Times New Roman"/>
          <w:bCs/>
          <w:sz w:val="24"/>
          <w:szCs w:val="24"/>
          <w:lang w:val="es-ES"/>
        </w:rPr>
        <w:t>xplicativo por conducto de</w:t>
      </w:r>
      <w:r w:rsidR="00E306BC">
        <w:rPr>
          <w:rFonts w:ascii="Book Antiqua" w:eastAsia="Times New Roman" w:hAnsi="Book Antiqua" w:cs="Times New Roman"/>
          <w:bCs/>
          <w:sz w:val="24"/>
          <w:szCs w:val="24"/>
          <w:lang w:val="es-ES"/>
        </w:rPr>
        <w:t>l Director Administrativo</w:t>
      </w:r>
      <w:r w:rsidR="004A4A6D">
        <w:rPr>
          <w:rFonts w:ascii="Book Antiqua" w:eastAsia="Times New Roman" w:hAnsi="Book Antiqua" w:cs="Times New Roman"/>
          <w:bCs/>
          <w:sz w:val="24"/>
          <w:szCs w:val="24"/>
          <w:lang w:val="es-ES"/>
        </w:rPr>
        <w:t xml:space="preserve"> de los Tribunales,</w:t>
      </w:r>
      <w:r w:rsidR="00BA4DB0">
        <w:rPr>
          <w:rFonts w:ascii="Book Antiqua" w:eastAsia="Times New Roman" w:hAnsi="Book Antiqua" w:cs="Times New Roman"/>
          <w:bCs/>
          <w:sz w:val="24"/>
          <w:szCs w:val="24"/>
          <w:lang w:val="es-ES"/>
        </w:rPr>
        <w:t xml:space="preserve"> Sigfrido Steidel </w:t>
      </w:r>
      <w:r w:rsidR="00D058C7">
        <w:rPr>
          <w:rFonts w:ascii="Book Antiqua" w:eastAsia="Times New Roman" w:hAnsi="Book Antiqua" w:cs="Times New Roman"/>
          <w:bCs/>
          <w:sz w:val="24"/>
          <w:szCs w:val="24"/>
          <w:lang w:val="es-ES"/>
        </w:rPr>
        <w:t>Figueroa</w:t>
      </w:r>
      <w:r w:rsidR="00DF673C">
        <w:rPr>
          <w:rFonts w:ascii="Book Antiqua" w:eastAsia="Times New Roman" w:hAnsi="Book Antiqua" w:cs="Times New Roman"/>
          <w:bCs/>
          <w:sz w:val="24"/>
          <w:szCs w:val="24"/>
          <w:lang w:val="es-ES"/>
        </w:rPr>
        <w:t>. E</w:t>
      </w:r>
      <w:r w:rsidR="00A0136F">
        <w:rPr>
          <w:rFonts w:ascii="Book Antiqua" w:eastAsia="Times New Roman" w:hAnsi="Book Antiqua" w:cs="Times New Roman"/>
          <w:bCs/>
          <w:sz w:val="24"/>
          <w:szCs w:val="24"/>
          <w:lang w:val="es-ES"/>
        </w:rPr>
        <w:t>xpres</w:t>
      </w:r>
      <w:r w:rsidR="00DF673C">
        <w:rPr>
          <w:rFonts w:ascii="Book Antiqua" w:eastAsia="Times New Roman" w:hAnsi="Book Antiqua" w:cs="Times New Roman"/>
          <w:bCs/>
          <w:sz w:val="24"/>
          <w:szCs w:val="24"/>
          <w:lang w:val="es-ES"/>
        </w:rPr>
        <w:t>ó,</w:t>
      </w:r>
      <w:r w:rsidR="00A0136F">
        <w:rPr>
          <w:rFonts w:ascii="Book Antiqua" w:eastAsia="Times New Roman" w:hAnsi="Book Antiqua" w:cs="Times New Roman"/>
          <w:bCs/>
          <w:sz w:val="24"/>
          <w:szCs w:val="24"/>
          <w:lang w:val="es-ES"/>
        </w:rPr>
        <w:t xml:space="preserve"> que</w:t>
      </w:r>
      <w:r w:rsidR="00D058C7" w:rsidRPr="00044471">
        <w:rPr>
          <w:rFonts w:ascii="Book Antiqua" w:eastAsia="Times New Roman" w:hAnsi="Book Antiqua" w:cs="Times New Roman"/>
          <w:bCs/>
          <w:sz w:val="24"/>
          <w:szCs w:val="24"/>
          <w:lang w:val="es-ES"/>
        </w:rPr>
        <w:t xml:space="preserve"> </w:t>
      </w:r>
      <w:r w:rsidR="00D058C7">
        <w:rPr>
          <w:rFonts w:ascii="Book Antiqua" w:eastAsia="Times New Roman" w:hAnsi="Book Antiqua" w:cs="Times New Roman"/>
          <w:bCs/>
          <w:sz w:val="24"/>
          <w:szCs w:val="24"/>
          <w:lang w:val="es-ES"/>
        </w:rPr>
        <w:t>como</w:t>
      </w:r>
      <w:r w:rsidR="00667247">
        <w:rPr>
          <w:rFonts w:ascii="Book Antiqua" w:eastAsia="Times New Roman" w:hAnsi="Book Antiqua" w:cs="Times New Roman"/>
          <w:bCs/>
          <w:sz w:val="24"/>
          <w:szCs w:val="24"/>
          <w:lang w:val="es-ES"/>
        </w:rPr>
        <w:t xml:space="preserve"> norma general se </w:t>
      </w:r>
      <w:r w:rsidR="00387DF3">
        <w:rPr>
          <w:rFonts w:ascii="Book Antiqua" w:eastAsia="Calibri" w:hAnsi="Book Antiqua" w:cs="Times New Roman"/>
          <w:kern w:val="2"/>
          <w:sz w:val="24"/>
          <w:szCs w:val="24"/>
          <w:lang w:val="es-ES"/>
          <w14:ligatures w14:val="standardContextual"/>
        </w:rPr>
        <w:t>abstienen</w:t>
      </w:r>
      <w:r w:rsidR="00FB185F">
        <w:rPr>
          <w:rFonts w:ascii="Book Antiqua" w:eastAsia="Calibri" w:hAnsi="Book Antiqua" w:cs="Times New Roman"/>
          <w:kern w:val="2"/>
          <w:sz w:val="24"/>
          <w:szCs w:val="24"/>
          <w:lang w:val="es-ES"/>
          <w14:ligatures w14:val="standardContextual"/>
        </w:rPr>
        <w:t xml:space="preserve"> de emiti</w:t>
      </w:r>
      <w:r w:rsidR="00D058C7">
        <w:rPr>
          <w:rFonts w:ascii="Book Antiqua" w:eastAsia="Calibri" w:hAnsi="Book Antiqua" w:cs="Times New Roman"/>
          <w:kern w:val="2"/>
          <w:sz w:val="24"/>
          <w:szCs w:val="24"/>
          <w:lang w:val="es-ES"/>
          <w14:ligatures w14:val="standardContextual"/>
        </w:rPr>
        <w:t>r juicio sobre asuntos de política publica</w:t>
      </w:r>
      <w:r w:rsidR="006F49B2">
        <w:rPr>
          <w:rFonts w:ascii="Book Antiqua" w:eastAsia="Calibri" w:hAnsi="Book Antiqua" w:cs="Times New Roman"/>
          <w:kern w:val="2"/>
          <w:sz w:val="24"/>
          <w:szCs w:val="24"/>
          <w:lang w:val="es-ES"/>
          <w14:ligatures w14:val="standardContextual"/>
        </w:rPr>
        <w:t xml:space="preserve"> gubernamental de la competencia</w:t>
      </w:r>
      <w:r w:rsidR="00150F0B">
        <w:rPr>
          <w:rFonts w:ascii="Book Antiqua" w:eastAsia="Calibri" w:hAnsi="Book Antiqua" w:cs="Times New Roman"/>
          <w:kern w:val="2"/>
          <w:sz w:val="24"/>
          <w:szCs w:val="24"/>
          <w:lang w:val="es-ES"/>
          <w14:ligatures w14:val="standardContextual"/>
        </w:rPr>
        <w:t xml:space="preserve"> de los otros poderes del gobierno.</w:t>
      </w:r>
      <w:r w:rsidR="000F2EA5">
        <w:rPr>
          <w:rFonts w:ascii="Book Antiqua" w:eastAsia="Calibri" w:hAnsi="Book Antiqua" w:cs="Times New Roman"/>
          <w:kern w:val="2"/>
          <w:sz w:val="24"/>
          <w:szCs w:val="24"/>
          <w:lang w:val="es-ES"/>
          <w14:ligatures w14:val="standardContextual"/>
        </w:rPr>
        <w:t xml:space="preserve"> </w:t>
      </w:r>
      <w:r w:rsidR="00EA0C16">
        <w:rPr>
          <w:rFonts w:ascii="Book Antiqua" w:eastAsia="Calibri" w:hAnsi="Book Antiqua" w:cs="Times New Roman"/>
          <w:kern w:val="2"/>
          <w:sz w:val="24"/>
          <w:szCs w:val="24"/>
          <w:lang w:val="es-ES"/>
          <w14:ligatures w14:val="standardContextual"/>
        </w:rPr>
        <w:t>No obst</w:t>
      </w:r>
      <w:r w:rsidR="00A87FEE">
        <w:rPr>
          <w:rFonts w:ascii="Book Antiqua" w:eastAsia="Calibri" w:hAnsi="Book Antiqua" w:cs="Times New Roman"/>
          <w:kern w:val="2"/>
          <w:sz w:val="24"/>
          <w:szCs w:val="24"/>
          <w:lang w:val="es-ES"/>
          <w14:ligatures w14:val="standardContextual"/>
        </w:rPr>
        <w:t>ante</w:t>
      </w:r>
      <w:r w:rsidR="008C05EA">
        <w:rPr>
          <w:rFonts w:ascii="Book Antiqua" w:eastAsia="Calibri" w:hAnsi="Book Antiqua" w:cs="Times New Roman"/>
          <w:kern w:val="2"/>
          <w:sz w:val="24"/>
          <w:szCs w:val="24"/>
          <w:lang w:val="es-ES"/>
          <w14:ligatures w14:val="standardContextual"/>
        </w:rPr>
        <w:t>,</w:t>
      </w:r>
      <w:r w:rsidR="000F2EA5">
        <w:rPr>
          <w:rFonts w:ascii="Book Antiqua" w:eastAsia="Calibri" w:hAnsi="Book Antiqua" w:cs="Times New Roman"/>
          <w:kern w:val="2"/>
          <w:sz w:val="24"/>
          <w:szCs w:val="24"/>
          <w:lang w:val="es-ES"/>
          <w14:ligatures w14:val="standardContextual"/>
        </w:rPr>
        <w:t xml:space="preserve"> </w:t>
      </w:r>
      <w:r w:rsidR="00A87FEE">
        <w:rPr>
          <w:rFonts w:ascii="Book Antiqua" w:eastAsia="Calibri" w:hAnsi="Book Antiqua" w:cs="Times New Roman"/>
          <w:kern w:val="2"/>
          <w:sz w:val="24"/>
          <w:szCs w:val="24"/>
          <w:lang w:val="es-ES"/>
          <w14:ligatures w14:val="standardContextual"/>
        </w:rPr>
        <w:t>coinciden con la exposición de motivos del Proyecto del Senado 331</w:t>
      </w:r>
      <w:r w:rsidR="00AF515D">
        <w:rPr>
          <w:rFonts w:ascii="Book Antiqua" w:eastAsia="Calibri" w:hAnsi="Book Antiqua" w:cs="Times New Roman"/>
          <w:kern w:val="2"/>
          <w:sz w:val="24"/>
          <w:szCs w:val="24"/>
          <w:lang w:val="es-ES"/>
          <w14:ligatures w14:val="standardContextual"/>
        </w:rPr>
        <w:t>.</w:t>
      </w:r>
    </w:p>
    <w:p w14:paraId="1ADFEFB1" w14:textId="77777777" w:rsidR="00DF673C" w:rsidRDefault="00DF673C" w:rsidP="00DF673C">
      <w:pPr>
        <w:pStyle w:val="NoSpacing"/>
        <w:rPr>
          <w:lang w:val="es-ES"/>
        </w:rPr>
      </w:pPr>
    </w:p>
    <w:p w14:paraId="1BA846D5" w14:textId="6B661CCF" w:rsidR="00E616CD" w:rsidRPr="00044471" w:rsidRDefault="00E616CD" w:rsidP="00330CD4">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044471" w:rsidRDefault="00E616CD" w:rsidP="00044471">
      <w:pPr>
        <w:pStyle w:val="NoSpacing"/>
        <w:spacing w:line="276" w:lineRule="auto"/>
        <w:jc w:val="center"/>
        <w:rPr>
          <w:rFonts w:ascii="Book Antiqua" w:hAnsi="Book Antiqua"/>
          <w:b/>
          <w:szCs w:val="24"/>
          <w:lang w:val="es-ES"/>
        </w:rPr>
      </w:pPr>
    </w:p>
    <w:p w14:paraId="58D59CAE" w14:textId="12EFDE6B" w:rsidR="00E616CD" w:rsidRPr="00044471"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certifica que </w:t>
      </w:r>
      <w:r w:rsidRPr="00DC23D9">
        <w:rPr>
          <w:rFonts w:ascii="Book Antiqua" w:hAnsi="Book Antiqua" w:cs="Arial"/>
          <w:b/>
          <w:bCs/>
          <w:sz w:val="24"/>
          <w:szCs w:val="24"/>
          <w:lang w:val="es-ES"/>
        </w:rPr>
        <w:t xml:space="preserve">el P. </w:t>
      </w:r>
      <w:r w:rsidR="00044471" w:rsidRPr="00DC23D9">
        <w:rPr>
          <w:rFonts w:ascii="Book Antiqua" w:hAnsi="Book Antiqua" w:cs="Arial"/>
          <w:b/>
          <w:bCs/>
          <w:sz w:val="24"/>
          <w:szCs w:val="24"/>
          <w:lang w:val="es-ES"/>
        </w:rPr>
        <w:t>de</w:t>
      </w:r>
      <w:r w:rsidR="00DC23D9">
        <w:rPr>
          <w:rFonts w:ascii="Book Antiqua" w:hAnsi="Book Antiqua" w:cs="Arial"/>
          <w:b/>
          <w:bCs/>
          <w:sz w:val="24"/>
          <w:szCs w:val="24"/>
          <w:lang w:val="es-ES"/>
        </w:rPr>
        <w:t>l S</w:t>
      </w:r>
      <w:r w:rsidR="00044471" w:rsidRPr="00DC23D9">
        <w:rPr>
          <w:rFonts w:ascii="Book Antiqua" w:hAnsi="Book Antiqua" w:cs="Arial"/>
          <w:b/>
          <w:bCs/>
          <w:sz w:val="24"/>
          <w:szCs w:val="24"/>
          <w:lang w:val="es-ES"/>
        </w:rPr>
        <w:t xml:space="preserve">. </w:t>
      </w:r>
      <w:r w:rsidR="00E34F84">
        <w:rPr>
          <w:rFonts w:ascii="Book Antiqua" w:hAnsi="Book Antiqua" w:cs="Arial"/>
          <w:b/>
          <w:bCs/>
          <w:sz w:val="24"/>
          <w:szCs w:val="24"/>
          <w:lang w:val="es-ES"/>
        </w:rPr>
        <w:t>331</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044471">
      <w:pPr>
        <w:spacing w:after="0" w:line="276" w:lineRule="auto"/>
        <w:jc w:val="both"/>
        <w:rPr>
          <w:rFonts w:ascii="Book Antiqua" w:eastAsia="Times New Roman" w:hAnsi="Book Antiqua" w:cs="Times New Roman"/>
          <w:bCs/>
          <w:sz w:val="24"/>
          <w:szCs w:val="24"/>
          <w:lang w:val="es-ES"/>
        </w:rPr>
      </w:pPr>
    </w:p>
    <w:p w14:paraId="3ECBBA72" w14:textId="4B19EE49" w:rsidR="00DF673C" w:rsidRDefault="00DC23D9" w:rsidP="00DF673C">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HALLAZGOS Y RECOMENDACIONES</w:t>
      </w:r>
    </w:p>
    <w:p w14:paraId="15ABCFF7" w14:textId="77777777" w:rsidR="00C228C3" w:rsidRPr="00C228C3" w:rsidRDefault="00C228C3" w:rsidP="00DF673C">
      <w:pPr>
        <w:spacing w:after="0" w:line="360" w:lineRule="auto"/>
        <w:jc w:val="center"/>
        <w:rPr>
          <w:rFonts w:ascii="Book Antiqua" w:eastAsia="Times New Roman" w:hAnsi="Book Antiqua"/>
          <w:b/>
          <w:sz w:val="10"/>
          <w:szCs w:val="10"/>
          <w:lang w:val="es-ES_tradnl"/>
        </w:rPr>
      </w:pPr>
    </w:p>
    <w:p w14:paraId="44472075" w14:textId="2BB96A41" w:rsidR="00912219" w:rsidRPr="00912219" w:rsidRDefault="00912219" w:rsidP="00590286">
      <w:pPr>
        <w:spacing w:before="100" w:beforeAutospacing="1" w:after="100" w:afterAutospacing="1" w:line="276" w:lineRule="auto"/>
        <w:contextualSpacing/>
        <w:jc w:val="both"/>
        <w:rPr>
          <w:rFonts w:ascii="Book Antiqua" w:eastAsia="Times New Roman" w:hAnsi="Book Antiqua" w:cs="Times New Roman"/>
          <w:sz w:val="24"/>
          <w:szCs w:val="24"/>
          <w:lang w:val="es-PR"/>
        </w:rPr>
      </w:pPr>
      <w:r w:rsidRPr="00912219">
        <w:rPr>
          <w:rFonts w:ascii="Book Antiqua" w:eastAsia="Times New Roman" w:hAnsi="Book Antiqua" w:cs="Times New Roman"/>
          <w:sz w:val="24"/>
          <w:szCs w:val="24"/>
          <w:lang w:val="es-PR"/>
        </w:rPr>
        <w:t>En determinaciones recientes de nuestros tribunales se ha concluido que el derecho constitucional de acceso a la información gubernamental obliga al Estado a brindar</w:t>
      </w:r>
      <w:r w:rsidR="00220B88">
        <w:rPr>
          <w:rFonts w:ascii="Book Antiqua" w:eastAsia="Times New Roman" w:hAnsi="Book Antiqua" w:cs="Times New Roman"/>
          <w:sz w:val="24"/>
          <w:szCs w:val="24"/>
          <w:lang w:val="es-PR"/>
        </w:rPr>
        <w:t xml:space="preserve"> </w:t>
      </w:r>
      <w:r w:rsidR="00770C2A">
        <w:rPr>
          <w:rFonts w:ascii="Book Antiqua" w:eastAsia="Times New Roman" w:hAnsi="Book Antiqua" w:cs="Times New Roman"/>
          <w:sz w:val="24"/>
          <w:szCs w:val="24"/>
          <w:lang w:val="es-PR"/>
        </w:rPr>
        <w:t>información</w:t>
      </w:r>
      <w:r w:rsidRPr="00912219">
        <w:rPr>
          <w:rFonts w:ascii="Book Antiqua" w:eastAsia="Times New Roman" w:hAnsi="Book Antiqua" w:cs="Times New Roman"/>
          <w:sz w:val="24"/>
          <w:szCs w:val="24"/>
          <w:lang w:val="es-PR"/>
        </w:rPr>
        <w:t xml:space="preserve"> de los certificados de defunción</w:t>
      </w:r>
      <w:r w:rsidR="009D290A">
        <w:rPr>
          <w:rFonts w:ascii="Book Antiqua" w:eastAsia="Times New Roman" w:hAnsi="Book Antiqua" w:cs="Times New Roman"/>
          <w:sz w:val="24"/>
          <w:szCs w:val="24"/>
          <w:lang w:val="es-PR"/>
        </w:rPr>
        <w:t>.</w:t>
      </w:r>
      <w:r w:rsidRPr="00912219">
        <w:rPr>
          <w:rFonts w:ascii="Book Antiqua" w:eastAsia="Times New Roman" w:hAnsi="Book Antiqua" w:cs="Times New Roman"/>
          <w:sz w:val="24"/>
          <w:szCs w:val="24"/>
          <w:lang w:val="es-PR"/>
        </w:rPr>
        <w:t xml:space="preserve"> Estas determinaciones reconocen la importancia vital que tiene la prensa en el funcionamiento de una sociedad abierta y democrática. Sin embargo, estas determinaciones han expuesto que existe un vacío legal en la Ley del Registro Demográfico. La misma no garantiza de forma clara y manifiesta la confidencialidad de la información que el Registro recopila en virtud de la ley que le crea.</w:t>
      </w:r>
    </w:p>
    <w:p w14:paraId="77B4EF3C" w14:textId="77777777" w:rsidR="00912219" w:rsidRPr="00912219" w:rsidRDefault="00912219" w:rsidP="00590286">
      <w:pPr>
        <w:spacing w:before="100" w:beforeAutospacing="1" w:after="100" w:afterAutospacing="1" w:line="276" w:lineRule="auto"/>
        <w:contextualSpacing/>
        <w:jc w:val="both"/>
        <w:rPr>
          <w:rFonts w:ascii="Book Antiqua" w:eastAsia="Times New Roman" w:hAnsi="Book Antiqua" w:cs="Times New Roman"/>
          <w:sz w:val="24"/>
          <w:szCs w:val="24"/>
          <w:lang w:val="es-PR"/>
        </w:rPr>
      </w:pPr>
    </w:p>
    <w:p w14:paraId="734AC814" w14:textId="77777777" w:rsidR="00912219" w:rsidRDefault="00912219" w:rsidP="00590286">
      <w:pPr>
        <w:spacing w:before="100" w:beforeAutospacing="1" w:after="100" w:afterAutospacing="1" w:line="276" w:lineRule="auto"/>
        <w:contextualSpacing/>
        <w:jc w:val="both"/>
        <w:rPr>
          <w:rFonts w:ascii="Book Antiqua" w:eastAsia="Times New Roman" w:hAnsi="Book Antiqua" w:cs="Times New Roman"/>
          <w:sz w:val="24"/>
          <w:szCs w:val="24"/>
          <w:lang w:val="es-PR"/>
        </w:rPr>
      </w:pPr>
      <w:r w:rsidRPr="00912219">
        <w:rPr>
          <w:rFonts w:ascii="Book Antiqua" w:eastAsia="Times New Roman" w:hAnsi="Book Antiqua" w:cs="Times New Roman"/>
          <w:sz w:val="24"/>
          <w:szCs w:val="24"/>
          <w:lang w:val="es-PR"/>
        </w:rPr>
        <w:t>En consideración de lo anterior, nos parece que la aprobación del Proyecto del Senado 331 atiende los vacíos comprendidos en la ley actual, protegiendo los derechos de terceros y delimitando con precisión la información que puede y debe ser entregada a la ciudadanía y a la prensa. Al mismo tiempo, se instituye un balance entre el derecho reconocido de acceso a la información y la confidencialidad de información que puede ser considerada como sensitiva por los familiares de una persona difunta, o ser usada con fines no lícitos por personas inescrupulosas.</w:t>
      </w:r>
    </w:p>
    <w:p w14:paraId="3D5D1E4A" w14:textId="77777777" w:rsidR="00A911B4" w:rsidRDefault="00A911B4" w:rsidP="00590286">
      <w:pPr>
        <w:spacing w:before="100" w:beforeAutospacing="1" w:after="100" w:afterAutospacing="1" w:line="276" w:lineRule="auto"/>
        <w:contextualSpacing/>
        <w:jc w:val="both"/>
        <w:rPr>
          <w:rFonts w:ascii="Book Antiqua" w:eastAsia="Times New Roman" w:hAnsi="Book Antiqua" w:cs="Times New Roman"/>
          <w:sz w:val="24"/>
          <w:szCs w:val="24"/>
          <w:lang w:val="es-PR"/>
        </w:rPr>
      </w:pPr>
    </w:p>
    <w:p w14:paraId="4ABA6428" w14:textId="73AA6F85" w:rsidR="00A911B4" w:rsidRDefault="00A911B4" w:rsidP="00590286">
      <w:pPr>
        <w:spacing w:before="100" w:beforeAutospacing="1" w:after="100" w:afterAutospacing="1" w:line="276" w:lineRule="auto"/>
        <w:contextualSpacing/>
        <w:jc w:val="both"/>
        <w:rPr>
          <w:rFonts w:ascii="Book Antiqua" w:eastAsia="Times New Roman" w:hAnsi="Book Antiqua" w:cs="Times New Roman"/>
          <w:sz w:val="24"/>
          <w:szCs w:val="24"/>
          <w:lang w:val="es-PR"/>
        </w:rPr>
      </w:pPr>
      <w:r w:rsidRPr="00A911B4">
        <w:rPr>
          <w:rFonts w:ascii="Book Antiqua" w:eastAsia="Times New Roman" w:hAnsi="Book Antiqua" w:cs="Times New Roman"/>
          <w:sz w:val="24"/>
          <w:szCs w:val="24"/>
          <w:lang w:val="es-PR"/>
        </w:rPr>
        <w:lastRenderedPageBreak/>
        <w:t xml:space="preserve">En este contexto, también resulta fundamental ampliar de manera clara quiénes deben ser considerados como partes interesadas. Por ejemplo, el Proyecto reconoce a los abuelos como tales, por lo que se entiende coherente y necesario incluir expresamente a los nietos dentro de esta definición, garantizando un trato recíproco entre generaciones y reflejando la realidad social puertorriqueña, donde los abuelos y nietos suelen asumir roles activos en el cuido mutuo. </w:t>
      </w:r>
      <w:r w:rsidR="00C228C3">
        <w:rPr>
          <w:rFonts w:ascii="Book Antiqua" w:eastAsia="Times New Roman" w:hAnsi="Book Antiqua" w:cs="Times New Roman"/>
          <w:sz w:val="24"/>
          <w:szCs w:val="24"/>
          <w:lang w:val="es-PR"/>
        </w:rPr>
        <w:t xml:space="preserve">Esto ya fue reconocido por nuestro </w:t>
      </w:r>
      <w:r w:rsidRPr="00A911B4">
        <w:rPr>
          <w:rFonts w:ascii="Book Antiqua" w:eastAsia="Times New Roman" w:hAnsi="Book Antiqua" w:cs="Times New Roman"/>
          <w:sz w:val="24"/>
          <w:szCs w:val="24"/>
          <w:lang w:val="es-PR"/>
        </w:rPr>
        <w:t>Tribunal Supremo.</w:t>
      </w:r>
    </w:p>
    <w:p w14:paraId="63DCAC14" w14:textId="77777777" w:rsidR="001D0047" w:rsidRDefault="001D0047" w:rsidP="00590286">
      <w:pPr>
        <w:spacing w:before="100" w:beforeAutospacing="1" w:after="100" w:afterAutospacing="1" w:line="276" w:lineRule="auto"/>
        <w:contextualSpacing/>
        <w:jc w:val="both"/>
        <w:rPr>
          <w:rFonts w:ascii="Book Antiqua" w:eastAsia="Times New Roman" w:hAnsi="Book Antiqua" w:cs="Times New Roman"/>
          <w:sz w:val="24"/>
          <w:szCs w:val="24"/>
          <w:lang w:val="es-PR"/>
        </w:rPr>
      </w:pPr>
    </w:p>
    <w:p w14:paraId="4C622D87" w14:textId="311DDC26" w:rsidR="00224265" w:rsidRPr="00AE6F70" w:rsidRDefault="00D8110D" w:rsidP="00590286">
      <w:pPr>
        <w:spacing w:before="100" w:beforeAutospacing="1" w:after="100" w:afterAutospacing="1" w:line="276" w:lineRule="auto"/>
        <w:contextualSpacing/>
        <w:jc w:val="both"/>
        <w:rPr>
          <w:rFonts w:ascii="Book Antiqua" w:eastAsia="Times New Roman" w:hAnsi="Book Antiqua" w:cs="Times New Roman"/>
          <w:sz w:val="24"/>
          <w:szCs w:val="24"/>
          <w:lang w:val="es-PR"/>
        </w:rPr>
      </w:pPr>
      <w:r>
        <w:rPr>
          <w:rFonts w:ascii="Book Antiqua" w:eastAsia="Times New Roman" w:hAnsi="Book Antiqua" w:cs="Times New Roman"/>
          <w:sz w:val="24"/>
          <w:szCs w:val="24"/>
          <w:lang w:val="es-PR"/>
        </w:rPr>
        <w:t xml:space="preserve">Luego de realizar un análisis exhaustivo de la pieza legislativa </w:t>
      </w:r>
      <w:r w:rsidR="00D80846">
        <w:rPr>
          <w:rFonts w:ascii="Book Antiqua" w:eastAsia="Times New Roman" w:hAnsi="Book Antiqua" w:cs="Times New Roman"/>
          <w:sz w:val="24"/>
          <w:szCs w:val="24"/>
          <w:lang w:val="es-PR"/>
        </w:rPr>
        <w:t xml:space="preserve">y </w:t>
      </w:r>
      <w:r w:rsidR="00FC0053">
        <w:rPr>
          <w:rFonts w:ascii="Book Antiqua" w:eastAsia="Times New Roman" w:hAnsi="Book Antiqua" w:cs="Times New Roman"/>
          <w:sz w:val="24"/>
          <w:szCs w:val="24"/>
          <w:lang w:val="es-PR"/>
        </w:rPr>
        <w:t xml:space="preserve">analizar los argumentos y comentarios </w:t>
      </w:r>
      <w:r w:rsidR="009B58DA">
        <w:rPr>
          <w:rFonts w:ascii="Book Antiqua" w:eastAsia="Times New Roman" w:hAnsi="Book Antiqua" w:cs="Times New Roman"/>
          <w:sz w:val="24"/>
          <w:szCs w:val="24"/>
          <w:lang w:val="es-PR"/>
        </w:rPr>
        <w:t>esboz</w:t>
      </w:r>
      <w:r w:rsidR="00440AB1">
        <w:rPr>
          <w:rFonts w:ascii="Book Antiqua" w:eastAsia="Times New Roman" w:hAnsi="Book Antiqua" w:cs="Times New Roman"/>
          <w:sz w:val="24"/>
          <w:szCs w:val="24"/>
          <w:lang w:val="es-PR"/>
        </w:rPr>
        <w:t>ados, se pudieron identificar</w:t>
      </w:r>
      <w:r w:rsidR="00501C09">
        <w:rPr>
          <w:rFonts w:ascii="Book Antiqua" w:eastAsia="Times New Roman" w:hAnsi="Book Antiqua" w:cs="Times New Roman"/>
          <w:sz w:val="24"/>
          <w:szCs w:val="24"/>
          <w:lang w:val="es-PR"/>
        </w:rPr>
        <w:t xml:space="preserve"> algunos cambios que corresponden para lograr una mejor</w:t>
      </w:r>
      <w:r w:rsidR="00A87FA9">
        <w:rPr>
          <w:rFonts w:ascii="Book Antiqua" w:eastAsia="Times New Roman" w:hAnsi="Book Antiqua" w:cs="Times New Roman"/>
          <w:sz w:val="24"/>
          <w:szCs w:val="24"/>
          <w:lang w:val="es-PR"/>
        </w:rPr>
        <w:t xml:space="preserve"> implementación de la medida</w:t>
      </w:r>
      <w:r w:rsidR="00157D56">
        <w:rPr>
          <w:rFonts w:ascii="Book Antiqua" w:eastAsia="Times New Roman" w:hAnsi="Book Antiqua" w:cs="Times New Roman"/>
          <w:sz w:val="24"/>
          <w:szCs w:val="24"/>
          <w:lang w:val="es-PR"/>
        </w:rPr>
        <w:t xml:space="preserve"> y</w:t>
      </w:r>
      <w:r w:rsidR="00324C4A">
        <w:rPr>
          <w:rFonts w:ascii="Book Antiqua" w:eastAsia="Times New Roman" w:hAnsi="Book Antiqua" w:cs="Times New Roman"/>
          <w:sz w:val="24"/>
          <w:szCs w:val="24"/>
          <w:lang w:val="es-PR"/>
        </w:rPr>
        <w:t xml:space="preserve"> s</w:t>
      </w:r>
      <w:r w:rsidR="003015EB" w:rsidRPr="00AE6F70">
        <w:rPr>
          <w:rFonts w:ascii="Book Antiqua" w:eastAsia="Times New Roman" w:hAnsi="Book Antiqua" w:cs="Times New Roman"/>
          <w:sz w:val="24"/>
          <w:szCs w:val="24"/>
          <w:lang w:val="es-PR"/>
        </w:rPr>
        <w:t xml:space="preserve">e </w:t>
      </w:r>
      <w:r w:rsidR="00802DBA" w:rsidRPr="00AE6F70">
        <w:rPr>
          <w:rFonts w:ascii="Book Antiqua" w:eastAsia="Times New Roman" w:hAnsi="Book Antiqua" w:cs="Times New Roman"/>
          <w:sz w:val="24"/>
          <w:szCs w:val="24"/>
          <w:lang w:val="es-PR"/>
        </w:rPr>
        <w:t>indujeron</w:t>
      </w:r>
      <w:r w:rsidR="00703F9A" w:rsidRPr="00AE6F70">
        <w:rPr>
          <w:rFonts w:ascii="Book Antiqua" w:eastAsia="Times New Roman" w:hAnsi="Book Antiqua" w:cs="Times New Roman"/>
          <w:sz w:val="24"/>
          <w:szCs w:val="24"/>
          <w:lang w:val="es-PR"/>
        </w:rPr>
        <w:t xml:space="preserve"> enmiendas de carácter técnico y </w:t>
      </w:r>
      <w:r w:rsidR="001C2355" w:rsidRPr="00AE6F70">
        <w:rPr>
          <w:rFonts w:ascii="Book Antiqua" w:eastAsia="Times New Roman" w:hAnsi="Book Antiqua" w:cs="Times New Roman"/>
          <w:sz w:val="24"/>
          <w:szCs w:val="24"/>
          <w:lang w:val="es-PR"/>
        </w:rPr>
        <w:t xml:space="preserve">jurídico del proyecto de ley. </w:t>
      </w:r>
      <w:r w:rsidR="009A3EF9" w:rsidRPr="00AE6F70">
        <w:rPr>
          <w:rFonts w:ascii="Book Antiqua" w:eastAsia="Times New Roman" w:hAnsi="Book Antiqua" w:cs="Times New Roman"/>
          <w:sz w:val="24"/>
          <w:szCs w:val="24"/>
          <w:lang w:val="es-PR"/>
        </w:rPr>
        <w:t xml:space="preserve"> </w:t>
      </w:r>
    </w:p>
    <w:p w14:paraId="7BF26D32" w14:textId="77777777" w:rsidR="00635F5A" w:rsidRDefault="00635F5A" w:rsidP="007D17B0">
      <w:pPr>
        <w:spacing w:after="0" w:line="240" w:lineRule="auto"/>
        <w:contextualSpacing/>
        <w:jc w:val="both"/>
        <w:rPr>
          <w:rFonts w:ascii="Book Antiqua" w:eastAsia="Times New Roman" w:hAnsi="Book Antiqua" w:cs="Times New Roman"/>
          <w:sz w:val="24"/>
          <w:szCs w:val="24"/>
          <w:lang w:val="es-PR"/>
        </w:rPr>
      </w:pPr>
    </w:p>
    <w:p w14:paraId="2304453E" w14:textId="0B060155" w:rsidR="00044471" w:rsidRPr="00044471" w:rsidRDefault="00426A07" w:rsidP="00671FFF">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F5D92D6" w14:textId="6B1940EB" w:rsidR="00AC628E" w:rsidRDefault="00AC628E" w:rsidP="00C228C3">
      <w:pPr>
        <w:spacing w:after="0" w:line="360" w:lineRule="auto"/>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luego de la</w:t>
      </w:r>
      <w:r w:rsidRPr="00377730">
        <w:rPr>
          <w:rFonts w:ascii="Book Antiqua" w:eastAsia="Times New Roman" w:hAnsi="Book Antiqua"/>
          <w:sz w:val="24"/>
          <w:szCs w:val="24"/>
          <w:lang w:val="es-PR"/>
        </w:rPr>
        <w:t xml:space="preserve"> consideración correspondiente, tiene a b</w:t>
      </w:r>
      <w:r>
        <w:rPr>
          <w:rFonts w:ascii="Book Antiqua" w:eastAsia="Times New Roman" w:hAnsi="Book Antiqua"/>
          <w:sz w:val="24"/>
          <w:szCs w:val="24"/>
          <w:lang w:val="es-PR"/>
        </w:rPr>
        <w:t>ien someter a este Alto Cuerpo</w:t>
      </w:r>
      <w:r w:rsidRPr="00377730">
        <w:rPr>
          <w:rFonts w:ascii="Book Antiqua" w:eastAsia="Times New Roman" w:hAnsi="Book Antiqua"/>
          <w:sz w:val="24"/>
          <w:szCs w:val="24"/>
          <w:lang w:val="es-PR"/>
        </w:rPr>
        <w:t xml:space="preserve"> s</w:t>
      </w:r>
      <w:r>
        <w:rPr>
          <w:rFonts w:ascii="Book Antiqua" w:eastAsia="Times New Roman" w:hAnsi="Book Antiqua"/>
          <w:sz w:val="24"/>
          <w:szCs w:val="24"/>
          <w:lang w:val="es-PR"/>
        </w:rPr>
        <w:t>u I</w:t>
      </w:r>
      <w:r w:rsidRPr="00377730">
        <w:rPr>
          <w:rFonts w:ascii="Book Antiqua" w:eastAsia="Times New Roman" w:hAnsi="Book Antiqua"/>
          <w:sz w:val="24"/>
          <w:szCs w:val="24"/>
          <w:lang w:val="es-PR"/>
        </w:rPr>
        <w:t xml:space="preserve">nforme, </w:t>
      </w:r>
      <w:r w:rsidRPr="00377730">
        <w:rPr>
          <w:rFonts w:ascii="Book Antiqua" w:eastAsia="Times New Roman" w:hAnsi="Book Antiqua"/>
          <w:b/>
          <w:sz w:val="24"/>
          <w:szCs w:val="24"/>
          <w:lang w:val="es-PR"/>
        </w:rPr>
        <w:t>RECOMENDANDO LA APROBACIÓN</w:t>
      </w:r>
      <w:r w:rsidRPr="00377730">
        <w:rPr>
          <w:rFonts w:ascii="Book Antiqua" w:eastAsia="Times New Roman" w:hAnsi="Book Antiqua"/>
          <w:sz w:val="24"/>
          <w:szCs w:val="24"/>
          <w:lang w:val="es-PR"/>
        </w:rPr>
        <w:t xml:space="preserve"> del </w:t>
      </w:r>
      <w:r w:rsidRPr="0038687D">
        <w:rPr>
          <w:rFonts w:ascii="Book Antiqua" w:eastAsia="Times New Roman" w:hAnsi="Book Antiqua"/>
          <w:b/>
          <w:sz w:val="24"/>
          <w:szCs w:val="24"/>
          <w:lang w:val="es-PR"/>
        </w:rPr>
        <w:t>Proye</w:t>
      </w:r>
      <w:r>
        <w:rPr>
          <w:rFonts w:ascii="Book Antiqua" w:eastAsia="Times New Roman" w:hAnsi="Book Antiqua"/>
          <w:b/>
          <w:sz w:val="24"/>
          <w:szCs w:val="24"/>
          <w:lang w:val="es-PR"/>
        </w:rPr>
        <w:t>cto del Senado</w:t>
      </w:r>
      <w:r w:rsidRPr="0038687D">
        <w:rPr>
          <w:rFonts w:ascii="Book Antiqua" w:eastAsia="Times New Roman" w:hAnsi="Book Antiqua"/>
          <w:b/>
          <w:sz w:val="24"/>
          <w:szCs w:val="24"/>
          <w:lang w:val="es-PR"/>
        </w:rPr>
        <w:t xml:space="preserve"> </w:t>
      </w:r>
      <w:r w:rsidR="0074082C">
        <w:rPr>
          <w:rFonts w:ascii="Book Antiqua" w:eastAsia="Times New Roman" w:hAnsi="Book Antiqua"/>
          <w:b/>
          <w:sz w:val="24"/>
          <w:szCs w:val="24"/>
          <w:lang w:val="es-PR"/>
        </w:rPr>
        <w:t>331</w:t>
      </w:r>
      <w:r w:rsidRPr="00FC2802">
        <w:rPr>
          <w:rFonts w:ascii="Book Antiqua" w:eastAsia="Times New Roman" w:hAnsi="Book Antiqua"/>
          <w:b/>
          <w:sz w:val="24"/>
          <w:szCs w:val="24"/>
          <w:lang w:val="es-PR"/>
        </w:rPr>
        <w:t xml:space="preserve"> </w:t>
      </w:r>
      <w:r w:rsidRPr="00FC2802">
        <w:rPr>
          <w:rFonts w:ascii="Book Antiqua" w:eastAsia="Times New Roman" w:hAnsi="Book Antiqua"/>
          <w:sz w:val="24"/>
          <w:szCs w:val="20"/>
          <w:lang w:val="es-ES_tradnl"/>
        </w:rPr>
        <w:t>con las enmiendas contenidas en el Entirillado Electrónico que se acompaña.</w:t>
      </w:r>
      <w:r w:rsidRPr="0075186D">
        <w:rPr>
          <w:rFonts w:ascii="Book Antiqua" w:eastAsia="Times New Roman" w:hAnsi="Book Antiqua"/>
          <w:sz w:val="24"/>
          <w:szCs w:val="20"/>
          <w:lang w:val="es-ES_tradnl"/>
        </w:rPr>
        <w:t xml:space="preserve"> </w:t>
      </w:r>
    </w:p>
    <w:p w14:paraId="31D6ADD0" w14:textId="77777777" w:rsidR="00044471" w:rsidRPr="00AC628E"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25CC768C"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26C17BFF" w14:textId="5823E4A2" w:rsidR="00E22516" w:rsidRPr="00E616CD" w:rsidRDefault="00E22516" w:rsidP="00946428">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p w14:paraId="3E8DF240" w14:textId="77777777" w:rsidR="00426A07" w:rsidRPr="00E616CD" w:rsidRDefault="00426A07" w:rsidP="00E616CD">
      <w:pPr>
        <w:spacing w:after="0" w:line="276" w:lineRule="auto"/>
        <w:rPr>
          <w:rFonts w:ascii="Book Antiqua" w:hAnsi="Book Antiqua"/>
          <w:lang w:val="es-ES_tradnl"/>
        </w:rPr>
      </w:pPr>
    </w:p>
    <w:p w14:paraId="4CA30EE5" w14:textId="77777777" w:rsidR="00A2416A" w:rsidRPr="00E616CD" w:rsidRDefault="00A2416A" w:rsidP="00E616CD">
      <w:pPr>
        <w:spacing w:after="0" w:line="276" w:lineRule="auto"/>
        <w:rPr>
          <w:rFonts w:ascii="Book Antiqua" w:hAnsi="Book Antiqua"/>
          <w:lang w:val="es-ES"/>
        </w:rPr>
      </w:pP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BB5F8" w14:textId="77777777" w:rsidR="00A75813" w:rsidRDefault="00A75813" w:rsidP="00426A07">
      <w:pPr>
        <w:spacing w:after="0" w:line="240" w:lineRule="auto"/>
      </w:pPr>
      <w:r>
        <w:separator/>
      </w:r>
    </w:p>
  </w:endnote>
  <w:endnote w:type="continuationSeparator" w:id="0">
    <w:p w14:paraId="63980434" w14:textId="77777777" w:rsidR="00A75813" w:rsidRDefault="00A75813"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8AA1A" w14:textId="77777777" w:rsidR="00A75813" w:rsidRDefault="00A75813" w:rsidP="00426A07">
      <w:pPr>
        <w:spacing w:after="0" w:line="240" w:lineRule="auto"/>
      </w:pPr>
      <w:r>
        <w:separator/>
      </w:r>
    </w:p>
  </w:footnote>
  <w:footnote w:type="continuationSeparator" w:id="0">
    <w:p w14:paraId="2043AA85" w14:textId="77777777" w:rsidR="00A75813" w:rsidRDefault="00A75813" w:rsidP="00426A07">
      <w:pPr>
        <w:spacing w:after="0" w:line="240" w:lineRule="auto"/>
      </w:pPr>
      <w:r>
        <w:continuationSeparator/>
      </w:r>
    </w:p>
  </w:footnote>
  <w:footnote w:id="1">
    <w:p w14:paraId="4B3CA34A" w14:textId="77777777" w:rsidR="00ED1BAF" w:rsidRPr="00E236E1" w:rsidRDefault="00ED1BAF" w:rsidP="00ED1BAF">
      <w:pPr>
        <w:jc w:val="both"/>
        <w:rPr>
          <w:rFonts w:ascii="Book Antiqua" w:hAnsi="Book Antiqua"/>
          <w:sz w:val="16"/>
          <w:szCs w:val="16"/>
          <w:lang w:val="es-PR"/>
        </w:rPr>
      </w:pPr>
      <w:r>
        <w:rPr>
          <w:rStyle w:val="FootnoteReference"/>
          <w:rFonts w:ascii="Book Antiqua" w:hAnsi="Book Antiqua"/>
          <w:sz w:val="16"/>
          <w:szCs w:val="16"/>
        </w:rPr>
        <w:footnoteRef/>
      </w:r>
      <w:r>
        <w:rPr>
          <w:rFonts w:ascii="Book Antiqua" w:hAnsi="Book Antiqua"/>
          <w:sz w:val="16"/>
          <w:szCs w:val="16"/>
          <w:lang w:val="es-PR"/>
        </w:rPr>
        <w:t xml:space="preserve"> </w:t>
      </w:r>
      <w:r w:rsidRPr="00E236E1">
        <w:rPr>
          <w:rFonts w:ascii="Book Antiqua" w:hAnsi="Book Antiqua"/>
          <w:sz w:val="16"/>
          <w:szCs w:val="16"/>
          <w:lang w:val="es-PR"/>
        </w:rPr>
        <w:t xml:space="preserve">Centro de Periodismo Investigativo v. Wanda Llovet en su capacidad de directora del Registro Demográfico de Puerto Rico, Civil Núm. SJ2018CV00561, consolidado con </w:t>
      </w:r>
      <w:r w:rsidRPr="00097937">
        <w:rPr>
          <w:rFonts w:ascii="Book Antiqua" w:hAnsi="Book Antiqua"/>
          <w:i/>
          <w:iCs/>
          <w:sz w:val="16"/>
          <w:szCs w:val="16"/>
          <w:lang w:val="es-PR"/>
        </w:rPr>
        <w:t>The Cable News Network, Inc</w:t>
      </w:r>
      <w:r w:rsidRPr="00E236E1">
        <w:rPr>
          <w:rFonts w:ascii="Book Antiqua" w:hAnsi="Book Antiqua"/>
          <w:sz w:val="16"/>
          <w:szCs w:val="16"/>
          <w:lang w:val="es-PR"/>
        </w:rPr>
        <w:t>. v. Wanda Llovet en su capacidad de directora del Registro Demográfico de Puerto Rico, Civil Núm. SJ2018CV00843, Sentencia del 4 de junio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1FF67619"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64310C">
      <w:rPr>
        <w:rFonts w:ascii="Book Antiqua" w:hAnsi="Book Antiqua" w:cs="Arial"/>
        <w:b/>
        <w:bCs/>
        <w:sz w:val="20"/>
        <w:szCs w:val="20"/>
        <w:lang w:val="es-419"/>
      </w:rPr>
      <w:t>331</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085B06"/>
    <w:multiLevelType w:val="hybridMultilevel"/>
    <w:tmpl w:val="7062C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CB7BF6"/>
    <w:multiLevelType w:val="multilevel"/>
    <w:tmpl w:val="CBF882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6"/>
  </w:num>
  <w:num w:numId="2" w16cid:durableId="2020693400">
    <w:abstractNumId w:val="0"/>
  </w:num>
  <w:num w:numId="3" w16cid:durableId="587807769">
    <w:abstractNumId w:val="2"/>
  </w:num>
  <w:num w:numId="4" w16cid:durableId="965046320">
    <w:abstractNumId w:val="1"/>
  </w:num>
  <w:num w:numId="5" w16cid:durableId="96758950">
    <w:abstractNumId w:val="7"/>
  </w:num>
  <w:num w:numId="6" w16cid:durableId="1647588523">
    <w:abstractNumId w:val="8"/>
  </w:num>
  <w:num w:numId="7" w16cid:durableId="1210799447">
    <w:abstractNumId w:val="3"/>
  </w:num>
  <w:num w:numId="8" w16cid:durableId="5901671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90796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2692C"/>
    <w:rsid w:val="00042970"/>
    <w:rsid w:val="00044471"/>
    <w:rsid w:val="000505DD"/>
    <w:rsid w:val="00050C02"/>
    <w:rsid w:val="00052747"/>
    <w:rsid w:val="000713DF"/>
    <w:rsid w:val="0007703B"/>
    <w:rsid w:val="0008359E"/>
    <w:rsid w:val="0008420D"/>
    <w:rsid w:val="0009185C"/>
    <w:rsid w:val="000B39D2"/>
    <w:rsid w:val="000E3382"/>
    <w:rsid w:val="000F067D"/>
    <w:rsid w:val="000F2EA5"/>
    <w:rsid w:val="000F5E10"/>
    <w:rsid w:val="00101BCE"/>
    <w:rsid w:val="00102103"/>
    <w:rsid w:val="0010782B"/>
    <w:rsid w:val="00107E83"/>
    <w:rsid w:val="00114466"/>
    <w:rsid w:val="00115431"/>
    <w:rsid w:val="0011567E"/>
    <w:rsid w:val="00121C66"/>
    <w:rsid w:val="00131CEE"/>
    <w:rsid w:val="00145D40"/>
    <w:rsid w:val="00150F0B"/>
    <w:rsid w:val="00157AC0"/>
    <w:rsid w:val="00157D56"/>
    <w:rsid w:val="0016187F"/>
    <w:rsid w:val="00163B7A"/>
    <w:rsid w:val="00171190"/>
    <w:rsid w:val="001752C0"/>
    <w:rsid w:val="001826A5"/>
    <w:rsid w:val="001A2329"/>
    <w:rsid w:val="001B7A9B"/>
    <w:rsid w:val="001C09CB"/>
    <w:rsid w:val="001C2355"/>
    <w:rsid w:val="001C3557"/>
    <w:rsid w:val="001D0047"/>
    <w:rsid w:val="001E2E3F"/>
    <w:rsid w:val="00211C12"/>
    <w:rsid w:val="002129CF"/>
    <w:rsid w:val="00220B88"/>
    <w:rsid w:val="00224265"/>
    <w:rsid w:val="002248B3"/>
    <w:rsid w:val="00227142"/>
    <w:rsid w:val="0023195A"/>
    <w:rsid w:val="0024559D"/>
    <w:rsid w:val="00245CF4"/>
    <w:rsid w:val="00271566"/>
    <w:rsid w:val="0028201F"/>
    <w:rsid w:val="002A68F3"/>
    <w:rsid w:val="002B7C37"/>
    <w:rsid w:val="002D2EE2"/>
    <w:rsid w:val="0030144D"/>
    <w:rsid w:val="003015EB"/>
    <w:rsid w:val="00305FAE"/>
    <w:rsid w:val="00311229"/>
    <w:rsid w:val="00324C4A"/>
    <w:rsid w:val="00330CD4"/>
    <w:rsid w:val="00331333"/>
    <w:rsid w:val="00344ADE"/>
    <w:rsid w:val="00354502"/>
    <w:rsid w:val="00354DC8"/>
    <w:rsid w:val="00364E2E"/>
    <w:rsid w:val="0036586B"/>
    <w:rsid w:val="0036586D"/>
    <w:rsid w:val="0038786D"/>
    <w:rsid w:val="00387DF3"/>
    <w:rsid w:val="00390330"/>
    <w:rsid w:val="003A065C"/>
    <w:rsid w:val="003D1330"/>
    <w:rsid w:val="003D2072"/>
    <w:rsid w:val="003E49DB"/>
    <w:rsid w:val="003F079D"/>
    <w:rsid w:val="004171FC"/>
    <w:rsid w:val="00426A07"/>
    <w:rsid w:val="0043323B"/>
    <w:rsid w:val="00440AB1"/>
    <w:rsid w:val="0047020E"/>
    <w:rsid w:val="0049050E"/>
    <w:rsid w:val="004928DD"/>
    <w:rsid w:val="004A4A6D"/>
    <w:rsid w:val="004B3D9A"/>
    <w:rsid w:val="004B6507"/>
    <w:rsid w:val="004C1C8A"/>
    <w:rsid w:val="004C2432"/>
    <w:rsid w:val="004C32B1"/>
    <w:rsid w:val="004D6303"/>
    <w:rsid w:val="004F08A2"/>
    <w:rsid w:val="00501C09"/>
    <w:rsid w:val="00501E8E"/>
    <w:rsid w:val="00505311"/>
    <w:rsid w:val="00546410"/>
    <w:rsid w:val="00555766"/>
    <w:rsid w:val="00560C4D"/>
    <w:rsid w:val="0057070A"/>
    <w:rsid w:val="00590286"/>
    <w:rsid w:val="005A50E1"/>
    <w:rsid w:val="005B2E7F"/>
    <w:rsid w:val="005C5687"/>
    <w:rsid w:val="005D44FB"/>
    <w:rsid w:val="005E243D"/>
    <w:rsid w:val="005E5101"/>
    <w:rsid w:val="0060292F"/>
    <w:rsid w:val="00607F19"/>
    <w:rsid w:val="0062552E"/>
    <w:rsid w:val="00635F5A"/>
    <w:rsid w:val="0064310C"/>
    <w:rsid w:val="00655909"/>
    <w:rsid w:val="00665BA1"/>
    <w:rsid w:val="0066653F"/>
    <w:rsid w:val="00667247"/>
    <w:rsid w:val="00671FFF"/>
    <w:rsid w:val="0068118A"/>
    <w:rsid w:val="00693271"/>
    <w:rsid w:val="00696626"/>
    <w:rsid w:val="006B1A89"/>
    <w:rsid w:val="006B1D8B"/>
    <w:rsid w:val="006C307F"/>
    <w:rsid w:val="006C30D2"/>
    <w:rsid w:val="006D07A7"/>
    <w:rsid w:val="006E00A3"/>
    <w:rsid w:val="006F49B2"/>
    <w:rsid w:val="006F7C1D"/>
    <w:rsid w:val="00703F9A"/>
    <w:rsid w:val="007136A5"/>
    <w:rsid w:val="00715E89"/>
    <w:rsid w:val="00737B58"/>
    <w:rsid w:val="0074082C"/>
    <w:rsid w:val="007446A2"/>
    <w:rsid w:val="00754CB9"/>
    <w:rsid w:val="007572BF"/>
    <w:rsid w:val="0076193A"/>
    <w:rsid w:val="00770C2A"/>
    <w:rsid w:val="00796116"/>
    <w:rsid w:val="0079725F"/>
    <w:rsid w:val="007A07E0"/>
    <w:rsid w:val="007D17B0"/>
    <w:rsid w:val="007E656E"/>
    <w:rsid w:val="007F67FB"/>
    <w:rsid w:val="00802DBA"/>
    <w:rsid w:val="00805184"/>
    <w:rsid w:val="00807B80"/>
    <w:rsid w:val="00811351"/>
    <w:rsid w:val="00822EE3"/>
    <w:rsid w:val="008443FA"/>
    <w:rsid w:val="00857E10"/>
    <w:rsid w:val="00860BD4"/>
    <w:rsid w:val="0086351E"/>
    <w:rsid w:val="008720C8"/>
    <w:rsid w:val="00873A58"/>
    <w:rsid w:val="0089459D"/>
    <w:rsid w:val="008A02D7"/>
    <w:rsid w:val="008A0F91"/>
    <w:rsid w:val="008B41F5"/>
    <w:rsid w:val="008C05EA"/>
    <w:rsid w:val="008C1669"/>
    <w:rsid w:val="008C4012"/>
    <w:rsid w:val="008C4CF4"/>
    <w:rsid w:val="008C63DB"/>
    <w:rsid w:val="008E0949"/>
    <w:rsid w:val="00903165"/>
    <w:rsid w:val="00903BC2"/>
    <w:rsid w:val="0090642F"/>
    <w:rsid w:val="009070B9"/>
    <w:rsid w:val="0091125D"/>
    <w:rsid w:val="00912219"/>
    <w:rsid w:val="00932C0E"/>
    <w:rsid w:val="00936D96"/>
    <w:rsid w:val="00945AE9"/>
    <w:rsid w:val="00946428"/>
    <w:rsid w:val="00952B1F"/>
    <w:rsid w:val="00960C5A"/>
    <w:rsid w:val="00970C8D"/>
    <w:rsid w:val="00976808"/>
    <w:rsid w:val="00982738"/>
    <w:rsid w:val="00991BBE"/>
    <w:rsid w:val="009A3EF9"/>
    <w:rsid w:val="009B0831"/>
    <w:rsid w:val="009B12D6"/>
    <w:rsid w:val="009B58DA"/>
    <w:rsid w:val="009C4659"/>
    <w:rsid w:val="009C7756"/>
    <w:rsid w:val="009D290A"/>
    <w:rsid w:val="009D428E"/>
    <w:rsid w:val="009F1CA2"/>
    <w:rsid w:val="00A0136F"/>
    <w:rsid w:val="00A0468C"/>
    <w:rsid w:val="00A12D8F"/>
    <w:rsid w:val="00A14818"/>
    <w:rsid w:val="00A215E6"/>
    <w:rsid w:val="00A2416A"/>
    <w:rsid w:val="00A33ED7"/>
    <w:rsid w:val="00A50CF5"/>
    <w:rsid w:val="00A52183"/>
    <w:rsid w:val="00A71169"/>
    <w:rsid w:val="00A72CAB"/>
    <w:rsid w:val="00A73D5D"/>
    <w:rsid w:val="00A7513C"/>
    <w:rsid w:val="00A75145"/>
    <w:rsid w:val="00A75813"/>
    <w:rsid w:val="00A779E2"/>
    <w:rsid w:val="00A87A70"/>
    <w:rsid w:val="00A87FA9"/>
    <w:rsid w:val="00A87FEE"/>
    <w:rsid w:val="00A90166"/>
    <w:rsid w:val="00A911B4"/>
    <w:rsid w:val="00A92BB8"/>
    <w:rsid w:val="00A94D63"/>
    <w:rsid w:val="00AB4673"/>
    <w:rsid w:val="00AC628E"/>
    <w:rsid w:val="00AC76D1"/>
    <w:rsid w:val="00AE4179"/>
    <w:rsid w:val="00AE6F70"/>
    <w:rsid w:val="00AF515D"/>
    <w:rsid w:val="00B05996"/>
    <w:rsid w:val="00B1528E"/>
    <w:rsid w:val="00B41848"/>
    <w:rsid w:val="00B73770"/>
    <w:rsid w:val="00B829FB"/>
    <w:rsid w:val="00B918D5"/>
    <w:rsid w:val="00B920DA"/>
    <w:rsid w:val="00B93805"/>
    <w:rsid w:val="00B9492A"/>
    <w:rsid w:val="00B97BCB"/>
    <w:rsid w:val="00BA1C54"/>
    <w:rsid w:val="00BA4DB0"/>
    <w:rsid w:val="00BB03EB"/>
    <w:rsid w:val="00BB1912"/>
    <w:rsid w:val="00BB2E81"/>
    <w:rsid w:val="00BB4341"/>
    <w:rsid w:val="00BC49FE"/>
    <w:rsid w:val="00BC74A8"/>
    <w:rsid w:val="00BF27E3"/>
    <w:rsid w:val="00C12448"/>
    <w:rsid w:val="00C12DB2"/>
    <w:rsid w:val="00C208BC"/>
    <w:rsid w:val="00C228C3"/>
    <w:rsid w:val="00C3020F"/>
    <w:rsid w:val="00C3355E"/>
    <w:rsid w:val="00C34095"/>
    <w:rsid w:val="00C41B7E"/>
    <w:rsid w:val="00C50AF5"/>
    <w:rsid w:val="00C54EE1"/>
    <w:rsid w:val="00CA352E"/>
    <w:rsid w:val="00CB1613"/>
    <w:rsid w:val="00CB4C0D"/>
    <w:rsid w:val="00D04038"/>
    <w:rsid w:val="00D058C7"/>
    <w:rsid w:val="00D12C50"/>
    <w:rsid w:val="00D12D7A"/>
    <w:rsid w:val="00D23D1A"/>
    <w:rsid w:val="00D360F4"/>
    <w:rsid w:val="00D404C1"/>
    <w:rsid w:val="00D45D3F"/>
    <w:rsid w:val="00D45ECB"/>
    <w:rsid w:val="00D566A9"/>
    <w:rsid w:val="00D80200"/>
    <w:rsid w:val="00D80846"/>
    <w:rsid w:val="00D8110D"/>
    <w:rsid w:val="00D8627E"/>
    <w:rsid w:val="00D92576"/>
    <w:rsid w:val="00D92E85"/>
    <w:rsid w:val="00D931FF"/>
    <w:rsid w:val="00D9432E"/>
    <w:rsid w:val="00DA0B1E"/>
    <w:rsid w:val="00DB1880"/>
    <w:rsid w:val="00DC23D9"/>
    <w:rsid w:val="00DC4633"/>
    <w:rsid w:val="00DE5511"/>
    <w:rsid w:val="00DF4195"/>
    <w:rsid w:val="00DF4A9B"/>
    <w:rsid w:val="00DF673C"/>
    <w:rsid w:val="00E169C9"/>
    <w:rsid w:val="00E206E7"/>
    <w:rsid w:val="00E22516"/>
    <w:rsid w:val="00E244B6"/>
    <w:rsid w:val="00E306BC"/>
    <w:rsid w:val="00E34F84"/>
    <w:rsid w:val="00E44641"/>
    <w:rsid w:val="00E50D1C"/>
    <w:rsid w:val="00E52E2E"/>
    <w:rsid w:val="00E616CD"/>
    <w:rsid w:val="00E63910"/>
    <w:rsid w:val="00E72848"/>
    <w:rsid w:val="00E81FF3"/>
    <w:rsid w:val="00EA0C16"/>
    <w:rsid w:val="00EA1488"/>
    <w:rsid w:val="00EA3604"/>
    <w:rsid w:val="00EA7611"/>
    <w:rsid w:val="00EC291A"/>
    <w:rsid w:val="00EC75AE"/>
    <w:rsid w:val="00ED1BAF"/>
    <w:rsid w:val="00EE428D"/>
    <w:rsid w:val="00EE5266"/>
    <w:rsid w:val="00EF4B78"/>
    <w:rsid w:val="00F15EC5"/>
    <w:rsid w:val="00F17096"/>
    <w:rsid w:val="00F170F6"/>
    <w:rsid w:val="00F23B9B"/>
    <w:rsid w:val="00F26A91"/>
    <w:rsid w:val="00F301DE"/>
    <w:rsid w:val="00F338A0"/>
    <w:rsid w:val="00F471D6"/>
    <w:rsid w:val="00F50386"/>
    <w:rsid w:val="00F54236"/>
    <w:rsid w:val="00F67089"/>
    <w:rsid w:val="00F6728B"/>
    <w:rsid w:val="00F67530"/>
    <w:rsid w:val="00F7790D"/>
    <w:rsid w:val="00FA5EAD"/>
    <w:rsid w:val="00FB1365"/>
    <w:rsid w:val="00FB185F"/>
    <w:rsid w:val="00FB2671"/>
    <w:rsid w:val="00FB2BB6"/>
    <w:rsid w:val="00FC0053"/>
    <w:rsid w:val="00FC0927"/>
    <w:rsid w:val="00FE1780"/>
    <w:rsid w:val="00FE4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569118680">
      <w:bodyDiv w:val="1"/>
      <w:marLeft w:val="0"/>
      <w:marRight w:val="0"/>
      <w:marTop w:val="0"/>
      <w:marBottom w:val="0"/>
      <w:divBdr>
        <w:top w:val="none" w:sz="0" w:space="0" w:color="auto"/>
        <w:left w:val="none" w:sz="0" w:space="0" w:color="auto"/>
        <w:bottom w:val="none" w:sz="0" w:space="0" w:color="auto"/>
        <w:right w:val="none" w:sz="0" w:space="0" w:color="auto"/>
      </w:divBdr>
    </w:div>
    <w:div w:id="1463616164">
      <w:bodyDiv w:val="1"/>
      <w:marLeft w:val="0"/>
      <w:marRight w:val="0"/>
      <w:marTop w:val="0"/>
      <w:marBottom w:val="0"/>
      <w:divBdr>
        <w:top w:val="none" w:sz="0" w:space="0" w:color="auto"/>
        <w:left w:val="none" w:sz="0" w:space="0" w:color="auto"/>
        <w:bottom w:val="none" w:sz="0" w:space="0" w:color="auto"/>
        <w:right w:val="none" w:sz="0" w:space="0" w:color="auto"/>
      </w:divBdr>
    </w:div>
    <w:div w:id="168670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4SQX5P7U7WPY-958212181-813148</_dlc_DocId>
    <_dlc_DocIdUrl xmlns="c890fddd-4e87-4e08-8b51-545f2a3f7b06">
      <Url>https://senpr.sharepoint.com/sites/obralegislativa/_layouts/15/DocIdRedir.aspx?ID=4SQX5P7U7WPY-958212181-813148</Url>
      <Description>4SQX5P7U7WPY-958212181-813148</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2313</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Eric J. González (Trámites y Récords)</cp:lastModifiedBy>
  <cp:revision>3</cp:revision>
  <cp:lastPrinted>2025-05-12T16:31:00Z</cp:lastPrinted>
  <dcterms:created xsi:type="dcterms:W3CDTF">2025-05-14T14:58:00Z</dcterms:created>
  <dcterms:modified xsi:type="dcterms:W3CDTF">2025-05-14T14:58:00Z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3644820a-fa53-4efc-9923-953849890071</vt:lpwstr>
  </property>
  <property fmtid="{D5CDD505-2E9C-101B-9397-08002B2CF9AE}" pid="4" name="MediaServiceImageTags">
    <vt:lpwstr/>
  </property>
</Properties>
</file>