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1FD08079"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1601AB">
        <w:rPr>
          <w:rFonts w:ascii="Book Antiqua" w:hAnsi="Book Antiqua"/>
          <w:b/>
          <w:sz w:val="52"/>
          <w:lang w:val="es-ES_tradnl"/>
        </w:rPr>
        <w:t>332</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1FAEF753" w:rsidR="001B5218" w:rsidRPr="005E150B" w:rsidRDefault="003B636C"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3859FC">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3C9312AA" w:rsidR="005B2884" w:rsidRPr="00A11ED0" w:rsidRDefault="00A52CD9" w:rsidP="003859FC">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A75F89">
        <w:rPr>
          <w:rFonts w:ascii="Book Antiqua" w:hAnsi="Book Antiqua"/>
          <w:spacing w:val="-3"/>
          <w:lang w:val="es-ES_tradnl"/>
        </w:rPr>
        <w:t>Proyecto</w:t>
      </w:r>
      <w:r w:rsidR="003903D5">
        <w:rPr>
          <w:rFonts w:ascii="Book Antiqua" w:hAnsi="Book Antiqua"/>
          <w:spacing w:val="-3"/>
          <w:lang w:val="es-ES_tradnl"/>
        </w:rPr>
        <w:t xml:space="preserve"> del Senado 332,</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A75F89" w:rsidRPr="00A75F89">
        <w:rPr>
          <w:rFonts w:ascii="Book Antiqua" w:hAnsi="Book Antiqua"/>
          <w:spacing w:val="-3"/>
          <w:lang w:val="es-ES_tradnl"/>
        </w:rPr>
        <w:t>s</w:t>
      </w:r>
      <w:r w:rsidR="00E17E3B" w:rsidRPr="00A75F89">
        <w:rPr>
          <w:rFonts w:ascii="Book Antiqua" w:hAnsi="Book Antiqua"/>
          <w:spacing w:val="-3"/>
          <w:lang w:val="es-ES_tradnl"/>
        </w:rPr>
        <w:t>in enmiendas</w:t>
      </w:r>
      <w:r w:rsidR="002C402D" w:rsidRPr="00A75F89">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3859FC">
      <w:pPr>
        <w:suppressAutoHyphens/>
        <w:spacing w:line="276" w:lineRule="auto"/>
        <w:jc w:val="both"/>
        <w:rPr>
          <w:rFonts w:ascii="Book Antiqua" w:hAnsi="Book Antiqua"/>
          <w:spacing w:val="-3"/>
          <w:lang w:val="es-ES_tradnl"/>
        </w:rPr>
      </w:pPr>
    </w:p>
    <w:p w14:paraId="632423B1" w14:textId="77777777" w:rsidR="0024131E" w:rsidRPr="00A11ED0" w:rsidRDefault="001B5218" w:rsidP="003859FC">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3859FC">
      <w:pPr>
        <w:tabs>
          <w:tab w:val="left" w:pos="-720"/>
        </w:tabs>
        <w:suppressAutoHyphens/>
        <w:spacing w:line="276" w:lineRule="auto"/>
        <w:rPr>
          <w:rFonts w:ascii="Book Antiqua" w:hAnsi="Book Antiqua"/>
          <w:b/>
          <w:bCs/>
          <w:szCs w:val="24"/>
          <w:lang w:val="es-ES_tradnl"/>
        </w:rPr>
      </w:pPr>
    </w:p>
    <w:p w14:paraId="7C7A3389" w14:textId="09D6AB2F" w:rsidR="006F51A8" w:rsidRPr="00A11ED0" w:rsidRDefault="009F427F" w:rsidP="003859FC">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A75F89">
        <w:rPr>
          <w:rFonts w:ascii="Book Antiqua" w:hAnsi="Book Antiqua"/>
          <w:lang w:val="es-PR"/>
        </w:rPr>
        <w:t>332</w:t>
      </w:r>
      <w:r w:rsidRPr="00A11ED0">
        <w:rPr>
          <w:rFonts w:ascii="Book Antiqua" w:hAnsi="Book Antiqua"/>
          <w:lang w:val="es-PR"/>
        </w:rPr>
        <w:t xml:space="preserve"> </w:t>
      </w:r>
      <w:r w:rsidRPr="00337BB7">
        <w:rPr>
          <w:rFonts w:ascii="Book Antiqua" w:hAnsi="Book Antiqua"/>
          <w:lang w:val="es-PR"/>
        </w:rPr>
        <w:t xml:space="preserve">(en adelante, P. del S. </w:t>
      </w:r>
      <w:r w:rsidR="00A75F89">
        <w:rPr>
          <w:rFonts w:ascii="Book Antiqua" w:hAnsi="Book Antiqua"/>
          <w:lang w:val="es-PR"/>
        </w:rPr>
        <w:t>332),</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A75F89">
        <w:rPr>
          <w:rFonts w:ascii="Book Antiqua" w:hAnsi="Book Antiqua"/>
          <w:lang w:val="es-PR"/>
        </w:rPr>
        <w:t xml:space="preserve"> </w:t>
      </w:r>
      <w:r w:rsidR="00A75F89" w:rsidRPr="00954461">
        <w:rPr>
          <w:rFonts w:ascii="Book Antiqua" w:hAnsi="Book Antiqua"/>
          <w:szCs w:val="24"/>
          <w:lang w:val="es-ES_tradnl"/>
        </w:rPr>
        <w:t xml:space="preserve">enmendar el Artículo 127-A de la Ley 146-2012, según enmendada, conocida como “Código Penal de Puerto Rico”, a los fines de </w:t>
      </w:r>
      <w:r w:rsidR="00A75F89">
        <w:rPr>
          <w:rFonts w:ascii="Book Antiqua" w:hAnsi="Book Antiqua"/>
          <w:szCs w:val="24"/>
          <w:lang w:val="es-ES_tradnl"/>
        </w:rPr>
        <w:t>aumentar</w:t>
      </w:r>
      <w:r w:rsidR="00A75F89" w:rsidRPr="00954461">
        <w:rPr>
          <w:rFonts w:ascii="Book Antiqua" w:hAnsi="Book Antiqua"/>
          <w:szCs w:val="24"/>
          <w:lang w:val="es-ES_tradnl"/>
        </w:rPr>
        <w:t xml:space="preserve"> la pena impuesta por cometer el delito de maltrato a personas de edad avanzada</w:t>
      </w:r>
      <w:r w:rsidR="00A75F89">
        <w:rPr>
          <w:rFonts w:ascii="Book Antiqua" w:hAnsi="Book Antiqua"/>
          <w:szCs w:val="24"/>
          <w:lang w:val="es-ES_tradnl"/>
        </w:rPr>
        <w:t xml:space="preserve"> de diez (10) a doce (12) años.</w:t>
      </w:r>
    </w:p>
    <w:bookmarkEnd w:id="4"/>
    <w:p w14:paraId="771800BC" w14:textId="77777777" w:rsidR="00A06A16" w:rsidRPr="00A11ED0" w:rsidRDefault="00A06A16" w:rsidP="003859FC">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3859FC">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3859FC">
      <w:pPr>
        <w:tabs>
          <w:tab w:val="left" w:pos="-720"/>
        </w:tabs>
        <w:suppressAutoHyphens/>
        <w:spacing w:line="276" w:lineRule="auto"/>
        <w:ind w:firstLine="360"/>
        <w:jc w:val="center"/>
        <w:rPr>
          <w:rFonts w:ascii="Book Antiqua" w:hAnsi="Book Antiqua"/>
          <w:b/>
          <w:bCs/>
          <w:lang w:val="es-PR"/>
        </w:rPr>
      </w:pPr>
    </w:p>
    <w:p w14:paraId="7A21EE65" w14:textId="6DB4AF65" w:rsidR="006239E8" w:rsidRDefault="009F524F"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763A7" w:rsidRPr="009763A7">
        <w:rPr>
          <w:rFonts w:ascii="Book Antiqua" w:hAnsi="Book Antiqua"/>
          <w:lang w:val="es-PR"/>
        </w:rPr>
        <w:t>El Proyecto del Senado 332 busca enmendar el Artículo 127-A del Código Penal de Puerto Rico (Ley 146-2012) para aumentar la pena por el delito de maltrato a personas de edad avanzada. La exposición de motivos del proyecto señala que la política pública de Puerto Rico reconoce la responsabilidad del Estado de mejorar las condiciones de vida de los adultos mayores, garantizar su bienestar y preservar su integridad física y emocional. La Ley 121-2019, conocida como la Carta de Derechos y la Política Pública del Gobierno a Favor de los Adultos Mayores, reconoce esta política.</w:t>
      </w:r>
      <w:r w:rsidR="008E4B60">
        <w:rPr>
          <w:rFonts w:ascii="Book Antiqua" w:hAnsi="Book Antiqua"/>
          <w:lang w:val="es-PR"/>
        </w:rPr>
        <w:t xml:space="preserve"> </w:t>
      </w:r>
      <w:r w:rsidR="009763A7" w:rsidRPr="009763A7">
        <w:rPr>
          <w:rFonts w:ascii="Book Antiqua" w:hAnsi="Book Antiqua"/>
          <w:lang w:val="es-PR"/>
        </w:rPr>
        <w:t xml:space="preserve">Se argumenta que, aunque el Código Penal fue enmendado previamente con la Ley </w:t>
      </w:r>
      <w:r w:rsidR="009763A7" w:rsidRPr="009763A7">
        <w:rPr>
          <w:rFonts w:ascii="Book Antiqua" w:hAnsi="Book Antiqua"/>
          <w:lang w:val="es-PR"/>
        </w:rPr>
        <w:lastRenderedPageBreak/>
        <w:t xml:space="preserve">138-2014 para incluir delitos como el maltrato y la explotación financiera de personas de edad </w:t>
      </w:r>
      <w:proofErr w:type="gramStart"/>
      <w:r w:rsidR="009763A7" w:rsidRPr="009763A7">
        <w:rPr>
          <w:rFonts w:ascii="Book Antiqua" w:hAnsi="Book Antiqua"/>
          <w:lang w:val="es-PR"/>
        </w:rPr>
        <w:t>avanzada ,</w:t>
      </w:r>
      <w:proofErr w:type="gramEnd"/>
      <w:r w:rsidR="009763A7" w:rsidRPr="009763A7">
        <w:rPr>
          <w:rFonts w:ascii="Book Antiqua" w:hAnsi="Book Antiqua"/>
          <w:lang w:val="es-PR"/>
        </w:rPr>
        <w:t xml:space="preserve"> las penas actuales no son proporcionales. Específicamente, se señala que la pena por maltrato mediante amenaza es de seis años, mientras que la pena por maltrato (abuso físico, emocional, financiero, agresión, robo, etc.) es de diez años, lo que se considera desproporcionado. Por lo tanto, el proyecto propone que la pena por el delito de maltrato a personas de edad avanzada se incremente a doce años de reclusión, en lugar de los diez años actuales. El objetivo es que la pena refleje con mayor claridad la intención de proteger el bienestar de los adultos mayores.</w:t>
      </w:r>
    </w:p>
    <w:p w14:paraId="634BDB99" w14:textId="418792AE" w:rsidR="00393CA6" w:rsidRDefault="009F524F"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0A1A81">
        <w:rPr>
          <w:rFonts w:ascii="Book Antiqua" w:hAnsi="Book Antiqua"/>
          <w:spacing w:val="-3"/>
          <w:lang w:val="es-ES_tradnl"/>
        </w:rPr>
        <w:t>P. del S. 332,</w:t>
      </w:r>
      <w:r w:rsidR="00481C39" w:rsidRPr="00A11ED0">
        <w:rPr>
          <w:rFonts w:ascii="Book Antiqua" w:hAnsi="Book Antiqua"/>
          <w:lang w:val="es-PR"/>
        </w:rPr>
        <w:t xml:space="preserve"> </w:t>
      </w:r>
      <w:r>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0A1A81">
        <w:rPr>
          <w:rFonts w:ascii="Book Antiqua" w:hAnsi="Book Antiqua"/>
          <w:lang w:val="es-PR"/>
        </w:rPr>
        <w:t>de</w:t>
      </w:r>
      <w:r w:rsidR="009154BD" w:rsidRPr="00337BB7">
        <w:rPr>
          <w:rFonts w:ascii="Book Antiqua" w:hAnsi="Book Antiqua"/>
          <w:lang w:val="es-PR"/>
        </w:rPr>
        <w:t xml:space="preserve"> las siguientes agencias y entidades</w:t>
      </w:r>
      <w:r w:rsidR="009313EE">
        <w:rPr>
          <w:rFonts w:ascii="Book Antiqua" w:hAnsi="Book Antiqua"/>
          <w:lang w:val="es-PR"/>
        </w:rPr>
        <w:t>:</w:t>
      </w:r>
      <w:r w:rsidR="00393CA6">
        <w:rPr>
          <w:rFonts w:ascii="Book Antiqua" w:hAnsi="Book Antiqua"/>
          <w:lang w:val="es-PR"/>
        </w:rPr>
        <w:t xml:space="preserve"> </w:t>
      </w:r>
      <w:r w:rsidR="004D2917">
        <w:rPr>
          <w:rFonts w:ascii="Book Antiqua" w:hAnsi="Book Antiqua"/>
          <w:lang w:val="es-PR"/>
        </w:rPr>
        <w:t xml:space="preserve">Colegio de </w:t>
      </w:r>
      <w:proofErr w:type="gramStart"/>
      <w:r w:rsidR="004D2917">
        <w:rPr>
          <w:rFonts w:ascii="Book Antiqua" w:hAnsi="Book Antiqua"/>
          <w:lang w:val="es-PR"/>
        </w:rPr>
        <w:t>Abogados y Abogadas</w:t>
      </w:r>
      <w:proofErr w:type="gramEnd"/>
      <w:r w:rsidR="004D2917">
        <w:rPr>
          <w:rFonts w:ascii="Book Antiqua" w:hAnsi="Book Antiqua"/>
          <w:lang w:val="es-PR"/>
        </w:rPr>
        <w:t xml:space="preserve"> de Puerto Rico, Departamento de la Familia y la Oficina de Administración de los Tribunales. </w:t>
      </w:r>
      <w:r w:rsidR="006D5838" w:rsidRPr="00A11ED0">
        <w:rPr>
          <w:rFonts w:ascii="Book Antiqua" w:hAnsi="Book Antiqua"/>
          <w:lang w:val="es-PR"/>
        </w:rPr>
        <w:t xml:space="preserve"> </w:t>
      </w:r>
    </w:p>
    <w:p w14:paraId="7D81C205" w14:textId="0A79EB58" w:rsidR="006D5838" w:rsidRPr="00337BB7" w:rsidRDefault="009F524F"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3859FC">
      <w:pPr>
        <w:tabs>
          <w:tab w:val="left" w:pos="-720"/>
        </w:tabs>
        <w:suppressAutoHyphens/>
        <w:spacing w:line="276" w:lineRule="auto"/>
        <w:jc w:val="both"/>
        <w:rPr>
          <w:rFonts w:ascii="Book Antiqua" w:hAnsi="Book Antiqua"/>
          <w:b/>
          <w:bCs/>
          <w:u w:val="single"/>
          <w:lang w:val="es-PR"/>
        </w:rPr>
      </w:pPr>
    </w:p>
    <w:p w14:paraId="2803F8C0" w14:textId="5BB27E59" w:rsidR="00C931AD" w:rsidRPr="00C931AD" w:rsidRDefault="00C931AD" w:rsidP="003859FC">
      <w:pPr>
        <w:tabs>
          <w:tab w:val="left" w:pos="-720"/>
        </w:tabs>
        <w:suppressAutoHyphens/>
        <w:spacing w:line="276" w:lineRule="auto"/>
        <w:jc w:val="center"/>
        <w:rPr>
          <w:rFonts w:ascii="Book Antiqua" w:hAnsi="Book Antiqua"/>
          <w:b/>
          <w:bCs/>
          <w:lang w:val="es-PR"/>
        </w:rPr>
      </w:pPr>
      <w:r w:rsidRPr="00C931AD">
        <w:rPr>
          <w:rFonts w:ascii="Book Antiqua" w:hAnsi="Book Antiqua"/>
          <w:b/>
          <w:bCs/>
          <w:lang w:val="es-PR"/>
        </w:rPr>
        <w:t xml:space="preserve">COLEGIO DE </w:t>
      </w:r>
      <w:proofErr w:type="gramStart"/>
      <w:r w:rsidRPr="00C931AD">
        <w:rPr>
          <w:rFonts w:ascii="Book Antiqua" w:hAnsi="Book Antiqua"/>
          <w:b/>
          <w:bCs/>
          <w:lang w:val="es-PR"/>
        </w:rPr>
        <w:t>ABOGADOS Y ABOGADAS</w:t>
      </w:r>
      <w:proofErr w:type="gramEnd"/>
      <w:r w:rsidRPr="00C931AD">
        <w:rPr>
          <w:rFonts w:ascii="Book Antiqua" w:hAnsi="Book Antiqua"/>
          <w:b/>
          <w:bCs/>
          <w:lang w:val="es-PR"/>
        </w:rPr>
        <w:t xml:space="preserve"> DE PUERTO RICO</w:t>
      </w:r>
    </w:p>
    <w:p w14:paraId="3D676AC3" w14:textId="77777777" w:rsidR="00C931AD" w:rsidRDefault="00C931AD" w:rsidP="003859FC">
      <w:pPr>
        <w:tabs>
          <w:tab w:val="left" w:pos="-720"/>
        </w:tabs>
        <w:suppressAutoHyphens/>
        <w:spacing w:line="276" w:lineRule="auto"/>
        <w:jc w:val="both"/>
        <w:rPr>
          <w:rFonts w:ascii="Book Antiqua" w:hAnsi="Book Antiqua"/>
          <w:lang w:val="es-PR"/>
        </w:rPr>
      </w:pPr>
    </w:p>
    <w:p w14:paraId="64CF6BDE" w14:textId="276B2672" w:rsidR="00C931AD" w:rsidRPr="00C931AD" w:rsidRDefault="00C931AD" w:rsidP="003859FC">
      <w:pPr>
        <w:tabs>
          <w:tab w:val="left" w:pos="-720"/>
        </w:tabs>
        <w:suppressAutoHyphens/>
        <w:spacing w:line="276" w:lineRule="auto"/>
        <w:jc w:val="both"/>
        <w:rPr>
          <w:rFonts w:ascii="Book Antiqua" w:hAnsi="Book Antiqua"/>
          <w:lang w:val="es-PR"/>
        </w:rPr>
      </w:pPr>
      <w:r>
        <w:rPr>
          <w:rFonts w:ascii="Book Antiqua" w:hAnsi="Book Antiqua"/>
          <w:lang w:val="es-PR"/>
        </w:rPr>
        <w:tab/>
      </w:r>
      <w:r w:rsidRPr="00C931AD">
        <w:rPr>
          <w:rFonts w:ascii="Book Antiqua" w:hAnsi="Book Antiqua"/>
          <w:lang w:val="es-PR"/>
        </w:rPr>
        <w:t xml:space="preserve">El Colegio de </w:t>
      </w:r>
      <w:proofErr w:type="gramStart"/>
      <w:r w:rsidRPr="00C931AD">
        <w:rPr>
          <w:rFonts w:ascii="Book Antiqua" w:hAnsi="Book Antiqua"/>
          <w:lang w:val="es-PR"/>
        </w:rPr>
        <w:t>Abogados y Abogadas</w:t>
      </w:r>
      <w:proofErr w:type="gramEnd"/>
      <w:r w:rsidRPr="00C931AD">
        <w:rPr>
          <w:rFonts w:ascii="Book Antiqua" w:hAnsi="Book Antiqua"/>
          <w:lang w:val="es-PR"/>
        </w:rPr>
        <w:t xml:space="preserve"> de Puerto Rico apoya la aprobación del P. del S. 332, aunque con varias recomendaciones adicionales. El colegio cree que la medida, que busca aumentar la pena de reclusión por maltrato a personas mayores de 10 a 12 años, está en sintonía con la política pública de proteger a los adultos mayores.</w:t>
      </w:r>
      <w:r>
        <w:rPr>
          <w:rFonts w:ascii="Book Antiqua" w:hAnsi="Book Antiqua"/>
          <w:lang w:val="es-PR"/>
        </w:rPr>
        <w:t xml:space="preserve"> </w:t>
      </w:r>
      <w:r w:rsidRPr="00C931AD">
        <w:rPr>
          <w:rFonts w:ascii="Book Antiqua" w:hAnsi="Book Antiqua"/>
          <w:lang w:val="es-PR"/>
        </w:rPr>
        <w:t xml:space="preserve">Se destaca que el aumento de la pena refleja un compromiso más claro del Estado con este sector vulnerable y envía un mensaje sobre la gravedad de estos delitos. Sin embargo, el Colegio de </w:t>
      </w:r>
      <w:proofErr w:type="gramStart"/>
      <w:r w:rsidRPr="00C931AD">
        <w:rPr>
          <w:rFonts w:ascii="Book Antiqua" w:hAnsi="Book Antiqua"/>
          <w:lang w:val="es-PR"/>
        </w:rPr>
        <w:t>Abogados y Abogadas</w:t>
      </w:r>
      <w:proofErr w:type="gramEnd"/>
      <w:r w:rsidRPr="00C931AD">
        <w:rPr>
          <w:rFonts w:ascii="Book Antiqua" w:hAnsi="Book Antiqua"/>
          <w:lang w:val="es-PR"/>
        </w:rPr>
        <w:t xml:space="preserve"> de Puerto Rico recomienda medidas adicionales, como la incorporación de estadísticas actualizadas sobre casos de maltrato, incluyendo explotación financiera, para evaluar la efectividad de la política pública. Esto se basa en datos de la Oficina de la Procuradora de las Personas de Edad Avanzada (OPPEA), que muestran que la explotación financiera es el segundo tipo de maltrato más común contra personas mayores de 60 años. También se subraya la necesidad de educar a la ciudadanía y capacitar a la policía, el ministerio público y los abogados sobre el maltrato a personas mayores. </w:t>
      </w:r>
    </w:p>
    <w:p w14:paraId="56681BDA" w14:textId="77777777" w:rsidR="00C931AD" w:rsidRPr="00C931AD" w:rsidRDefault="00C931AD" w:rsidP="003859FC">
      <w:pPr>
        <w:tabs>
          <w:tab w:val="left" w:pos="-720"/>
        </w:tabs>
        <w:suppressAutoHyphens/>
        <w:spacing w:line="276" w:lineRule="auto"/>
        <w:jc w:val="both"/>
        <w:rPr>
          <w:rFonts w:ascii="Book Antiqua" w:hAnsi="Book Antiqua"/>
          <w:lang w:val="es-PR"/>
        </w:rPr>
      </w:pPr>
    </w:p>
    <w:p w14:paraId="73014BA4" w14:textId="495F8412" w:rsidR="00C931AD" w:rsidRPr="004B6CA6" w:rsidRDefault="004B6CA6" w:rsidP="003859FC">
      <w:pPr>
        <w:tabs>
          <w:tab w:val="left" w:pos="-720"/>
        </w:tabs>
        <w:suppressAutoHyphens/>
        <w:spacing w:line="276" w:lineRule="auto"/>
        <w:jc w:val="center"/>
        <w:rPr>
          <w:rFonts w:ascii="Book Antiqua" w:hAnsi="Book Antiqua"/>
          <w:b/>
          <w:bCs/>
          <w:lang w:val="es-PR"/>
        </w:rPr>
      </w:pPr>
      <w:r w:rsidRPr="004B6CA6">
        <w:rPr>
          <w:rFonts w:ascii="Book Antiqua" w:hAnsi="Book Antiqua"/>
          <w:b/>
          <w:bCs/>
          <w:lang w:val="es-PR"/>
        </w:rPr>
        <w:t>OFICINA DE ADMINISTRACIÓN DE LOS TRIBUNALES (OAT)</w:t>
      </w:r>
    </w:p>
    <w:p w14:paraId="4AF7FABD" w14:textId="77777777" w:rsidR="004B6CA6" w:rsidRDefault="004B6CA6" w:rsidP="003859FC">
      <w:pPr>
        <w:tabs>
          <w:tab w:val="left" w:pos="-720"/>
        </w:tabs>
        <w:suppressAutoHyphens/>
        <w:spacing w:line="276" w:lineRule="auto"/>
        <w:jc w:val="both"/>
        <w:rPr>
          <w:rFonts w:ascii="Book Antiqua" w:hAnsi="Book Antiqua"/>
          <w:lang w:val="es-PR"/>
        </w:rPr>
      </w:pPr>
      <w:r>
        <w:rPr>
          <w:rFonts w:ascii="Book Antiqua" w:hAnsi="Book Antiqua"/>
          <w:lang w:val="es-PR"/>
        </w:rPr>
        <w:tab/>
      </w:r>
    </w:p>
    <w:p w14:paraId="047B4FB9" w14:textId="4D44A2A0" w:rsidR="00C931AD" w:rsidRPr="00C931AD" w:rsidRDefault="004B6CA6" w:rsidP="003859FC">
      <w:pPr>
        <w:tabs>
          <w:tab w:val="left" w:pos="-720"/>
        </w:tabs>
        <w:suppressAutoHyphens/>
        <w:spacing w:line="276" w:lineRule="auto"/>
        <w:jc w:val="both"/>
        <w:rPr>
          <w:rFonts w:ascii="Book Antiqua" w:hAnsi="Book Antiqua"/>
          <w:lang w:val="es-PR"/>
        </w:rPr>
      </w:pPr>
      <w:r>
        <w:rPr>
          <w:rFonts w:ascii="Book Antiqua" w:hAnsi="Book Antiqua"/>
          <w:lang w:val="es-PR"/>
        </w:rPr>
        <w:tab/>
        <w:t>El Poder Judicial, a través de la</w:t>
      </w:r>
      <w:r w:rsidR="00C931AD" w:rsidRPr="00C931AD">
        <w:rPr>
          <w:rFonts w:ascii="Book Antiqua" w:hAnsi="Book Antiqua"/>
          <w:lang w:val="es-PR"/>
        </w:rPr>
        <w:t xml:space="preserve"> Oficina de Administración de los Tribunales</w:t>
      </w:r>
      <w:r>
        <w:rPr>
          <w:rFonts w:ascii="Book Antiqua" w:hAnsi="Book Antiqua"/>
          <w:lang w:val="es-PR"/>
        </w:rPr>
        <w:t xml:space="preserve">, </w:t>
      </w:r>
      <w:r w:rsidR="00C931AD" w:rsidRPr="00C931AD">
        <w:rPr>
          <w:rFonts w:ascii="Book Antiqua" w:hAnsi="Book Antiqua"/>
          <w:lang w:val="es-PR"/>
        </w:rPr>
        <w:t xml:space="preserve">se abstuvo de dar su opinión, ya que su norma general es no emitir juicio sobre los elementos de un delito, pues considera que esto corresponde a los </w:t>
      </w:r>
      <w:r w:rsidR="001D339D">
        <w:rPr>
          <w:rFonts w:ascii="Book Antiqua" w:hAnsi="Book Antiqua"/>
          <w:lang w:val="es-PR"/>
        </w:rPr>
        <w:t>P</w:t>
      </w:r>
      <w:r w:rsidR="00C931AD" w:rsidRPr="00C931AD">
        <w:rPr>
          <w:rFonts w:ascii="Book Antiqua" w:hAnsi="Book Antiqua"/>
          <w:lang w:val="es-PR"/>
        </w:rPr>
        <w:t xml:space="preserve">oderes Legislativo y Ejecutivo como parte de la política pública gubernamental. Por esta razón, la oficina </w:t>
      </w:r>
      <w:r w:rsidR="00C931AD" w:rsidRPr="00C931AD">
        <w:rPr>
          <w:rFonts w:ascii="Book Antiqua" w:hAnsi="Book Antiqua"/>
          <w:lang w:val="es-PR"/>
        </w:rPr>
        <w:lastRenderedPageBreak/>
        <w:t>declinó emitir comentarios sobre los méritos de la propuesta legislativa contenida en el P. del S. 332.</w:t>
      </w:r>
    </w:p>
    <w:p w14:paraId="09AE17D2" w14:textId="77777777" w:rsidR="00C931AD" w:rsidRPr="00C931AD" w:rsidRDefault="00C931AD" w:rsidP="003859FC">
      <w:pPr>
        <w:tabs>
          <w:tab w:val="left" w:pos="-720"/>
        </w:tabs>
        <w:suppressAutoHyphens/>
        <w:spacing w:line="276" w:lineRule="auto"/>
        <w:jc w:val="both"/>
        <w:rPr>
          <w:rFonts w:ascii="Book Antiqua" w:hAnsi="Book Antiqua"/>
          <w:lang w:val="es-PR"/>
        </w:rPr>
      </w:pPr>
    </w:p>
    <w:p w14:paraId="76D47BD2" w14:textId="7B15A1E8" w:rsidR="00C931AD" w:rsidRPr="001D339D" w:rsidRDefault="001D339D" w:rsidP="003859FC">
      <w:pPr>
        <w:tabs>
          <w:tab w:val="left" w:pos="-720"/>
        </w:tabs>
        <w:suppressAutoHyphens/>
        <w:spacing w:line="276" w:lineRule="auto"/>
        <w:jc w:val="center"/>
        <w:rPr>
          <w:rFonts w:ascii="Book Antiqua" w:hAnsi="Book Antiqua"/>
          <w:b/>
          <w:bCs/>
          <w:lang w:val="es-PR"/>
        </w:rPr>
      </w:pPr>
      <w:r w:rsidRPr="001D339D">
        <w:rPr>
          <w:rFonts w:ascii="Book Antiqua" w:hAnsi="Book Antiqua"/>
          <w:b/>
          <w:bCs/>
          <w:lang w:val="es-PR"/>
        </w:rPr>
        <w:t>DEPARTAMENTO DE LA FAMILIA</w:t>
      </w:r>
    </w:p>
    <w:p w14:paraId="2308926A" w14:textId="77777777" w:rsidR="001D339D" w:rsidRDefault="001D339D" w:rsidP="003859FC">
      <w:pPr>
        <w:tabs>
          <w:tab w:val="left" w:pos="-720"/>
        </w:tabs>
        <w:suppressAutoHyphens/>
        <w:spacing w:line="276" w:lineRule="auto"/>
        <w:jc w:val="both"/>
        <w:rPr>
          <w:rFonts w:ascii="Book Antiqua" w:hAnsi="Book Antiqua"/>
          <w:lang w:val="es-PR"/>
        </w:rPr>
      </w:pPr>
    </w:p>
    <w:p w14:paraId="35931FC5" w14:textId="340777DB" w:rsidR="00940E84" w:rsidRPr="00C931AD" w:rsidRDefault="001D339D" w:rsidP="003859FC">
      <w:pPr>
        <w:tabs>
          <w:tab w:val="left" w:pos="-720"/>
        </w:tabs>
        <w:suppressAutoHyphens/>
        <w:spacing w:line="276" w:lineRule="auto"/>
        <w:jc w:val="both"/>
        <w:rPr>
          <w:rFonts w:ascii="Book Antiqua" w:hAnsi="Book Antiqua"/>
          <w:lang w:val="es-PR"/>
        </w:rPr>
      </w:pPr>
      <w:r>
        <w:rPr>
          <w:rFonts w:ascii="Book Antiqua" w:hAnsi="Book Antiqua"/>
          <w:lang w:val="es-PR"/>
        </w:rPr>
        <w:tab/>
      </w:r>
      <w:r w:rsidR="00C931AD" w:rsidRPr="00C931AD">
        <w:rPr>
          <w:rFonts w:ascii="Book Antiqua" w:hAnsi="Book Antiqua"/>
          <w:lang w:val="es-PR"/>
        </w:rPr>
        <w:t>El Departamento de la Familia</w:t>
      </w:r>
      <w:r>
        <w:rPr>
          <w:rFonts w:ascii="Book Antiqua" w:hAnsi="Book Antiqua"/>
          <w:lang w:val="es-PR"/>
        </w:rPr>
        <w:t xml:space="preserve"> </w:t>
      </w:r>
      <w:r w:rsidR="00C931AD" w:rsidRPr="00C931AD">
        <w:rPr>
          <w:rFonts w:ascii="Book Antiqua" w:hAnsi="Book Antiqua"/>
          <w:lang w:val="es-PR"/>
        </w:rPr>
        <w:t>respaldó el P. del S. 332. El departamento considera que la medida está en sintonía con los objetivos del gobierno de Puerto Rico de proteger el bienestar de los adultos mayores. La agencia reconoce que el proyecto refuerza las protecciones legales y fortalece los mecanismos para la prevención y sanción del maltrato. El Departamento de la Familia afirma que el aumento de la pena a 12 años, según la propuesta, es necesario para enviar un mensaje claro a la sociedad sobre la inaceptabilidad de este delito y para servir como un disuasivo.</w:t>
      </w:r>
      <w:r w:rsidR="001E0786">
        <w:rPr>
          <w:rFonts w:ascii="Book Antiqua" w:hAnsi="Book Antiqua"/>
          <w:lang w:val="es-PR"/>
        </w:rPr>
        <w:t xml:space="preserve"> </w:t>
      </w:r>
      <w:r w:rsidR="00C931AD" w:rsidRPr="00C931AD">
        <w:rPr>
          <w:rFonts w:ascii="Book Antiqua" w:hAnsi="Book Antiqua"/>
          <w:lang w:val="es-PR"/>
        </w:rPr>
        <w:t xml:space="preserve">El departamento destaca que su misión incluye proteger a adultos mayores y a adultos con impedimentos, y que ofrecen servicios como programas de protección social, cuidado sustituto y auxiliares en el hogar. Se menciona que el departamento colabora con otras agencias como la policía y la Oficina del Procurador de las Personas de Edad Avanzada (OPPEA) en la investigación y el procesamiento penal de casos de maltrato. El Departamento de la Familia también hace referencia al informe anual de 2024 de la OPPEA, que reportó 2,150 querellas por delito contra adultos mayores entre octubre de 2022 y septiembre de 2023, lo que demuestra la seriedad del problema. </w:t>
      </w:r>
    </w:p>
    <w:p w14:paraId="25E6A68C" w14:textId="77777777" w:rsidR="00C931AD" w:rsidRDefault="00C931AD" w:rsidP="003859FC">
      <w:pPr>
        <w:tabs>
          <w:tab w:val="left" w:pos="-720"/>
        </w:tabs>
        <w:suppressAutoHyphens/>
        <w:spacing w:line="276" w:lineRule="auto"/>
        <w:jc w:val="both"/>
        <w:rPr>
          <w:rFonts w:ascii="Book Antiqua" w:hAnsi="Book Antiqua"/>
          <w:lang w:val="es-PR"/>
        </w:rPr>
      </w:pPr>
    </w:p>
    <w:p w14:paraId="302CAC3A" w14:textId="141F50AB" w:rsidR="00D13D23" w:rsidRDefault="0096171F" w:rsidP="003859FC">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3859FC">
      <w:pPr>
        <w:tabs>
          <w:tab w:val="left" w:pos="-720"/>
        </w:tabs>
        <w:suppressAutoHyphens/>
        <w:spacing w:line="276" w:lineRule="auto"/>
        <w:ind w:firstLine="360"/>
        <w:jc w:val="center"/>
        <w:rPr>
          <w:rFonts w:ascii="Book Antiqua" w:hAnsi="Book Antiqua"/>
          <w:b/>
          <w:bCs/>
          <w:lang w:val="es-PR"/>
        </w:rPr>
      </w:pPr>
    </w:p>
    <w:p w14:paraId="3CD7EB56" w14:textId="11A5592B" w:rsidR="002C402D" w:rsidRPr="00DF45DC" w:rsidRDefault="004F6E72"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C931AD">
        <w:rPr>
          <w:rFonts w:ascii="Book Antiqua" w:hAnsi="Book Antiqua"/>
          <w:lang w:val="es-PR"/>
        </w:rPr>
        <w:t>332</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3859FC">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3859FC">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3859FC">
      <w:pPr>
        <w:tabs>
          <w:tab w:val="left" w:pos="-720"/>
        </w:tabs>
        <w:suppressAutoHyphens/>
        <w:spacing w:line="276" w:lineRule="auto"/>
        <w:ind w:firstLine="360"/>
        <w:jc w:val="center"/>
        <w:rPr>
          <w:rFonts w:ascii="Book Antiqua" w:hAnsi="Book Antiqua"/>
          <w:b/>
          <w:bCs/>
          <w:lang w:val="es-PR"/>
        </w:rPr>
      </w:pPr>
    </w:p>
    <w:p w14:paraId="2D81B2DA" w14:textId="10DDECE3" w:rsidR="000B071A" w:rsidRDefault="00006DDC"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20693B">
        <w:rPr>
          <w:rFonts w:ascii="Book Antiqua" w:hAnsi="Book Antiqua"/>
          <w:lang w:val="es-PR"/>
        </w:rPr>
        <w:t>332,</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20693B">
        <w:rPr>
          <w:rFonts w:ascii="Book Antiqua" w:hAnsi="Book Antiqua"/>
          <w:lang w:val="es-PR"/>
        </w:rPr>
        <w:t xml:space="preserve">el Código Penal de Puerto Rico y los memoriales explicativos recibidos. </w:t>
      </w:r>
    </w:p>
    <w:p w14:paraId="7BDD79F8" w14:textId="0121A577" w:rsidR="00A12823" w:rsidRDefault="000B071A"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Pr>
          <w:rFonts w:ascii="Book Antiqua" w:hAnsi="Book Antiqua"/>
          <w:spacing w:val="-3"/>
          <w:lang w:val="es-ES_tradnl"/>
        </w:rPr>
        <w:t xml:space="preserve">de lo Jurídico </w:t>
      </w:r>
      <w:r w:rsidR="00552B8A" w:rsidRPr="00337BB7">
        <w:rPr>
          <w:rFonts w:ascii="Book Antiqua" w:hAnsi="Book Antiqua"/>
          <w:lang w:val="es-PR"/>
        </w:rPr>
        <w:t>coincide en que</w:t>
      </w:r>
      <w:r>
        <w:rPr>
          <w:rFonts w:ascii="Book Antiqua" w:hAnsi="Book Antiqua"/>
          <w:lang w:val="es-PR"/>
        </w:rPr>
        <w:t xml:space="preserve"> </w:t>
      </w:r>
      <w:r w:rsidR="00EC07ED" w:rsidRPr="00EC07ED">
        <w:rPr>
          <w:rFonts w:ascii="Book Antiqua" w:hAnsi="Book Antiqua"/>
          <w:lang w:val="es-PR"/>
        </w:rPr>
        <w:t>la aprobación del Proyecto del Senado 332 es una medida necesaria y justificada.</w:t>
      </w:r>
      <w:r w:rsidR="00EC07ED">
        <w:rPr>
          <w:rFonts w:ascii="Book Antiqua" w:hAnsi="Book Antiqua"/>
          <w:lang w:val="es-PR"/>
        </w:rPr>
        <w:t xml:space="preserve"> </w:t>
      </w:r>
      <w:r w:rsidR="00EC07ED" w:rsidRPr="00EC07ED">
        <w:rPr>
          <w:rFonts w:ascii="Book Antiqua" w:hAnsi="Book Antiqua"/>
          <w:lang w:val="es-PR"/>
        </w:rPr>
        <w:t xml:space="preserve">El aumento de la pena de diez a doce años por maltrato a personas de edad avanzada refuerza la política pública del estado de proteger a los adultos mayores y enviar un mensaje claro sobre la gravedad de estos </w:t>
      </w:r>
      <w:r w:rsidR="00EC07ED" w:rsidRPr="00EC07ED">
        <w:rPr>
          <w:rFonts w:ascii="Book Antiqua" w:hAnsi="Book Antiqua"/>
          <w:lang w:val="es-PR"/>
        </w:rPr>
        <w:lastRenderedPageBreak/>
        <w:t xml:space="preserve">crímenes. El Departamento de la Familia respalda esta propuesta, afirmando que el aumento de la pena sirve como un disuasivo y está en sintonía con los objetivos del gobierno de garantizar una vida digna y segura para esta población vulnerable. El Colegio de </w:t>
      </w:r>
      <w:proofErr w:type="gramStart"/>
      <w:r w:rsidR="00EC07ED" w:rsidRPr="00EC07ED">
        <w:rPr>
          <w:rFonts w:ascii="Book Antiqua" w:hAnsi="Book Antiqua"/>
          <w:lang w:val="es-PR"/>
        </w:rPr>
        <w:t>Abogados y Abogadas</w:t>
      </w:r>
      <w:proofErr w:type="gramEnd"/>
      <w:r w:rsidR="00EC07ED" w:rsidRPr="00EC07ED">
        <w:rPr>
          <w:rFonts w:ascii="Book Antiqua" w:hAnsi="Book Antiqua"/>
          <w:lang w:val="es-PR"/>
        </w:rPr>
        <w:t xml:space="preserve"> también apoya la medida, argumentando que refleja con mayor claridad el compromiso del Estado con la protección de los adultos mayores.</w:t>
      </w:r>
    </w:p>
    <w:p w14:paraId="65711F50" w14:textId="60059376" w:rsidR="00993D9C" w:rsidRPr="00DF45DC" w:rsidRDefault="00993D9C" w:rsidP="003859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t>Coincidimos</w:t>
      </w:r>
      <w:r w:rsidRPr="00337BB7">
        <w:rPr>
          <w:rFonts w:ascii="Book Antiqua" w:hAnsi="Book Antiqua"/>
          <w:lang w:val="es-PR"/>
        </w:rPr>
        <w:t xml:space="preserve"> en </w:t>
      </w:r>
      <w:r w:rsidRPr="00981C99">
        <w:rPr>
          <w:rFonts w:ascii="Book Antiqua" w:hAnsi="Book Antiqua"/>
          <w:lang w:val="es-PR"/>
        </w:rPr>
        <w:t>que la formulación y aprobación de política pública para responder a los cambios sociales que impulsan la actualización del ordenamiento jurídico en Puerto Rico constituye una función propia de la Asamblea Legislativa.</w:t>
      </w:r>
      <w:r>
        <w:rPr>
          <w:rFonts w:ascii="Book Antiqua" w:hAnsi="Book Antiqua"/>
          <w:lang w:val="es-PR"/>
        </w:rPr>
        <w:t xml:space="preserve"> </w:t>
      </w:r>
      <w:r w:rsidRPr="00981C99">
        <w:rPr>
          <w:rFonts w:ascii="Book Antiqua" w:hAnsi="Book Antiqua"/>
          <w:lang w:val="es-PR"/>
        </w:rPr>
        <w:t xml:space="preserve">Ciertamente, lo que propone la presente medida </w:t>
      </w:r>
      <w:proofErr w:type="gramStart"/>
      <w:r w:rsidRPr="00981C99">
        <w:rPr>
          <w:rFonts w:ascii="Book Antiqua" w:hAnsi="Book Antiqua"/>
          <w:lang w:val="es-PR"/>
        </w:rPr>
        <w:t>se enmarca dentro de</w:t>
      </w:r>
      <w:proofErr w:type="gramEnd"/>
      <w:r w:rsidRPr="00981C99">
        <w:rPr>
          <w:rFonts w:ascii="Book Antiqua" w:hAnsi="Book Antiqua"/>
          <w:lang w:val="es-PR"/>
        </w:rPr>
        <w:t xml:space="preserve"> esa amplia facultad, dirigida a ajustar los estatutos actuales a las circunstancias y necesidades de</w:t>
      </w:r>
      <w:r w:rsidR="003859FC">
        <w:rPr>
          <w:rFonts w:ascii="Book Antiqua" w:hAnsi="Book Antiqua"/>
          <w:lang w:val="es-PR"/>
        </w:rPr>
        <w:t xml:space="preserve"> la actualidad</w:t>
      </w:r>
      <w:r w:rsidRPr="00981C99">
        <w:rPr>
          <w:rFonts w:ascii="Book Antiqua" w:hAnsi="Book Antiqua"/>
          <w:lang w:val="es-PR"/>
        </w:rPr>
        <w:t>.</w:t>
      </w:r>
      <w:r>
        <w:rPr>
          <w:rFonts w:ascii="Book Antiqua" w:hAnsi="Book Antiqua"/>
          <w:lang w:val="es-PR"/>
        </w:rPr>
        <w:t xml:space="preserve"> </w:t>
      </w:r>
      <w:r w:rsidRPr="00981C99">
        <w:rPr>
          <w:rFonts w:ascii="Book Antiqua" w:hAnsi="Book Antiqua"/>
          <w:lang w:val="es-PR"/>
        </w:rPr>
        <w:t>Asimismo, es ampliamente conocido que la Asamblea Legislativa posee la autoridad exclusiva para tipificar delitos y fijar sanciones, estando limitada únicamente por ciertos principios constitucionales en el ámbito penal.</w:t>
      </w:r>
      <w:r>
        <w:rPr>
          <w:rStyle w:val="FootnoteReference"/>
          <w:rFonts w:ascii="Book Antiqua" w:hAnsi="Book Antiqua"/>
          <w:lang w:val="es-PR"/>
        </w:rPr>
        <w:footnoteReference w:id="1"/>
      </w:r>
      <w:r>
        <w:rPr>
          <w:rFonts w:ascii="Book Antiqua" w:hAnsi="Book Antiqua"/>
          <w:lang w:val="es-PR"/>
        </w:rPr>
        <w:t xml:space="preserve"> </w:t>
      </w:r>
      <w:r w:rsidRPr="00981C99">
        <w:rPr>
          <w:rFonts w:ascii="Book Antiqua" w:hAnsi="Book Antiqua"/>
          <w:lang w:val="es-PR"/>
        </w:rPr>
        <w:t xml:space="preserve">En vista de ello, la Comisión de lo Jurídico entiende que lo planteado </w:t>
      </w:r>
      <w:r>
        <w:rPr>
          <w:rFonts w:ascii="Book Antiqua" w:hAnsi="Book Antiqua"/>
          <w:lang w:val="es-PR"/>
        </w:rPr>
        <w:t xml:space="preserve">por el P. del S. </w:t>
      </w:r>
      <w:r w:rsidR="003859FC">
        <w:rPr>
          <w:rFonts w:ascii="Book Antiqua" w:hAnsi="Book Antiqua"/>
          <w:lang w:val="es-PR"/>
        </w:rPr>
        <w:t>332</w:t>
      </w:r>
      <w:r>
        <w:rPr>
          <w:rFonts w:ascii="Book Antiqua" w:hAnsi="Book Antiqua"/>
          <w:lang w:val="es-PR"/>
        </w:rPr>
        <w:t xml:space="preserve"> </w:t>
      </w:r>
      <w:r w:rsidRPr="00981C99">
        <w:rPr>
          <w:rFonts w:ascii="Book Antiqua" w:hAnsi="Book Antiqua"/>
          <w:lang w:val="es-PR"/>
        </w:rPr>
        <w:t xml:space="preserve">representa un uso legítimo de la facultad legislativa de aprobar leyes en beneficio de la ciudadanía, y observa que esta iniciativa constituye un esfuerzo adicional de la Asamblea Legislativa para proteger </w:t>
      </w:r>
      <w:r w:rsidR="003859FC">
        <w:rPr>
          <w:rFonts w:ascii="Book Antiqua" w:hAnsi="Book Antiqua"/>
          <w:lang w:val="es-PR"/>
        </w:rPr>
        <w:t>la población de personas de edad avanzada</w:t>
      </w:r>
      <w:r w:rsidRPr="00981C99">
        <w:rPr>
          <w:rFonts w:ascii="Book Antiqua" w:hAnsi="Book Antiqua"/>
          <w:lang w:val="es-PR"/>
        </w:rPr>
        <w:t>.</w:t>
      </w:r>
    </w:p>
    <w:p w14:paraId="42351DC1" w14:textId="77777777" w:rsidR="00993D9C" w:rsidRPr="00DF45DC" w:rsidRDefault="00993D9C" w:rsidP="003859FC">
      <w:pPr>
        <w:tabs>
          <w:tab w:val="left" w:pos="-720"/>
        </w:tabs>
        <w:suppressAutoHyphens/>
        <w:spacing w:line="276" w:lineRule="auto"/>
        <w:ind w:firstLine="360"/>
        <w:jc w:val="both"/>
        <w:rPr>
          <w:rFonts w:ascii="Book Antiqua" w:hAnsi="Book Antiqua"/>
          <w:lang w:val="es-PR"/>
        </w:rPr>
      </w:pPr>
    </w:p>
    <w:p w14:paraId="12984714" w14:textId="77777777" w:rsidR="000B071A" w:rsidRDefault="000B071A" w:rsidP="003859FC">
      <w:pPr>
        <w:tabs>
          <w:tab w:val="left" w:pos="-720"/>
        </w:tabs>
        <w:suppressAutoHyphens/>
        <w:spacing w:line="276" w:lineRule="auto"/>
        <w:ind w:firstLine="360"/>
        <w:jc w:val="both"/>
        <w:rPr>
          <w:rFonts w:ascii="Book Antiqua" w:hAnsi="Book Antiqua"/>
          <w:b/>
          <w:bCs/>
          <w:lang w:val="es-PR"/>
        </w:rPr>
      </w:pPr>
    </w:p>
    <w:p w14:paraId="7885E90D" w14:textId="0F689626" w:rsidR="00DF45DC" w:rsidRPr="00DF45DC" w:rsidRDefault="0096171F" w:rsidP="003859FC">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3859FC">
        <w:rPr>
          <w:rFonts w:ascii="Book Antiqua" w:hAnsi="Book Antiqua"/>
          <w:b/>
          <w:bCs/>
          <w:lang w:val="es-PR"/>
        </w:rPr>
        <w:t>Proyecto del Senado 33</w:t>
      </w:r>
      <w:r w:rsidR="008B1553">
        <w:rPr>
          <w:rFonts w:ascii="Book Antiqua" w:hAnsi="Book Antiqua"/>
          <w:b/>
          <w:bCs/>
          <w:lang w:val="es-PR"/>
        </w:rPr>
        <w:t>2</w:t>
      </w:r>
      <w:r w:rsidR="003859FC">
        <w:rPr>
          <w:rFonts w:ascii="Book Antiqua" w:hAnsi="Book Antiqua"/>
          <w:b/>
          <w:bCs/>
          <w:lang w:val="es-PR"/>
        </w:rPr>
        <w:t>,</w:t>
      </w:r>
      <w:r w:rsidR="00006DDC" w:rsidRPr="00DF45DC">
        <w:rPr>
          <w:rFonts w:ascii="Book Antiqua" w:hAnsi="Book Antiqua"/>
          <w:lang w:val="es-PR"/>
        </w:rPr>
        <w:t xml:space="preserve"> recomendando su aprobación </w:t>
      </w:r>
      <w:r w:rsidR="001D12A7" w:rsidRPr="003859FC">
        <w:rPr>
          <w:rFonts w:ascii="Book Antiqua" w:hAnsi="Book Antiqua"/>
          <w:lang w:val="es-PR"/>
        </w:rPr>
        <w:t>sin enmiendas</w:t>
      </w:r>
      <w:r w:rsidR="00006DDC" w:rsidRPr="003859FC">
        <w:rPr>
          <w:rFonts w:ascii="Book Antiqua" w:hAnsi="Book Antiqua"/>
          <w:lang w:val="es-PR"/>
        </w:rPr>
        <w:t>.</w:t>
      </w:r>
      <w:r w:rsidR="00006DDC" w:rsidRPr="00DF45DC">
        <w:rPr>
          <w:rFonts w:ascii="Book Antiqua" w:hAnsi="Book Antiqua"/>
          <w:lang w:val="es-PR"/>
        </w:rPr>
        <w:t xml:space="preserve">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proofErr w:type="spellStart"/>
      <w:r>
        <w:rPr>
          <w:rFonts w:ascii="Book Antiqua" w:hAnsi="Book Antiqua"/>
          <w:b/>
          <w:bCs/>
          <w:lang w:val="es-PR"/>
        </w:rPr>
        <w:t>Hon</w:t>
      </w:r>
      <w:proofErr w:type="spellEnd"/>
      <w:r>
        <w:rPr>
          <w:rFonts w:ascii="Book Antiqua" w:hAnsi="Book Antiqua"/>
          <w:b/>
          <w:bCs/>
          <w:lang w:val="es-PR"/>
        </w:rPr>
        <w:t xml:space="preserve">.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47D7CF58" w:rsidR="000B3411" w:rsidRPr="003307B1" w:rsidRDefault="001D12A7" w:rsidP="003307B1">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3307B1"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3C80" w14:textId="77777777" w:rsidR="000E0389" w:rsidRDefault="000E0389">
      <w:r>
        <w:separator/>
      </w:r>
    </w:p>
  </w:endnote>
  <w:endnote w:type="continuationSeparator" w:id="0">
    <w:p w14:paraId="019026D7" w14:textId="77777777" w:rsidR="000E0389" w:rsidRDefault="000E0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BCD8B" w14:textId="77777777" w:rsidR="000E0389" w:rsidRDefault="000E0389">
      <w:r>
        <w:separator/>
      </w:r>
    </w:p>
  </w:footnote>
  <w:footnote w:type="continuationSeparator" w:id="0">
    <w:p w14:paraId="634C9981" w14:textId="77777777" w:rsidR="000E0389" w:rsidRDefault="000E0389">
      <w:r>
        <w:continuationSeparator/>
      </w:r>
    </w:p>
  </w:footnote>
  <w:footnote w:id="1">
    <w:p w14:paraId="3FCB1FE6" w14:textId="77777777" w:rsidR="00993D9C" w:rsidRPr="00E11002" w:rsidRDefault="00993D9C" w:rsidP="00993D9C">
      <w:pPr>
        <w:pStyle w:val="FootnoteText"/>
        <w:rPr>
          <w:rFonts w:ascii="Book Antiqua" w:hAnsi="Book Antiqua"/>
        </w:rPr>
      </w:pPr>
      <w:r w:rsidRPr="00FF10A3">
        <w:rPr>
          <w:rStyle w:val="FootnoteReference"/>
          <w:rFonts w:ascii="Book Antiqua" w:hAnsi="Book Antiqua"/>
        </w:rPr>
        <w:footnoteRef/>
      </w:r>
      <w:r w:rsidRPr="00FF10A3">
        <w:rPr>
          <w:rFonts w:ascii="Book Antiqua" w:hAnsi="Book Antiqua"/>
          <w:lang w:val="es-ES"/>
        </w:rPr>
        <w:t xml:space="preserve"> </w:t>
      </w:r>
      <w:r w:rsidRPr="00E11002">
        <w:rPr>
          <w:rFonts w:ascii="Book Antiqua" w:hAnsi="Book Antiqua"/>
          <w:i/>
          <w:iCs/>
          <w:lang w:val="es-ES"/>
        </w:rPr>
        <w:t>Véanse</w:t>
      </w:r>
      <w:r>
        <w:rPr>
          <w:rFonts w:ascii="Book Antiqua" w:hAnsi="Book Antiqua"/>
          <w:lang w:val="es-ES"/>
        </w:rPr>
        <w:t xml:space="preserve"> </w:t>
      </w:r>
      <w:r w:rsidRPr="00FF10A3">
        <w:rPr>
          <w:rFonts w:ascii="Book Antiqua" w:hAnsi="Book Antiqua"/>
          <w:lang w:val="es-ES"/>
        </w:rPr>
        <w:t>Rodríguez Rodríguez v. ELA, 130 DPR 562, (1992), (citando a Pueblo v. Martínez Torres, 116 DPR 793, 796</w:t>
      </w:r>
      <w:r>
        <w:rPr>
          <w:rFonts w:ascii="Book Antiqua" w:hAnsi="Book Antiqua"/>
          <w:lang w:val="es-ES"/>
        </w:rPr>
        <w:t xml:space="preserve"> </w:t>
      </w:r>
      <w:r w:rsidRPr="00FF10A3">
        <w:rPr>
          <w:rFonts w:ascii="Book Antiqua" w:hAnsi="Book Antiqua"/>
          <w:lang w:val="es-ES"/>
        </w:rPr>
        <w:t xml:space="preserve">(1986)), Pueblo v. Lucret </w:t>
      </w:r>
      <w:r>
        <w:rPr>
          <w:rFonts w:ascii="Book Antiqua" w:hAnsi="Book Antiqua"/>
          <w:lang w:val="es-ES"/>
        </w:rPr>
        <w:t>Quiñonez</w:t>
      </w:r>
      <w:r w:rsidRPr="00FF10A3">
        <w:rPr>
          <w:rFonts w:ascii="Book Antiqua" w:hAnsi="Book Antiqua"/>
          <w:lang w:val="es-ES"/>
        </w:rPr>
        <w:t>, 111 DPR 716 (1981), Meléndez v. Tribunal Superior, 90 DPR 656 (1964)</w:t>
      </w:r>
      <w:r>
        <w:rPr>
          <w:rFonts w:ascii="Book Antiqua" w:hAnsi="Book Antiqua"/>
          <w:lang w:val="es-ES"/>
        </w:rPr>
        <w:t>, P</w:t>
      </w:r>
      <w:r w:rsidRPr="00E11002">
        <w:rPr>
          <w:rFonts w:ascii="Book Antiqua" w:hAnsi="Book Antiqua"/>
          <w:lang w:val="es-ES"/>
        </w:rPr>
        <w:t>ueblo v. Reyes Morán, 123 DPR 786, 797 (1989), Pueblo v. Pérez Zayas, 116 DPR 197 (1985)</w:t>
      </w:r>
      <w:r>
        <w:rPr>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6EB869DA"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8E4B60">
      <w:rPr>
        <w:rFonts w:ascii="Book Antiqua" w:hAnsi="Book Antiqua"/>
        <w:i/>
        <w:iCs/>
        <w:sz w:val="20"/>
        <w:lang w:val="es-PR"/>
      </w:rPr>
      <w:t>P. del S. 332</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FCE1B84"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1E0786">
      <w:rPr>
        <w:rFonts w:ascii="Book Antiqua" w:hAnsi="Book Antiqua"/>
        <w:i/>
        <w:iCs/>
        <w:sz w:val="20"/>
        <w:lang w:val="es-PR"/>
      </w:rPr>
      <w:t>P. del S. 332</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A1A81"/>
    <w:rsid w:val="000B071A"/>
    <w:rsid w:val="000B3411"/>
    <w:rsid w:val="000B39C5"/>
    <w:rsid w:val="000C18B9"/>
    <w:rsid w:val="000C52A1"/>
    <w:rsid w:val="000C5B91"/>
    <w:rsid w:val="000D3899"/>
    <w:rsid w:val="000E0389"/>
    <w:rsid w:val="000E0D6C"/>
    <w:rsid w:val="000E4A6D"/>
    <w:rsid w:val="000E6B35"/>
    <w:rsid w:val="000F7663"/>
    <w:rsid w:val="0010073E"/>
    <w:rsid w:val="00104CF6"/>
    <w:rsid w:val="00107712"/>
    <w:rsid w:val="00111E71"/>
    <w:rsid w:val="00114F93"/>
    <w:rsid w:val="001312DC"/>
    <w:rsid w:val="00152956"/>
    <w:rsid w:val="00152AEE"/>
    <w:rsid w:val="00157BC8"/>
    <w:rsid w:val="001601AB"/>
    <w:rsid w:val="00172EE0"/>
    <w:rsid w:val="00186AB6"/>
    <w:rsid w:val="00193269"/>
    <w:rsid w:val="001A4A02"/>
    <w:rsid w:val="001A7434"/>
    <w:rsid w:val="001B5218"/>
    <w:rsid w:val="001B77D6"/>
    <w:rsid w:val="001C0F9B"/>
    <w:rsid w:val="001C2FA8"/>
    <w:rsid w:val="001C31BA"/>
    <w:rsid w:val="001C5DEB"/>
    <w:rsid w:val="001D12A7"/>
    <w:rsid w:val="001D339D"/>
    <w:rsid w:val="001D3C1D"/>
    <w:rsid w:val="001D70F5"/>
    <w:rsid w:val="001D79E5"/>
    <w:rsid w:val="001E0786"/>
    <w:rsid w:val="001E78B4"/>
    <w:rsid w:val="001F7ABB"/>
    <w:rsid w:val="00200B6F"/>
    <w:rsid w:val="00201567"/>
    <w:rsid w:val="00201B8C"/>
    <w:rsid w:val="0020693B"/>
    <w:rsid w:val="002120D7"/>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05AF3"/>
    <w:rsid w:val="00311782"/>
    <w:rsid w:val="00316786"/>
    <w:rsid w:val="003239C5"/>
    <w:rsid w:val="00330372"/>
    <w:rsid w:val="003307B1"/>
    <w:rsid w:val="00334935"/>
    <w:rsid w:val="00337BB7"/>
    <w:rsid w:val="0034055D"/>
    <w:rsid w:val="003465C8"/>
    <w:rsid w:val="00352C78"/>
    <w:rsid w:val="00381F18"/>
    <w:rsid w:val="0038390D"/>
    <w:rsid w:val="003857EC"/>
    <w:rsid w:val="003859FC"/>
    <w:rsid w:val="00386D32"/>
    <w:rsid w:val="0039037B"/>
    <w:rsid w:val="003903D5"/>
    <w:rsid w:val="003906D8"/>
    <w:rsid w:val="00393CA6"/>
    <w:rsid w:val="003A201A"/>
    <w:rsid w:val="003B0348"/>
    <w:rsid w:val="003B636C"/>
    <w:rsid w:val="003C4B29"/>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928FF"/>
    <w:rsid w:val="004A05FC"/>
    <w:rsid w:val="004A0FD4"/>
    <w:rsid w:val="004A18C6"/>
    <w:rsid w:val="004B0082"/>
    <w:rsid w:val="004B6CA6"/>
    <w:rsid w:val="004C370E"/>
    <w:rsid w:val="004D2917"/>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B1553"/>
    <w:rsid w:val="008C18B2"/>
    <w:rsid w:val="008C331F"/>
    <w:rsid w:val="008C39D5"/>
    <w:rsid w:val="008E051A"/>
    <w:rsid w:val="008E4B60"/>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763A7"/>
    <w:rsid w:val="00981A1F"/>
    <w:rsid w:val="00984F56"/>
    <w:rsid w:val="00993D9C"/>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75F89"/>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31AD"/>
    <w:rsid w:val="00C9772C"/>
    <w:rsid w:val="00CA1098"/>
    <w:rsid w:val="00CA5E1E"/>
    <w:rsid w:val="00CA6DDD"/>
    <w:rsid w:val="00CB5806"/>
    <w:rsid w:val="00CC4859"/>
    <w:rsid w:val="00CD7C9B"/>
    <w:rsid w:val="00CE532D"/>
    <w:rsid w:val="00CE7DA0"/>
    <w:rsid w:val="00CF32AA"/>
    <w:rsid w:val="00CF4C00"/>
    <w:rsid w:val="00D0004D"/>
    <w:rsid w:val="00D01A55"/>
    <w:rsid w:val="00D13D23"/>
    <w:rsid w:val="00D16947"/>
    <w:rsid w:val="00D5351E"/>
    <w:rsid w:val="00D60AF3"/>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07ED"/>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4SQX5P7U7WPY-958212181-817340</_dlc_DocId>
    <_dlc_DocIdUrl xmlns="c890fddd-4e87-4e08-8b51-545f2a3f7b06">
      <Url>https://senpr.sharepoint.com/sites/obralegislativa/_layouts/15/DocIdRedir.aspx?ID=4SQX5P7U7WPY-958212181-817340</Url>
      <Description>4SQX5P7U7WPY-958212181-817340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DF38CB27-49EF-458C-8692-FD51C525B5CF}"/>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5D97B496-1B32-4849-BA93-3F38AB0ECF73}"/>
</file>

<file path=docProps/app.xml><?xml version="1.0" encoding="utf-8"?>
<Properties xmlns="http://schemas.openxmlformats.org/officeDocument/2006/extended-properties" xmlns:vt="http://schemas.openxmlformats.org/officeDocument/2006/docPropsVTypes">
  <Template>Medida-V2009</Template>
  <TotalTime>0</TotalTime>
  <Pages>4</Pages>
  <Words>1306</Words>
  <Characters>6843</Characters>
  <Application>Microsoft Office Word</Application>
  <DocSecurity>0</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2025-08-14T13:13:00Z</dcterms:created>
  <dcterms:modified xsi:type="dcterms:W3CDTF">2025-08-14T13:13:00Z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d8be27a3-e216-481a-9c3d-efcb7f15ab85</vt:lpwstr>
  </property>
  <property fmtid="{D5CDD505-2E9C-101B-9397-08002B2CF9AE}" pid="4" name="MediaServiceImageTags">
    <vt:lpwstr/>
  </property>
</Properties>
</file>