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4C49440"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C577BB">
        <w:rPr>
          <w:rFonts w:ascii="Book Antiqua" w:eastAsia="Book Antiqua" w:hAnsi="Book Antiqua" w:cs="Book Antiqua"/>
        </w:rPr>
        <w:t>2</w:t>
      </w:r>
      <w:r w:rsidR="00C577BB">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6FCF5910"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9C2352">
        <w:rPr>
          <w:rFonts w:ascii="Book Antiqua" w:eastAsia="Book Antiqua" w:hAnsi="Book Antiqua" w:cs="Book Antiqua"/>
          <w:b/>
          <w:sz w:val="52"/>
          <w:szCs w:val="52"/>
        </w:rPr>
        <w:t>6</w:t>
      </w:r>
      <w:r w:rsidR="002C7A3B">
        <w:rPr>
          <w:rFonts w:ascii="Book Antiqua" w:eastAsia="Book Antiqua" w:hAnsi="Book Antiqua" w:cs="Book Antiqua"/>
          <w:b/>
          <w:sz w:val="52"/>
          <w:szCs w:val="52"/>
        </w:rPr>
        <w:t>3</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57A20BC1" w:rsidR="003867AC" w:rsidRPr="00700566" w:rsidRDefault="00B25C54">
      <w:pPr>
        <w:spacing w:line="360" w:lineRule="auto"/>
        <w:jc w:val="center"/>
        <w:rPr>
          <w:rFonts w:ascii="Book Antiqua" w:eastAsia="Book Antiqua" w:hAnsi="Book Antiqua" w:cs="Book Antiqua"/>
          <w:b/>
        </w:rPr>
      </w:pPr>
      <w:r>
        <w:rPr>
          <w:rFonts w:ascii="Book Antiqua" w:eastAsia="Book Antiqua" w:hAnsi="Book Antiqua" w:cs="Book Antiqua"/>
        </w:rPr>
        <w:t xml:space="preserve">18 </w:t>
      </w:r>
      <w:r w:rsidR="0085373F" w:rsidRPr="00700566">
        <w:rPr>
          <w:rFonts w:ascii="Book Antiqua" w:eastAsia="Book Antiqua" w:hAnsi="Book Antiqua" w:cs="Book Antiqua"/>
        </w:rPr>
        <w:t xml:space="preserve">de </w:t>
      </w:r>
      <w:r w:rsidR="009C2352">
        <w:rPr>
          <w:rFonts w:ascii="Book Antiqua" w:eastAsia="Book Antiqua" w:hAnsi="Book Antiqua" w:cs="Book Antiqua"/>
        </w:rPr>
        <w:t>septiembre</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0000000D" w14:textId="7A77265F" w:rsidR="003867AC" w:rsidRPr="006212C5" w:rsidRDefault="0085373F">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de la Cámara de Representantes del Gobierno de Puerto Rico, previo estudio y consideración del R. C. de la C. </w:t>
      </w:r>
      <w:r w:rsidR="004C1B5A" w:rsidRPr="006212C5">
        <w:rPr>
          <w:rFonts w:ascii="Book Antiqua" w:eastAsia="Book Antiqua" w:hAnsi="Book Antiqua" w:cs="Book Antiqua"/>
          <w:color w:val="000000" w:themeColor="text1"/>
        </w:rPr>
        <w:t xml:space="preserve">Núm. </w:t>
      </w:r>
      <w:r w:rsidR="009C2352">
        <w:rPr>
          <w:rFonts w:ascii="Book Antiqua" w:eastAsia="Book Antiqua" w:hAnsi="Book Antiqua" w:cs="Book Antiqua"/>
          <w:color w:val="000000" w:themeColor="text1"/>
        </w:rPr>
        <w:t>6</w:t>
      </w:r>
      <w:r w:rsidR="002C7A3B">
        <w:rPr>
          <w:rFonts w:ascii="Book Antiqua" w:eastAsia="Book Antiqua" w:hAnsi="Book Antiqua" w:cs="Book Antiqua"/>
          <w:color w:val="000000" w:themeColor="text1"/>
        </w:rPr>
        <w:t>3</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142992" w:rsidRPr="006212C5">
        <w:rPr>
          <w:rFonts w:ascii="Book Antiqua" w:eastAsia="Book Antiqua" w:hAnsi="Book Antiqua" w:cs="Book Antiqua"/>
          <w:color w:val="000000" w:themeColor="text1"/>
        </w:rPr>
        <w:t>,</w:t>
      </w:r>
      <w:r w:rsidRPr="006212C5">
        <w:rPr>
          <w:rFonts w:ascii="Book Antiqua" w:eastAsia="Book Antiqua" w:hAnsi="Book Antiqua" w:cs="Book Antiqua"/>
          <w:color w:val="000000" w:themeColor="text1"/>
        </w:rPr>
        <w:t xml:space="preserve"> con</w:t>
      </w:r>
      <w:r w:rsidR="00142992" w:rsidRPr="006212C5">
        <w:rPr>
          <w:rFonts w:ascii="Book Antiqua" w:eastAsia="Book Antiqua" w:hAnsi="Book Antiqua" w:cs="Book Antiqua"/>
          <w:color w:val="000000" w:themeColor="text1"/>
        </w:rPr>
        <w:t xml:space="preserve"> las</w:t>
      </w:r>
      <w:r w:rsidRPr="006212C5">
        <w:rPr>
          <w:rFonts w:ascii="Book Antiqua" w:eastAsia="Book Antiqua" w:hAnsi="Book Antiqua" w:cs="Book Antiqua"/>
          <w:color w:val="000000" w:themeColor="text1"/>
        </w:rPr>
        <w:t xml:space="preserve"> enmiendas</w:t>
      </w:r>
      <w:r w:rsidR="00142992" w:rsidRPr="006212C5">
        <w:rPr>
          <w:rFonts w:ascii="Book Antiqua" w:eastAsia="Book Antiqua" w:hAnsi="Book Antiqua" w:cs="Book Antiqua"/>
          <w:color w:val="000000" w:themeColor="text1"/>
        </w:rPr>
        <w:t xml:space="preserve"> incluidas en el </w:t>
      </w:r>
      <w:proofErr w:type="spellStart"/>
      <w:r w:rsidR="00142992" w:rsidRPr="006212C5">
        <w:rPr>
          <w:rFonts w:ascii="Book Antiqua" w:eastAsia="Book Antiqua" w:hAnsi="Book Antiqua" w:cs="Book Antiqua"/>
          <w:color w:val="000000" w:themeColor="text1"/>
        </w:rPr>
        <w:t>entirillado</w:t>
      </w:r>
      <w:proofErr w:type="spellEnd"/>
      <w:r w:rsidR="00142992" w:rsidRPr="006212C5">
        <w:rPr>
          <w:rFonts w:ascii="Book Antiqua" w:eastAsia="Book Antiqua" w:hAnsi="Book Antiqua" w:cs="Book Antiqua"/>
          <w:color w:val="000000" w:themeColor="text1"/>
        </w:rPr>
        <w:t xml:space="preserve"> electrónico que se acompaña</w:t>
      </w:r>
      <w:r w:rsidRPr="006212C5">
        <w:rPr>
          <w:rFonts w:ascii="Book Antiqua" w:eastAsia="Book Antiqua" w:hAnsi="Book Antiqua" w:cs="Book Antiqua"/>
          <w:color w:val="000000" w:themeColor="text1"/>
        </w:rPr>
        <w:t xml:space="preserve">. </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00000010" w14:textId="77777777" w:rsidR="003867AC" w:rsidRPr="006212C5" w:rsidRDefault="003867AC">
      <w:pPr>
        <w:jc w:val="both"/>
        <w:rPr>
          <w:rFonts w:ascii="Book Antiqua" w:eastAsia="Book Antiqua" w:hAnsi="Book Antiqua" w:cs="Book Antiqua"/>
          <w:color w:val="000000" w:themeColor="text1"/>
        </w:rPr>
      </w:pPr>
    </w:p>
    <w:p w14:paraId="00000011" w14:textId="1EFB6C41" w:rsidR="003867AC" w:rsidRPr="00FD195A" w:rsidRDefault="0085373F" w:rsidP="004C1B5A">
      <w:pPr>
        <w:ind w:firstLine="720"/>
        <w:jc w:val="both"/>
        <w:rPr>
          <w:rFonts w:ascii="Book Antiqua" w:eastAsia="Book Antiqua" w:hAnsi="Book Antiqua" w:cs="Book Antiqua"/>
          <w:color w:val="000000" w:themeColor="text1"/>
          <w:szCs w:val="24"/>
        </w:rPr>
      </w:pPr>
      <w:bookmarkStart w:id="0" w:name="_heading=h.gjdgxs" w:colFirst="0" w:colLast="0"/>
      <w:bookmarkEnd w:id="0"/>
      <w:r w:rsidRPr="00B90788">
        <w:rPr>
          <w:rFonts w:ascii="Book Antiqua" w:eastAsia="Book Antiqua" w:hAnsi="Book Antiqua" w:cs="Book Antiqua"/>
          <w:color w:val="000000" w:themeColor="text1"/>
          <w:szCs w:val="24"/>
        </w:rPr>
        <w:t xml:space="preserve">La Resolución Conjunta de la Cámara </w:t>
      </w:r>
      <w:r w:rsidR="004C1B5A" w:rsidRPr="00B90788">
        <w:rPr>
          <w:rFonts w:ascii="Book Antiqua" w:eastAsia="Book Antiqua" w:hAnsi="Book Antiqua" w:cs="Book Antiqua"/>
          <w:color w:val="000000" w:themeColor="text1"/>
          <w:szCs w:val="24"/>
        </w:rPr>
        <w:t xml:space="preserve">Núm. </w:t>
      </w:r>
      <w:r w:rsidR="009C2352" w:rsidRPr="00B90788">
        <w:rPr>
          <w:rFonts w:ascii="Book Antiqua" w:eastAsia="Book Antiqua" w:hAnsi="Book Antiqua" w:cs="Book Antiqua"/>
          <w:color w:val="000000" w:themeColor="text1"/>
          <w:szCs w:val="24"/>
        </w:rPr>
        <w:t>6</w:t>
      </w:r>
      <w:r w:rsidR="002C7A3B">
        <w:rPr>
          <w:rFonts w:ascii="Book Antiqua" w:eastAsia="Book Antiqua" w:hAnsi="Book Antiqua" w:cs="Book Antiqua"/>
          <w:color w:val="000000" w:themeColor="text1"/>
          <w:szCs w:val="24"/>
        </w:rPr>
        <w:t>3</w:t>
      </w:r>
      <w:r w:rsidRPr="00B90788">
        <w:rPr>
          <w:rFonts w:ascii="Book Antiqua" w:eastAsia="Book Antiqua" w:hAnsi="Book Antiqua" w:cs="Book Antiqua"/>
          <w:color w:val="000000" w:themeColor="text1"/>
          <w:szCs w:val="24"/>
        </w:rPr>
        <w:t xml:space="preserve"> propone</w:t>
      </w:r>
      <w:r w:rsidR="0025299B" w:rsidRPr="00B90788">
        <w:rPr>
          <w:rFonts w:ascii="Book Antiqua" w:eastAsia="Book Antiqua" w:hAnsi="Book Antiqua" w:cs="Book Antiqua"/>
          <w:color w:val="000000" w:themeColor="text1"/>
          <w:szCs w:val="24"/>
          <w:lang w:val="es-PR"/>
        </w:rPr>
        <w:t xml:space="preserve"> </w:t>
      </w:r>
      <w:r w:rsidR="00FD195A" w:rsidRPr="00FD195A">
        <w:rPr>
          <w:rFonts w:ascii="Book Antiqua" w:hAnsi="Book Antiqua"/>
          <w:szCs w:val="24"/>
        </w:rPr>
        <w:t xml:space="preserve">ordenar </w:t>
      </w:r>
      <w:bookmarkStart w:id="1" w:name="_Hlk207101007"/>
      <w:r w:rsidR="00FD195A" w:rsidRPr="00FD195A">
        <w:rPr>
          <w:rFonts w:ascii="Book Antiqua" w:hAnsi="Book Antiqua"/>
          <w:szCs w:val="24"/>
          <w:lang w:val="es-PR"/>
        </w:rPr>
        <w:t>al Departamento de Transportación y Obras Públicas y</w:t>
      </w:r>
      <w:bookmarkEnd w:id="1"/>
      <w:r w:rsidR="00FD195A" w:rsidRPr="00FD195A">
        <w:rPr>
          <w:rFonts w:ascii="Book Antiqua" w:hAnsi="Book Antiqua"/>
          <w:szCs w:val="24"/>
        </w:rPr>
        <w:t xml:space="preserve"> a la Autoridad de Carreteras y Transportación de Puerto Rico, conforme a los estatutos de la Ley Núm. 74 de 23 de junio de 1965, según enmendada, </w:t>
      </w:r>
      <w:bookmarkStart w:id="2" w:name="_Hlk207101334"/>
      <w:bookmarkStart w:id="3" w:name="_Hlk207101148"/>
      <w:r w:rsidR="000E3D7B">
        <w:rPr>
          <w:rFonts w:ascii="Book Antiqua" w:hAnsi="Book Antiqua"/>
          <w:szCs w:val="24"/>
        </w:rPr>
        <w:t>en coordinación</w:t>
      </w:r>
      <w:r w:rsidR="00FD195A" w:rsidRPr="00FD195A">
        <w:rPr>
          <w:rFonts w:ascii="Book Antiqua" w:hAnsi="Book Antiqua"/>
          <w:szCs w:val="24"/>
          <w:lang w:val="es-PR"/>
        </w:rPr>
        <w:t xml:space="preserve"> con LUMA Energy, la Autoridad de Energía Eléctrica, o cualquier otra entidad correspondiente</w:t>
      </w:r>
      <w:r w:rsidR="00FD195A" w:rsidRPr="00FD195A">
        <w:rPr>
          <w:rFonts w:ascii="Book Antiqua" w:hAnsi="Book Antiqua"/>
          <w:szCs w:val="24"/>
        </w:rPr>
        <w:t xml:space="preserve"> para</w:t>
      </w:r>
      <w:bookmarkEnd w:id="2"/>
      <w:bookmarkEnd w:id="3"/>
      <w:r w:rsidR="00FD195A" w:rsidRPr="00FD195A">
        <w:rPr>
          <w:rFonts w:ascii="Book Antiqua" w:hAnsi="Book Antiqua"/>
          <w:szCs w:val="24"/>
        </w:rPr>
        <w:t xml:space="preserve"> establecer e implantar los mecanismos necesarios para el funcionamiento eficiente de los sistemas de alumbrado eléctrico en las calles y carreteras que posibilitan y viabilizan el tránsito de vehículos y peatones en los sectores propios de los barrios </w:t>
      </w:r>
      <w:proofErr w:type="spellStart"/>
      <w:r w:rsidR="00FD195A" w:rsidRPr="00FD195A">
        <w:rPr>
          <w:rFonts w:ascii="Book Antiqua" w:hAnsi="Book Antiqua"/>
          <w:szCs w:val="24"/>
        </w:rPr>
        <w:t>Duey</w:t>
      </w:r>
      <w:proofErr w:type="spellEnd"/>
      <w:r w:rsidR="00FD195A" w:rsidRPr="00FD195A">
        <w:rPr>
          <w:rFonts w:ascii="Book Antiqua" w:hAnsi="Book Antiqua"/>
          <w:szCs w:val="24"/>
        </w:rPr>
        <w:t xml:space="preserve"> Bajo, Rosario Bajo, Rosario Peñón, Rosario Alto, Caín Alto, </w:t>
      </w:r>
      <w:proofErr w:type="spellStart"/>
      <w:r w:rsidR="00FD195A" w:rsidRPr="00FD195A">
        <w:rPr>
          <w:rFonts w:ascii="Book Antiqua" w:hAnsi="Book Antiqua"/>
          <w:szCs w:val="24"/>
        </w:rPr>
        <w:t>Hoconuco</w:t>
      </w:r>
      <w:proofErr w:type="spellEnd"/>
      <w:r w:rsidR="00FD195A" w:rsidRPr="00FD195A">
        <w:rPr>
          <w:rFonts w:ascii="Book Antiqua" w:hAnsi="Book Antiqua"/>
          <w:szCs w:val="24"/>
        </w:rPr>
        <w:t xml:space="preserve"> Alto, Caín Bajo, </w:t>
      </w:r>
      <w:proofErr w:type="spellStart"/>
      <w:r w:rsidR="00FD195A" w:rsidRPr="00FD195A">
        <w:rPr>
          <w:rFonts w:ascii="Book Antiqua" w:hAnsi="Book Antiqua"/>
          <w:szCs w:val="24"/>
        </w:rPr>
        <w:t>Hoconuco</w:t>
      </w:r>
      <w:proofErr w:type="spellEnd"/>
      <w:r w:rsidR="00FD195A" w:rsidRPr="00FD195A">
        <w:rPr>
          <w:rFonts w:ascii="Book Antiqua" w:hAnsi="Book Antiqua"/>
          <w:szCs w:val="24"/>
        </w:rPr>
        <w:t xml:space="preserve"> Bajo y </w:t>
      </w:r>
      <w:proofErr w:type="spellStart"/>
      <w:r w:rsidR="00FD195A" w:rsidRPr="00FD195A">
        <w:rPr>
          <w:rFonts w:ascii="Book Antiqua" w:hAnsi="Book Antiqua"/>
          <w:szCs w:val="24"/>
        </w:rPr>
        <w:t>Duey</w:t>
      </w:r>
      <w:proofErr w:type="spellEnd"/>
      <w:r w:rsidR="00FD195A" w:rsidRPr="00FD195A">
        <w:rPr>
          <w:rFonts w:ascii="Book Antiqua" w:hAnsi="Book Antiqua"/>
          <w:szCs w:val="24"/>
        </w:rPr>
        <w:t xml:space="preserve"> Alto en el Municipio de San Germán; igualmente, desarrollar planes de mantenimiento y provisión de servicios para garantizar la existencia y ejecución efectiva de la infraestructura que genere energía para iluminación precisa y adecuada en las vías de rodaje y caminos antes referidos.</w:t>
      </w:r>
    </w:p>
    <w:p w14:paraId="00000012" w14:textId="77777777" w:rsidR="003867AC" w:rsidRPr="006212C5" w:rsidRDefault="003867AC">
      <w:pPr>
        <w:ind w:firstLine="720"/>
        <w:jc w:val="both"/>
        <w:rPr>
          <w:rFonts w:ascii="Book Antiqua" w:eastAsia="Helvetica Neue" w:hAnsi="Book Antiqua" w:cs="Helvetica Neue"/>
          <w:color w:val="000000" w:themeColor="text1"/>
          <w:szCs w:val="24"/>
        </w:rPr>
      </w:pPr>
      <w:bookmarkStart w:id="4" w:name="_heading=h.e6qhsm21qw78" w:colFirst="0" w:colLast="0"/>
      <w:bookmarkEnd w:id="4"/>
    </w:p>
    <w:p w14:paraId="3164A208" w14:textId="77777777" w:rsidR="00316566" w:rsidRPr="00316566" w:rsidRDefault="00316566" w:rsidP="00316566">
      <w:pPr>
        <w:ind w:firstLine="720"/>
        <w:jc w:val="both"/>
        <w:rPr>
          <w:rFonts w:ascii="Book Antiqua" w:eastAsia="Book Antiqua" w:hAnsi="Book Antiqua" w:cs="Book Antiqua"/>
          <w:color w:val="000000" w:themeColor="text1"/>
          <w:lang w:val="es-PR"/>
        </w:rPr>
      </w:pPr>
      <w:bookmarkStart w:id="5" w:name="_heading=h.a8588rv6uhcj" w:colFirst="0" w:colLast="0"/>
      <w:bookmarkEnd w:id="5"/>
      <w:r w:rsidRPr="00316566">
        <w:rPr>
          <w:rFonts w:ascii="Book Antiqua" w:eastAsia="Book Antiqua" w:hAnsi="Book Antiqua" w:cs="Book Antiqua"/>
          <w:color w:val="000000" w:themeColor="text1"/>
          <w:lang w:val="es-PR"/>
        </w:rPr>
        <w:t xml:space="preserve">La Exposición de Motivos de la R.C. de la C. 63 resalta que </w:t>
      </w:r>
      <w:r w:rsidRPr="00316566">
        <w:rPr>
          <w:rFonts w:ascii="Book Antiqua" w:eastAsia="Book Antiqua" w:hAnsi="Book Antiqua" w:cs="Book Antiqua"/>
          <w:i/>
          <w:iCs/>
          <w:color w:val="000000" w:themeColor="text1"/>
          <w:lang w:val="es-PR"/>
        </w:rPr>
        <w:t xml:space="preserve">“el desarrollo y mantenimiento de una moderna, eficiente y efectiva red de carreteras, avenidas y caminos es piedra angular de la economía y la calidad de vida de un pueblo; así pues, del estado de este elemento fundamental de la infraestructura dependen en gran medida las posibilidades de crecimiento y desarrollo de áreas densamente pobladas del país, y de regiones distantes de los grandes centros </w:t>
      </w:r>
      <w:r w:rsidRPr="00316566">
        <w:rPr>
          <w:rFonts w:ascii="Book Antiqua" w:eastAsia="Book Antiqua" w:hAnsi="Book Antiqua" w:cs="Book Antiqua"/>
          <w:i/>
          <w:iCs/>
          <w:color w:val="000000" w:themeColor="text1"/>
          <w:lang w:val="es-PR"/>
        </w:rPr>
        <w:lastRenderedPageBreak/>
        <w:t>urbanos y de alta concentración laboral y poblacional.”</w:t>
      </w:r>
      <w:r w:rsidRPr="00316566">
        <w:rPr>
          <w:rFonts w:ascii="Book Antiqua" w:eastAsia="Book Antiqua" w:hAnsi="Book Antiqua" w:cs="Book Antiqua"/>
          <w:color w:val="000000" w:themeColor="text1"/>
          <w:lang w:val="es-PR"/>
        </w:rPr>
        <w:t xml:space="preserve"> Con este planteamiento se subraya la importancia de garantizar la funcionalidad de las vías de rodaje y de atender de manera prioritaria los problemas relacionados con la falta de alumbrado eléctrico.</w:t>
      </w:r>
    </w:p>
    <w:p w14:paraId="7CA8E2FF" w14:textId="77777777" w:rsidR="00316566" w:rsidRPr="00316566" w:rsidRDefault="00316566" w:rsidP="00316566">
      <w:pPr>
        <w:ind w:firstLine="720"/>
        <w:jc w:val="both"/>
        <w:rPr>
          <w:rFonts w:ascii="Book Antiqua" w:eastAsia="Book Antiqua" w:hAnsi="Book Antiqua" w:cs="Book Antiqua"/>
          <w:color w:val="000000" w:themeColor="text1"/>
          <w:lang w:val="es-PR"/>
        </w:rPr>
      </w:pPr>
    </w:p>
    <w:p w14:paraId="76194586" w14:textId="77777777" w:rsidR="00316566" w:rsidRPr="00316566" w:rsidRDefault="00316566" w:rsidP="00316566">
      <w:pPr>
        <w:ind w:firstLine="720"/>
        <w:jc w:val="both"/>
        <w:rPr>
          <w:rFonts w:ascii="Book Antiqua" w:eastAsia="Book Antiqua" w:hAnsi="Book Antiqua" w:cs="Book Antiqua"/>
          <w:color w:val="000000" w:themeColor="text1"/>
          <w:lang w:val="es-PR"/>
        </w:rPr>
      </w:pPr>
      <w:r w:rsidRPr="00316566">
        <w:rPr>
          <w:rFonts w:ascii="Book Antiqua" w:eastAsia="Book Antiqua" w:hAnsi="Book Antiqua" w:cs="Book Antiqua"/>
          <w:color w:val="000000" w:themeColor="text1"/>
          <w:lang w:val="es-PR"/>
        </w:rPr>
        <w:t xml:space="preserve">El documento expone que, a pesar de inversiones millonarias en proyectos de mejoras viales, persisten deficiencias graves debido a la inexistencia de iluminación adecuada, lo cual representa un riesgo para la seguridad de conductores y peatones. En particular, se menciona la situación en los barrios </w:t>
      </w:r>
      <w:proofErr w:type="spellStart"/>
      <w:r w:rsidRPr="00316566">
        <w:rPr>
          <w:rFonts w:ascii="Book Antiqua" w:eastAsia="Book Antiqua" w:hAnsi="Book Antiqua" w:cs="Book Antiqua"/>
          <w:color w:val="000000" w:themeColor="text1"/>
          <w:lang w:val="es-PR"/>
        </w:rPr>
        <w:t>Duey</w:t>
      </w:r>
      <w:proofErr w:type="spellEnd"/>
      <w:r w:rsidRPr="00316566">
        <w:rPr>
          <w:rFonts w:ascii="Book Antiqua" w:eastAsia="Book Antiqua" w:hAnsi="Book Antiqua" w:cs="Book Antiqua"/>
          <w:color w:val="000000" w:themeColor="text1"/>
          <w:lang w:val="es-PR"/>
        </w:rPr>
        <w:t xml:space="preserve"> Bajo, Rosario Bajo, Rosario Peñón, Rosario Alto, Caín Alto, </w:t>
      </w:r>
      <w:proofErr w:type="spellStart"/>
      <w:r w:rsidRPr="00316566">
        <w:rPr>
          <w:rFonts w:ascii="Book Antiqua" w:eastAsia="Book Antiqua" w:hAnsi="Book Antiqua" w:cs="Book Antiqua"/>
          <w:color w:val="000000" w:themeColor="text1"/>
          <w:lang w:val="es-PR"/>
        </w:rPr>
        <w:t>Hoconuco</w:t>
      </w:r>
      <w:proofErr w:type="spellEnd"/>
      <w:r w:rsidRPr="00316566">
        <w:rPr>
          <w:rFonts w:ascii="Book Antiqua" w:eastAsia="Book Antiqua" w:hAnsi="Book Antiqua" w:cs="Book Antiqua"/>
          <w:color w:val="000000" w:themeColor="text1"/>
          <w:lang w:val="es-PR"/>
        </w:rPr>
        <w:t xml:space="preserve"> Alto, Caín Bajo, </w:t>
      </w:r>
      <w:proofErr w:type="spellStart"/>
      <w:r w:rsidRPr="00316566">
        <w:rPr>
          <w:rFonts w:ascii="Book Antiqua" w:eastAsia="Book Antiqua" w:hAnsi="Book Antiqua" w:cs="Book Antiqua"/>
          <w:color w:val="000000" w:themeColor="text1"/>
          <w:lang w:val="es-PR"/>
        </w:rPr>
        <w:t>Hoconuco</w:t>
      </w:r>
      <w:proofErr w:type="spellEnd"/>
      <w:r w:rsidRPr="00316566">
        <w:rPr>
          <w:rFonts w:ascii="Book Antiqua" w:eastAsia="Book Antiqua" w:hAnsi="Book Antiqua" w:cs="Book Antiqua"/>
          <w:color w:val="000000" w:themeColor="text1"/>
          <w:lang w:val="es-PR"/>
        </w:rPr>
        <w:t xml:space="preserve"> Bajo y </w:t>
      </w:r>
      <w:proofErr w:type="spellStart"/>
      <w:r w:rsidRPr="00316566">
        <w:rPr>
          <w:rFonts w:ascii="Book Antiqua" w:eastAsia="Book Antiqua" w:hAnsi="Book Antiqua" w:cs="Book Antiqua"/>
          <w:color w:val="000000" w:themeColor="text1"/>
          <w:lang w:val="es-PR"/>
        </w:rPr>
        <w:t>Duey</w:t>
      </w:r>
      <w:proofErr w:type="spellEnd"/>
      <w:r w:rsidRPr="00316566">
        <w:rPr>
          <w:rFonts w:ascii="Book Antiqua" w:eastAsia="Book Antiqua" w:hAnsi="Book Antiqua" w:cs="Book Antiqua"/>
          <w:color w:val="000000" w:themeColor="text1"/>
          <w:lang w:val="es-PR"/>
        </w:rPr>
        <w:t xml:space="preserve"> Alto del municipio de San Germán. La falta de alumbrado eléctrico en estas comunidades afecta directamente la calidad de vida de sus residentes, obstaculiza la movilidad y aumenta la probabilidad de accidentes viales.</w:t>
      </w:r>
    </w:p>
    <w:p w14:paraId="428D0D4E" w14:textId="77777777" w:rsidR="00316566" w:rsidRPr="00316566" w:rsidRDefault="00316566" w:rsidP="00316566">
      <w:pPr>
        <w:ind w:firstLine="720"/>
        <w:jc w:val="both"/>
        <w:rPr>
          <w:rFonts w:ascii="Book Antiqua" w:eastAsia="Book Antiqua" w:hAnsi="Book Antiqua" w:cs="Book Antiqua"/>
          <w:color w:val="000000" w:themeColor="text1"/>
          <w:lang w:val="es-PR"/>
        </w:rPr>
      </w:pPr>
    </w:p>
    <w:p w14:paraId="38444B45" w14:textId="77777777" w:rsidR="00316566" w:rsidRPr="00316566" w:rsidRDefault="00316566" w:rsidP="00316566">
      <w:pPr>
        <w:ind w:firstLine="720"/>
        <w:jc w:val="both"/>
        <w:rPr>
          <w:rFonts w:ascii="Book Antiqua" w:eastAsia="Book Antiqua" w:hAnsi="Book Antiqua" w:cs="Book Antiqua"/>
          <w:color w:val="000000" w:themeColor="text1"/>
          <w:lang w:val="es-PR"/>
        </w:rPr>
      </w:pPr>
      <w:r w:rsidRPr="00316566">
        <w:rPr>
          <w:rFonts w:ascii="Book Antiqua" w:eastAsia="Book Antiqua" w:hAnsi="Book Antiqua" w:cs="Book Antiqua"/>
          <w:color w:val="000000" w:themeColor="text1"/>
          <w:lang w:val="es-PR"/>
        </w:rPr>
        <w:t xml:space="preserve">Se reconoce que esta situación constituye un asunto de política pública que impacta de forma negativa a amplios sectores de la población, especialmente porque la carencia de iluminación vial incide en la seguridad y el bienestar social. La Exposición de Motivos establece que </w:t>
      </w:r>
      <w:r w:rsidRPr="00316566">
        <w:rPr>
          <w:rFonts w:ascii="Book Antiqua" w:eastAsia="Book Antiqua" w:hAnsi="Book Antiqua" w:cs="Book Antiqua"/>
          <w:i/>
          <w:iCs/>
          <w:color w:val="000000" w:themeColor="text1"/>
          <w:lang w:val="es-PR"/>
        </w:rPr>
        <w:t>“la inexistencia de iluminación y ausencia de claridad (…) no solamente pone en riesgo la vida y la seguridad de todos los ciudadanos que circulan a diario por dichas vías de rodaje; además, afecta de manera adversa y directa la calidad de vida de los residentes en el Municipio de San Germán.”</w:t>
      </w:r>
    </w:p>
    <w:p w14:paraId="2F08590E" w14:textId="77777777" w:rsidR="00316566" w:rsidRPr="00316566" w:rsidRDefault="00316566" w:rsidP="00316566">
      <w:pPr>
        <w:ind w:firstLine="720"/>
        <w:jc w:val="both"/>
        <w:rPr>
          <w:rFonts w:ascii="Book Antiqua" w:eastAsia="Book Antiqua" w:hAnsi="Book Antiqua" w:cs="Book Antiqua"/>
          <w:color w:val="000000" w:themeColor="text1"/>
          <w:lang w:val="es-PR"/>
        </w:rPr>
      </w:pPr>
    </w:p>
    <w:p w14:paraId="6E4D3065" w14:textId="77777777" w:rsidR="00316566" w:rsidRPr="00316566" w:rsidRDefault="00316566" w:rsidP="00316566">
      <w:pPr>
        <w:ind w:firstLine="720"/>
        <w:jc w:val="both"/>
        <w:rPr>
          <w:rFonts w:ascii="Book Antiqua" w:eastAsia="Book Antiqua" w:hAnsi="Book Antiqua" w:cs="Book Antiqua"/>
          <w:color w:val="000000" w:themeColor="text1"/>
          <w:lang w:val="es-PR"/>
        </w:rPr>
      </w:pPr>
      <w:r w:rsidRPr="00316566">
        <w:rPr>
          <w:rFonts w:ascii="Book Antiqua" w:eastAsia="Book Antiqua" w:hAnsi="Book Antiqua" w:cs="Book Antiqua"/>
          <w:color w:val="000000" w:themeColor="text1"/>
          <w:lang w:val="es-PR"/>
        </w:rPr>
        <w:t>Ante ello, el alcance de la medida ordena al Departamento de Transportación y Obras Públicas (DTOP) y a la Autoridad de Carreteras y Transportación (ACT), en coordinación con LUMA Energy, la Autoridad de Energía Eléctrica u otra entidad pertinente, a realizar todas las gestiones necesarias para establecer e implantar los mecanismos imprescindibles que garanticen el funcionamiento eficiente de los sistemas de alumbrado en las vías y caminos de San Germán. Además, deberán desarrollar planes de mantenimiento y servicios que aseguren la existencia y ejecución efectiva de la infraestructura de iluminación vial.</w:t>
      </w:r>
    </w:p>
    <w:p w14:paraId="0E8B5129" w14:textId="785609BC" w:rsidR="00D7350C" w:rsidRPr="00D7350C" w:rsidRDefault="00D7350C" w:rsidP="00B22F4C">
      <w:pPr>
        <w:jc w:val="both"/>
        <w:rPr>
          <w:rFonts w:ascii="Book Antiqua" w:eastAsia="Book Antiqua" w:hAnsi="Book Antiqua" w:cs="Book Antiqua"/>
          <w:color w:val="000000" w:themeColor="text1"/>
          <w:lang w:val="es-PR"/>
        </w:rPr>
      </w:pPr>
    </w:p>
    <w:p w14:paraId="247ED566" w14:textId="77777777" w:rsidR="00517E2C" w:rsidRDefault="00517E2C" w:rsidP="00371165">
      <w:pPr>
        <w:jc w:val="center"/>
        <w:rPr>
          <w:rFonts w:ascii="Book Antiqua" w:eastAsia="Book Antiqua" w:hAnsi="Book Antiqua" w:cs="Book Antiqua"/>
          <w:b/>
          <w:color w:val="000000" w:themeColor="text1"/>
        </w:rPr>
      </w:pPr>
    </w:p>
    <w:p w14:paraId="0000001B" w14:textId="30C8DACE" w:rsidR="003867AC" w:rsidRPr="00371165" w:rsidRDefault="0085373F" w:rsidP="00371165">
      <w:pPr>
        <w:jc w:val="center"/>
        <w:rPr>
          <w:rFonts w:ascii="Book Antiqua" w:eastAsia="Helvetica Neue" w:hAnsi="Book Antiqua" w:cs="Helvetica Neue"/>
          <w:color w:val="000000" w:themeColor="text1"/>
          <w:szCs w:val="24"/>
        </w:rPr>
      </w:pPr>
      <w:r w:rsidRPr="006212C5">
        <w:rPr>
          <w:rFonts w:ascii="Book Antiqua" w:eastAsia="Book Antiqua" w:hAnsi="Book Antiqua" w:cs="Book Antiqua"/>
          <w:b/>
          <w:color w:val="000000" w:themeColor="text1"/>
        </w:rPr>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349FE512" w14:textId="0BC605B5" w:rsidR="004C1B5A" w:rsidRDefault="00DC6066" w:rsidP="00DC6066">
      <w:pPr>
        <w:ind w:firstLine="720"/>
        <w:jc w:val="both"/>
        <w:rPr>
          <w:rFonts w:ascii="Book Antiqua" w:hAnsi="Book Antiqua"/>
          <w:color w:val="000000" w:themeColor="text1"/>
        </w:rPr>
      </w:pPr>
      <w:r>
        <w:rPr>
          <w:rFonts w:ascii="Book Antiqua" w:eastAsia="Book Antiqua" w:hAnsi="Book Antiqua" w:cs="Book Antiqua"/>
        </w:rPr>
        <w:t>L</w:t>
      </w:r>
      <w:r w:rsidRPr="00CB31ED">
        <w:rPr>
          <w:rFonts w:ascii="Book Antiqua" w:eastAsia="Book Antiqua" w:hAnsi="Book Antiqua" w:cs="Book Antiqua"/>
        </w:rPr>
        <w:t>a Comisión de Transportación e Infraestructura para la debida consideración y estudio de</w:t>
      </w:r>
      <w:r>
        <w:rPr>
          <w:rFonts w:ascii="Book Antiqua" w:eastAsia="Book Antiqua" w:hAnsi="Book Antiqua" w:cs="Book Antiqua"/>
        </w:rPr>
        <w:t xml:space="preserve"> la Resolución Conjunta</w:t>
      </w:r>
      <w:r w:rsidRPr="00CB31ED">
        <w:rPr>
          <w:rFonts w:ascii="Book Antiqua" w:eastAsia="Book Antiqua" w:hAnsi="Book Antiqua" w:cs="Book Antiqua"/>
        </w:rPr>
        <w:t xml:space="preserve"> de la Cámara Núm. </w:t>
      </w:r>
      <w:r w:rsidR="00C577BB">
        <w:rPr>
          <w:rFonts w:ascii="Book Antiqua" w:eastAsia="Book Antiqua" w:hAnsi="Book Antiqua" w:cs="Book Antiqua"/>
        </w:rPr>
        <w:t>6</w:t>
      </w:r>
      <w:r w:rsidR="00B22F4C">
        <w:rPr>
          <w:rFonts w:ascii="Book Antiqua" w:eastAsia="Book Antiqua" w:hAnsi="Book Antiqua" w:cs="Book Antiqua"/>
        </w:rPr>
        <w:t>3</w:t>
      </w:r>
      <w:r w:rsidRPr="00CB31ED">
        <w:rPr>
          <w:rFonts w:ascii="Book Antiqua" w:eastAsia="Book Antiqua" w:hAnsi="Book Antiqua" w:cs="Book Antiqua"/>
        </w:rPr>
        <w:t>,</w:t>
      </w:r>
      <w:r>
        <w:rPr>
          <w:rFonts w:ascii="Book Antiqua" w:eastAsia="Book Antiqua" w:hAnsi="Book Antiqua" w:cs="Book Antiqua"/>
        </w:rPr>
        <w:t xml:space="preserve"> </w:t>
      </w:r>
      <w:r w:rsidR="001740BA">
        <w:rPr>
          <w:rFonts w:ascii="Book Antiqua" w:eastAsia="Book Antiqua" w:hAnsi="Book Antiqua" w:cs="Book Antiqua"/>
        </w:rPr>
        <w:t>solicitó</w:t>
      </w:r>
      <w:r>
        <w:rPr>
          <w:rFonts w:ascii="Book Antiqua" w:eastAsia="Book Antiqua" w:hAnsi="Book Antiqua" w:cs="Book Antiqua"/>
        </w:rPr>
        <w:t xml:space="preserve"> memorial explicativo</w:t>
      </w:r>
      <w:r w:rsidR="00EC70DA">
        <w:rPr>
          <w:rFonts w:ascii="Book Antiqua" w:eastAsia="Book Antiqua" w:hAnsi="Book Antiqua" w:cs="Book Antiqua"/>
        </w:rPr>
        <w:t xml:space="preserve"> </w:t>
      </w:r>
      <w:r w:rsidR="00C577BB">
        <w:rPr>
          <w:rFonts w:ascii="Book Antiqua" w:eastAsia="Book Antiqua" w:hAnsi="Book Antiqua" w:cs="Book Antiqua"/>
        </w:rPr>
        <w:t>a</w:t>
      </w:r>
      <w:r w:rsidR="008E0700">
        <w:rPr>
          <w:rFonts w:ascii="Book Antiqua" w:eastAsia="Book Antiqua" w:hAnsi="Book Antiqua" w:cs="Book Antiqua"/>
        </w:rPr>
        <w:t xml:space="preserve"> LUMA Energy y al Departamento de Transportación y Obras Públicas. </w:t>
      </w:r>
      <w:r w:rsidR="00CB45A2">
        <w:rPr>
          <w:rFonts w:ascii="Book Antiqua" w:eastAsia="Book Antiqua" w:hAnsi="Book Antiqua" w:cs="Book Antiqua"/>
        </w:rPr>
        <w:t xml:space="preserve">Hasta el momento de </w:t>
      </w:r>
      <w:r w:rsidR="000474BF">
        <w:rPr>
          <w:rFonts w:ascii="Book Antiqua" w:eastAsia="Book Antiqua" w:hAnsi="Book Antiqua" w:cs="Book Antiqua"/>
        </w:rPr>
        <w:t>la redacción de este informe</w:t>
      </w:r>
      <w:r w:rsidR="008E0700">
        <w:rPr>
          <w:rFonts w:ascii="Book Antiqua" w:eastAsia="Book Antiqua" w:hAnsi="Book Antiqua" w:cs="Book Antiqua"/>
        </w:rPr>
        <w:t xml:space="preserve"> solo LUMA Energy envió sus comentarios</w:t>
      </w:r>
      <w:r w:rsidR="000474BF">
        <w:rPr>
          <w:rFonts w:ascii="Book Antiqua" w:eastAsia="Book Antiqua" w:hAnsi="Book Antiqua" w:cs="Book Antiqua"/>
        </w:rPr>
        <w:t>.</w:t>
      </w:r>
    </w:p>
    <w:p w14:paraId="2D35DCA3" w14:textId="77777777" w:rsidR="00DC6066" w:rsidRDefault="00DC6066" w:rsidP="00DC6066">
      <w:pPr>
        <w:ind w:firstLine="720"/>
        <w:jc w:val="both"/>
        <w:rPr>
          <w:rFonts w:ascii="Book Antiqua" w:hAnsi="Book Antiqua"/>
          <w:color w:val="000000" w:themeColor="text1"/>
        </w:rPr>
      </w:pPr>
    </w:p>
    <w:p w14:paraId="67550C32" w14:textId="3F83D967" w:rsidR="00DC6066" w:rsidRPr="00B22F4C" w:rsidRDefault="00452828" w:rsidP="003741FE">
      <w:pPr>
        <w:jc w:val="center"/>
        <w:rPr>
          <w:rFonts w:ascii="Book Antiqua" w:hAnsi="Book Antiqua"/>
          <w:b/>
          <w:bCs/>
          <w:color w:val="000000" w:themeColor="text1"/>
        </w:rPr>
      </w:pPr>
      <w:r>
        <w:rPr>
          <w:rFonts w:ascii="Book Antiqua" w:hAnsi="Book Antiqua"/>
          <w:b/>
          <w:bCs/>
          <w:color w:val="000000" w:themeColor="text1"/>
          <w:u w:val="single"/>
        </w:rPr>
        <w:t>LUMA Energy</w:t>
      </w:r>
    </w:p>
    <w:p w14:paraId="3C15A384" w14:textId="3025B38C" w:rsidR="00DC6066" w:rsidRDefault="00DC6066" w:rsidP="00DC6066">
      <w:pPr>
        <w:rPr>
          <w:rFonts w:ascii="Book Antiqua" w:hAnsi="Book Antiqua"/>
          <w:b/>
          <w:bCs/>
          <w:color w:val="000000" w:themeColor="text1"/>
          <w:u w:val="single"/>
        </w:rPr>
      </w:pPr>
    </w:p>
    <w:p w14:paraId="0E306D37" w14:textId="02397634" w:rsidR="002E0E7E" w:rsidRPr="002E0E7E" w:rsidRDefault="007E0FCE" w:rsidP="002E0E7E">
      <w:pPr>
        <w:jc w:val="both"/>
        <w:rPr>
          <w:rFonts w:ascii="Book Antiqua" w:hAnsi="Book Antiqua"/>
          <w:color w:val="000000" w:themeColor="text1"/>
          <w:lang w:val="es-PR"/>
        </w:rPr>
      </w:pPr>
      <w:r>
        <w:rPr>
          <w:rFonts w:ascii="Book Antiqua" w:hAnsi="Book Antiqua"/>
          <w:color w:val="000000" w:themeColor="text1"/>
        </w:rPr>
        <w:tab/>
      </w:r>
      <w:r w:rsidR="00DA2B1C">
        <w:rPr>
          <w:rFonts w:ascii="Book Antiqua" w:hAnsi="Book Antiqua"/>
          <w:color w:val="000000" w:themeColor="text1"/>
          <w:lang w:val="es-PR"/>
        </w:rPr>
        <w:t xml:space="preserve">LUMA Energy </w:t>
      </w:r>
      <w:r w:rsidR="002E0E7E">
        <w:rPr>
          <w:rFonts w:ascii="Book Antiqua" w:hAnsi="Book Antiqua"/>
          <w:color w:val="000000" w:themeColor="text1"/>
          <w:lang w:val="es-PR"/>
        </w:rPr>
        <w:t xml:space="preserve">en su </w:t>
      </w:r>
      <w:r w:rsidR="002E0E7E" w:rsidRPr="002E0E7E">
        <w:rPr>
          <w:rFonts w:ascii="Book Antiqua" w:hAnsi="Book Antiqua"/>
          <w:color w:val="000000" w:themeColor="text1"/>
          <w:lang w:val="es-PR"/>
        </w:rPr>
        <w:t xml:space="preserve">memorial comienza señalando que la Resolución Conjunta de la Cámara 63 no incluye una disposición que ordene o requiera la participación directa de LUMA. Sin embargo, como muestra de colaboración, la entidad ofrece información </w:t>
      </w:r>
      <w:r w:rsidR="002E0E7E" w:rsidRPr="002E0E7E">
        <w:rPr>
          <w:rFonts w:ascii="Book Antiqua" w:hAnsi="Book Antiqua"/>
          <w:color w:val="000000" w:themeColor="text1"/>
          <w:lang w:val="es-PR"/>
        </w:rPr>
        <w:lastRenderedPageBreak/>
        <w:t>sobre el estado del alumbrado público y las iniciativas que administra, incluyendo las acciones específicas realizadas en el municipio de San Germán.</w:t>
      </w:r>
    </w:p>
    <w:p w14:paraId="72DA7FBD" w14:textId="77777777" w:rsidR="002E0E7E" w:rsidRPr="002E0E7E" w:rsidRDefault="002E0E7E" w:rsidP="002E0E7E">
      <w:pPr>
        <w:jc w:val="both"/>
        <w:rPr>
          <w:rFonts w:ascii="Book Antiqua" w:hAnsi="Book Antiqua"/>
          <w:color w:val="000000" w:themeColor="text1"/>
          <w:lang w:val="es-PR"/>
        </w:rPr>
      </w:pPr>
    </w:p>
    <w:p w14:paraId="43636EAB" w14:textId="77777777" w:rsidR="002E0E7E" w:rsidRPr="002E0E7E" w:rsidRDefault="002E0E7E" w:rsidP="002E0E7E">
      <w:pPr>
        <w:ind w:firstLine="720"/>
        <w:jc w:val="both"/>
        <w:rPr>
          <w:rFonts w:ascii="Book Antiqua" w:hAnsi="Book Antiqua"/>
          <w:color w:val="000000" w:themeColor="text1"/>
          <w:lang w:val="es-PR"/>
        </w:rPr>
      </w:pPr>
      <w:r w:rsidRPr="002E0E7E">
        <w:rPr>
          <w:rFonts w:ascii="Book Antiqua" w:hAnsi="Book Antiqua"/>
          <w:color w:val="000000" w:themeColor="text1"/>
          <w:lang w:val="es-PR"/>
        </w:rPr>
        <w:t>Se aclara que, conforme a los términos contractuales y legales vigentes, LUMA es responsable únicamente del alumbrado público que forma parte del sistema de distribución de la Autoridad de Energía Eléctrica (AEE). No le corresponde operar, mantener ni reparar luminarias pertenecientes a otras entidades como la Autoridad de Carreteras y Transportación (ACT), el DTOP u otras. En cumplimiento con sus funciones, LUMA realizó un inventario de las luminarias heredadas de la AEE, incluyendo las ya digitalizadas por PREPA, lo que permitió identificar las condiciones del sistema.</w:t>
      </w:r>
    </w:p>
    <w:p w14:paraId="58997D72" w14:textId="77777777" w:rsidR="002E0E7E" w:rsidRPr="002E0E7E" w:rsidRDefault="002E0E7E" w:rsidP="002E0E7E">
      <w:pPr>
        <w:jc w:val="both"/>
        <w:rPr>
          <w:rFonts w:ascii="Book Antiqua" w:hAnsi="Book Antiqua"/>
          <w:color w:val="000000" w:themeColor="text1"/>
          <w:lang w:val="es-PR"/>
        </w:rPr>
      </w:pPr>
    </w:p>
    <w:p w14:paraId="136E6AC3" w14:textId="77777777" w:rsidR="002E0E7E" w:rsidRPr="002E0E7E" w:rsidRDefault="002E0E7E" w:rsidP="002E0E7E">
      <w:pPr>
        <w:ind w:firstLine="720"/>
        <w:jc w:val="both"/>
        <w:rPr>
          <w:rFonts w:ascii="Book Antiqua" w:hAnsi="Book Antiqua"/>
          <w:color w:val="000000" w:themeColor="text1"/>
          <w:lang w:val="es-PR"/>
        </w:rPr>
      </w:pPr>
      <w:r w:rsidRPr="002E0E7E">
        <w:rPr>
          <w:rFonts w:ascii="Book Antiqua" w:hAnsi="Book Antiqua"/>
          <w:color w:val="000000" w:themeColor="text1"/>
          <w:lang w:val="es-PR"/>
        </w:rPr>
        <w:t xml:space="preserve">El memorial destaca la Iniciativa Comunitaria de Alumbrado Público (CSI), financiada con fondos de FEMA, cuyo propósito es reemplazar luminarias y postes defectuosos para cumplir con los códigos de seguridad y estándares aplicables. Este programa se desarrolla en los 78 municipios e incluye tres fases: reemplazo exclusivo de componentes, reemplazo de postes secundarios sin componentes de terceros y reemplazo de postes complejos con componentes de terceros. Según los datos presentados, se han impactado 68 municipios y completado alrededor del 35% del programa (unas 148,500 luminarias), de las cuales el 89% corresponden a reemplazo de componentes y el 11% a postes. Además, mediante el programa Back in </w:t>
      </w:r>
      <w:proofErr w:type="spellStart"/>
      <w:r w:rsidRPr="002E0E7E">
        <w:rPr>
          <w:rFonts w:ascii="Book Antiqua" w:hAnsi="Book Antiqua"/>
          <w:color w:val="000000" w:themeColor="text1"/>
          <w:lang w:val="es-PR"/>
        </w:rPr>
        <w:t>Service</w:t>
      </w:r>
      <w:proofErr w:type="spellEnd"/>
      <w:r w:rsidRPr="002E0E7E">
        <w:rPr>
          <w:rFonts w:ascii="Book Antiqua" w:hAnsi="Book Antiqua"/>
          <w:color w:val="000000" w:themeColor="text1"/>
          <w:lang w:val="es-PR"/>
        </w:rPr>
        <w:t>, se han sustituido unas 32,000 luminarias adicionales.</w:t>
      </w:r>
    </w:p>
    <w:p w14:paraId="0E028758" w14:textId="77777777" w:rsidR="002E0E7E" w:rsidRPr="002E0E7E" w:rsidRDefault="002E0E7E" w:rsidP="002E0E7E">
      <w:pPr>
        <w:jc w:val="both"/>
        <w:rPr>
          <w:rFonts w:ascii="Book Antiqua" w:hAnsi="Book Antiqua"/>
          <w:color w:val="000000" w:themeColor="text1"/>
          <w:lang w:val="es-PR"/>
        </w:rPr>
      </w:pPr>
    </w:p>
    <w:p w14:paraId="120EFFE8" w14:textId="77777777" w:rsidR="002E0E7E" w:rsidRPr="002E0E7E" w:rsidRDefault="002E0E7E" w:rsidP="0034296D">
      <w:pPr>
        <w:ind w:firstLine="720"/>
        <w:jc w:val="both"/>
        <w:rPr>
          <w:rFonts w:ascii="Book Antiqua" w:hAnsi="Book Antiqua"/>
          <w:color w:val="000000" w:themeColor="text1"/>
          <w:lang w:val="es-PR"/>
        </w:rPr>
      </w:pPr>
      <w:r w:rsidRPr="002E0E7E">
        <w:rPr>
          <w:rFonts w:ascii="Book Antiqua" w:hAnsi="Book Antiqua"/>
          <w:color w:val="000000" w:themeColor="text1"/>
          <w:lang w:val="es-PR"/>
        </w:rPr>
        <w:t>En el caso particular de San Germán, se desarrolló un solo proyecto para cubrir toda la jurisdicción, el cual fue requerido por FEMA. Hasta la fecha del memorial, LUMA ha completado más de 4,100 reparaciones de luminarias y reemplazado más de 2,000 postes, alcanzando un progreso significativo en el sistema de alumbrado público de dicho municipio. El documento incluye una tabla con el desglose de los trabajos realizados, que reflejan un total de 6,372 luminarias y 5,438 trabajos requeridos, de los cuales ya se han completado más de 4,100.</w:t>
      </w:r>
    </w:p>
    <w:p w14:paraId="647C1EF3" w14:textId="77777777" w:rsidR="002E0E7E" w:rsidRPr="002E0E7E" w:rsidRDefault="002E0E7E" w:rsidP="002E0E7E">
      <w:pPr>
        <w:jc w:val="both"/>
        <w:rPr>
          <w:rFonts w:ascii="Book Antiqua" w:hAnsi="Book Antiqua"/>
          <w:color w:val="000000" w:themeColor="text1"/>
          <w:lang w:val="es-PR"/>
        </w:rPr>
      </w:pPr>
    </w:p>
    <w:p w14:paraId="08BC4EE9" w14:textId="77777777" w:rsidR="002E0E7E" w:rsidRPr="002E0E7E" w:rsidRDefault="002E0E7E" w:rsidP="0034296D">
      <w:pPr>
        <w:ind w:firstLine="720"/>
        <w:jc w:val="both"/>
        <w:rPr>
          <w:rFonts w:ascii="Book Antiqua" w:hAnsi="Book Antiqua"/>
          <w:color w:val="000000" w:themeColor="text1"/>
          <w:lang w:val="es-PR"/>
        </w:rPr>
      </w:pPr>
      <w:r w:rsidRPr="002E0E7E">
        <w:rPr>
          <w:rFonts w:ascii="Book Antiqua" w:hAnsi="Book Antiqua"/>
          <w:color w:val="000000" w:themeColor="text1"/>
          <w:lang w:val="es-PR"/>
        </w:rPr>
        <w:t xml:space="preserve">Finalmente, LUMA reitera su compromiso de colaboración con la Comisión de Transportación e Infraestructura en aquellos asuntos que correspondan a sus funciones contractuales y legales, subrayando la importancia de la coordinación </w:t>
      </w:r>
      <w:proofErr w:type="spellStart"/>
      <w:r w:rsidRPr="002E0E7E">
        <w:rPr>
          <w:rFonts w:ascii="Book Antiqua" w:hAnsi="Book Antiqua"/>
          <w:color w:val="000000" w:themeColor="text1"/>
          <w:lang w:val="es-PR"/>
        </w:rPr>
        <w:t>interagencial</w:t>
      </w:r>
      <w:proofErr w:type="spellEnd"/>
      <w:r w:rsidRPr="002E0E7E">
        <w:rPr>
          <w:rFonts w:ascii="Book Antiqua" w:hAnsi="Book Antiqua"/>
          <w:color w:val="000000" w:themeColor="text1"/>
          <w:lang w:val="es-PR"/>
        </w:rPr>
        <w:t xml:space="preserve"> para atender las necesidades de infraestructura de alumbrado en San Germán y el resto del país.</w:t>
      </w:r>
    </w:p>
    <w:p w14:paraId="1DEF7D2C" w14:textId="77777777" w:rsidR="006D5E63" w:rsidRDefault="006D5E63" w:rsidP="00AA2CC7">
      <w:pPr>
        <w:jc w:val="both"/>
        <w:rPr>
          <w:rFonts w:ascii="Book Antiqua" w:hAnsi="Book Antiqua"/>
          <w:color w:val="000000" w:themeColor="text1"/>
          <w:lang w:val="es-PR"/>
        </w:rPr>
      </w:pPr>
    </w:p>
    <w:p w14:paraId="24EF73C5" w14:textId="77777777" w:rsidR="006D5E63" w:rsidRPr="00500BFE" w:rsidRDefault="006D5E63" w:rsidP="006D5E63">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11391E64" w14:textId="77777777" w:rsidR="006D5E63" w:rsidRPr="00E135D5" w:rsidRDefault="006D5E63" w:rsidP="006D5E63">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62107EFA" w14:textId="21F332EA" w:rsidR="006D5E63" w:rsidRPr="00AA2CC7" w:rsidRDefault="006D5E63" w:rsidP="006D5E63">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0E0F4F0E" w14:textId="081A4CC9" w:rsidR="006D110C" w:rsidRPr="006D5E63" w:rsidRDefault="006D110C" w:rsidP="006D5E63">
      <w:pPr>
        <w:jc w:val="both"/>
        <w:rPr>
          <w:rFonts w:ascii="Book Antiqua" w:hAnsi="Book Antiqua"/>
          <w:color w:val="000000" w:themeColor="text1"/>
          <w:lang w:val="es-PR"/>
        </w:rPr>
      </w:pPr>
    </w:p>
    <w:p w14:paraId="00000021" w14:textId="6AE27E2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lastRenderedPageBreak/>
        <w:t>CONCLUSIÓN</w:t>
      </w:r>
    </w:p>
    <w:p w14:paraId="37151745" w14:textId="77777777" w:rsidR="00F86041" w:rsidRDefault="00F86041" w:rsidP="00F86041">
      <w:pPr>
        <w:jc w:val="both"/>
        <w:rPr>
          <w:rFonts w:ascii="Book Antiqua" w:eastAsia="Book Antiqua" w:hAnsi="Book Antiqua" w:cs="Book Antiqua"/>
        </w:rPr>
      </w:pPr>
      <w:r>
        <w:rPr>
          <w:rFonts w:ascii="Book Antiqua" w:eastAsia="Book Antiqua" w:hAnsi="Book Antiqua" w:cs="Book Antiqua"/>
        </w:rPr>
        <w:tab/>
      </w:r>
    </w:p>
    <w:p w14:paraId="44553ACF" w14:textId="72082B9E" w:rsidR="00F86041" w:rsidRDefault="00987C5A" w:rsidP="005E1146">
      <w:pPr>
        <w:ind w:firstLine="720"/>
        <w:jc w:val="both"/>
        <w:rPr>
          <w:rFonts w:ascii="Book Antiqua" w:eastAsia="Book Antiqua" w:hAnsi="Book Antiqua" w:cs="Book Antiqua"/>
        </w:rPr>
      </w:pPr>
      <w:r w:rsidRPr="00987C5A">
        <w:rPr>
          <w:rFonts w:ascii="Book Antiqua" w:eastAsia="Book Antiqua" w:hAnsi="Book Antiqua" w:cs="Book Antiqua"/>
        </w:rPr>
        <w:t xml:space="preserve">La Comisión de Transportación e Infraestructura, luego de evaluar la Resolución Conjunta de la Cámara Núm. </w:t>
      </w:r>
      <w:r w:rsidR="00483EF1">
        <w:rPr>
          <w:rFonts w:ascii="Book Antiqua" w:eastAsia="Book Antiqua" w:hAnsi="Book Antiqua" w:cs="Book Antiqua"/>
        </w:rPr>
        <w:t>6</w:t>
      </w:r>
      <w:r w:rsidR="0034296D">
        <w:rPr>
          <w:rFonts w:ascii="Book Antiqua" w:eastAsia="Book Antiqua" w:hAnsi="Book Antiqua" w:cs="Book Antiqua"/>
        </w:rPr>
        <w:t>3</w:t>
      </w:r>
      <w:r w:rsidRPr="00987C5A">
        <w:rPr>
          <w:rFonts w:ascii="Book Antiqua" w:eastAsia="Book Antiqua" w:hAnsi="Book Antiqua" w:cs="Book Antiqua"/>
        </w:rPr>
        <w:t xml:space="preserve">, </w:t>
      </w:r>
      <w:r w:rsidR="00483EF1" w:rsidRPr="00483EF1">
        <w:rPr>
          <w:rFonts w:ascii="Book Antiqua" w:eastAsia="Book Antiqua" w:hAnsi="Book Antiqua" w:cs="Book Antiqua"/>
        </w:rPr>
        <w:t xml:space="preserve">reconoce la importancia y urgencia de atender las deficiencias del sistema de alumbrado en las calles y carreteras del Municipio de </w:t>
      </w:r>
      <w:r w:rsidR="002B6085">
        <w:rPr>
          <w:rFonts w:ascii="Book Antiqua" w:eastAsia="Book Antiqua" w:hAnsi="Book Antiqua" w:cs="Book Antiqua"/>
        </w:rPr>
        <w:t>San Germán</w:t>
      </w:r>
      <w:r w:rsidR="00483EF1" w:rsidRPr="00483EF1">
        <w:rPr>
          <w:rFonts w:ascii="Book Antiqua" w:eastAsia="Book Antiqua" w:hAnsi="Book Antiqua" w:cs="Book Antiqua"/>
        </w:rPr>
        <w:t>, como parte esencial de la infraestructura vial del país. La falta de iluminación adecuada representa una amenaza real a la seguridad vial, la movilidad ciudadana, el bienestar social y el desarrollo económico de la región.</w:t>
      </w:r>
    </w:p>
    <w:p w14:paraId="5744C945" w14:textId="77777777" w:rsidR="009B476A" w:rsidRDefault="009B476A" w:rsidP="005E1146">
      <w:pPr>
        <w:ind w:firstLine="720"/>
        <w:jc w:val="both"/>
        <w:rPr>
          <w:rFonts w:ascii="Book Antiqua" w:eastAsia="Book Antiqua" w:hAnsi="Book Antiqua" w:cs="Book Antiqua"/>
        </w:rPr>
      </w:pPr>
    </w:p>
    <w:p w14:paraId="2A843B8A" w14:textId="28B508AD" w:rsidR="009B476A" w:rsidRDefault="009B476A" w:rsidP="005E1146">
      <w:pPr>
        <w:ind w:firstLine="720"/>
        <w:jc w:val="both"/>
        <w:rPr>
          <w:rFonts w:ascii="Book Antiqua" w:eastAsia="Book Antiqua" w:hAnsi="Book Antiqua" w:cs="Book Antiqua"/>
        </w:rPr>
      </w:pPr>
      <w:r w:rsidRPr="009B476A">
        <w:rPr>
          <w:rFonts w:ascii="Book Antiqua" w:eastAsia="Book Antiqua" w:hAnsi="Book Antiqua" w:cs="Book Antiqua"/>
        </w:rPr>
        <w:t>La evidencia presentada por LUMA Energy demuestra que existen esfuerzos en curso para atender parte del problema, incluyendo iniciativas financiadas con fondos federales. Sin embargo, también queda claro que la solución efectiva requiere una coordinación multisectorial y la acción decidida de todas las entidades pertinentes, incluyendo el DTOP, la ACT, LUMA Energy, y otras que posean jurisdicción sobre tramos específicos del sistema de alumbrado.</w:t>
      </w:r>
    </w:p>
    <w:p w14:paraId="7030D03A" w14:textId="77777777" w:rsidR="005416C7" w:rsidRDefault="005416C7" w:rsidP="005E1146">
      <w:pPr>
        <w:ind w:firstLine="720"/>
        <w:jc w:val="both"/>
        <w:rPr>
          <w:rFonts w:ascii="Book Antiqua" w:eastAsia="Book Antiqua" w:hAnsi="Book Antiqua" w:cs="Book Antiqua"/>
        </w:rPr>
      </w:pPr>
    </w:p>
    <w:p w14:paraId="76C392F9" w14:textId="0123D71F" w:rsidR="005416C7" w:rsidRPr="00F86041" w:rsidRDefault="005416C7" w:rsidP="005E1146">
      <w:pPr>
        <w:ind w:firstLine="720"/>
        <w:jc w:val="both"/>
        <w:rPr>
          <w:rFonts w:ascii="Book Antiqua" w:eastAsia="Book Antiqua" w:hAnsi="Book Antiqua" w:cs="Book Antiqua"/>
          <w:lang w:val="es-PR"/>
        </w:rPr>
      </w:pPr>
      <w:r w:rsidRPr="005416C7">
        <w:rPr>
          <w:rFonts w:ascii="Book Antiqua" w:eastAsia="Book Antiqua" w:hAnsi="Book Antiqua" w:cs="Book Antiqua"/>
        </w:rPr>
        <w:t>Por esta razón, esta Comisión enmendó la medida para incluir expresamente la coordinación con LUMA Energy, la Autoridad de Energía Eléctrica y cualquier otra entidad pertinente, a fin de asegurar una intervención integral y efectiva que responda a las necesidades de iluminación vial en el municipio. La colaboración entre estas entidades es indispensable para establecer y mantener un sistema de alumbrado público eficiente y confiable.</w:t>
      </w:r>
    </w:p>
    <w:p w14:paraId="6F7F137F" w14:textId="024F1F46" w:rsidR="00D862EE" w:rsidRDefault="00D862EE" w:rsidP="00454E88">
      <w:pPr>
        <w:jc w:val="both"/>
        <w:rPr>
          <w:rFonts w:ascii="Book Antiqua" w:eastAsia="Book Antiqua" w:hAnsi="Book Antiqua" w:cs="Book Antiqua"/>
        </w:rPr>
      </w:pPr>
    </w:p>
    <w:p w14:paraId="00000025" w14:textId="0D4ACD56" w:rsidR="003867AC" w:rsidRPr="00700566" w:rsidRDefault="0085373F" w:rsidP="004C1B5A">
      <w:pPr>
        <w:ind w:firstLine="720"/>
        <w:jc w:val="both"/>
        <w:rPr>
          <w:rFonts w:ascii="Book Antiqua" w:eastAsia="Book Antiqua" w:hAnsi="Book Antiqua" w:cs="Book Antiqua"/>
        </w:rPr>
      </w:pPr>
      <w:r w:rsidRPr="00700566">
        <w:rPr>
          <w:rFonts w:ascii="Book Antiqua" w:eastAsia="Book Antiqua" w:hAnsi="Book Antiqua" w:cs="Book Antiqua"/>
        </w:rPr>
        <w:t>Por los fundamentos antes expuestos, la Comisión de Transportación e Infraestructura, somete el presente Informe Positivo</w:t>
      </w:r>
      <w:r w:rsidR="00785D01">
        <w:rPr>
          <w:rFonts w:ascii="Book Antiqua" w:eastAsia="Book Antiqua" w:hAnsi="Book Antiqua" w:cs="Book Antiqua"/>
        </w:rPr>
        <w:t xml:space="preserve"> de la Resolución Conjunta de la Cámara Núm. 6</w:t>
      </w:r>
      <w:r w:rsidR="002B6085">
        <w:rPr>
          <w:rFonts w:ascii="Book Antiqua" w:eastAsia="Book Antiqua" w:hAnsi="Book Antiqua" w:cs="Book Antiqua"/>
        </w:rPr>
        <w:t>3</w:t>
      </w:r>
      <w:r w:rsidRPr="00700566">
        <w:rPr>
          <w:rFonts w:ascii="Book Antiqua" w:eastAsia="Book Antiqua" w:hAnsi="Book Antiqua" w:cs="Book Antiqua"/>
        </w:rPr>
        <w:t xml:space="preserve"> en el que recomendamos a este Honorable Cuerpo </w:t>
      </w:r>
      <w:r w:rsidR="00142992">
        <w:rPr>
          <w:rFonts w:ascii="Book Antiqua" w:eastAsia="Book Antiqua" w:hAnsi="Book Antiqua" w:cs="Book Antiqua"/>
        </w:rPr>
        <w:t>su</w:t>
      </w:r>
      <w:r w:rsidRPr="00700566">
        <w:rPr>
          <w:rFonts w:ascii="Book Antiqua" w:eastAsia="Book Antiqua" w:hAnsi="Book Antiqua" w:cs="Book Antiqua"/>
        </w:rPr>
        <w:t xml:space="preserve"> aprobación</w:t>
      </w:r>
      <w:r w:rsidR="00142992">
        <w:rPr>
          <w:rFonts w:ascii="Book Antiqua" w:eastAsia="Book Antiqua" w:hAnsi="Book Antiqua" w:cs="Book Antiqua"/>
        </w:rPr>
        <w:t>,</w:t>
      </w:r>
      <w:r w:rsidRPr="00700566">
        <w:rPr>
          <w:rFonts w:ascii="Book Antiqua" w:eastAsia="Book Antiqua" w:hAnsi="Book Antiqua" w:cs="Book Antiqua"/>
        </w:rPr>
        <w:t xml:space="preserve"> con enmiendas</w:t>
      </w:r>
      <w:r w:rsidR="00142992">
        <w:rPr>
          <w:rFonts w:ascii="Book Antiqua" w:eastAsia="Book Antiqua" w:hAnsi="Book Antiqua" w:cs="Book Antiqua"/>
        </w:rPr>
        <w:t xml:space="preserve"> incluidas en el </w:t>
      </w:r>
      <w:proofErr w:type="spellStart"/>
      <w:r w:rsidR="00142992">
        <w:rPr>
          <w:rFonts w:ascii="Book Antiqua" w:eastAsia="Book Antiqua" w:hAnsi="Book Antiqua" w:cs="Book Antiqua"/>
        </w:rPr>
        <w:t>entirillado</w:t>
      </w:r>
      <w:proofErr w:type="spellEnd"/>
      <w:r w:rsidR="00142992">
        <w:rPr>
          <w:rFonts w:ascii="Book Antiqua" w:eastAsia="Book Antiqua" w:hAnsi="Book Antiqua" w:cs="Book Antiqua"/>
        </w:rPr>
        <w:t xml:space="preserve"> electrónico que se acompaña</w:t>
      </w:r>
      <w:r w:rsidRPr="00700566">
        <w:rPr>
          <w:rFonts w:ascii="Book Antiqua" w:eastAsia="Book Antiqua" w:hAnsi="Book Antiqua" w:cs="Book Antiqua"/>
        </w:rPr>
        <w:t>.</w:t>
      </w:r>
    </w:p>
    <w:p w14:paraId="00000026" w14:textId="77777777" w:rsidR="003867AC" w:rsidRDefault="003867AC">
      <w:pPr>
        <w:jc w:val="both"/>
        <w:rPr>
          <w:rFonts w:ascii="Book Antiqua" w:eastAsia="Book Antiqua" w:hAnsi="Book Antiqua" w:cs="Book Antiqua"/>
        </w:rPr>
      </w:pPr>
    </w:p>
    <w:p w14:paraId="0E332CF8" w14:textId="77777777" w:rsidR="006D110C" w:rsidRPr="00700566" w:rsidRDefault="006D110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5914E0EE" w14:textId="77777777" w:rsidR="006D110C" w:rsidRDefault="006D110C">
      <w:pPr>
        <w:jc w:val="both"/>
        <w:rPr>
          <w:rFonts w:ascii="Book Antiqua" w:eastAsia="Book Antiqua" w:hAnsi="Book Antiqua" w:cs="Book Antiqua"/>
        </w:rPr>
      </w:pPr>
    </w:p>
    <w:p w14:paraId="2B5BE0E7" w14:textId="77777777" w:rsidR="006D110C" w:rsidRDefault="006D110C">
      <w:pPr>
        <w:jc w:val="both"/>
        <w:rPr>
          <w:rFonts w:ascii="Book Antiqua" w:eastAsia="Book Antiqua" w:hAnsi="Book Antiqua" w:cs="Book Antiqua"/>
        </w:rPr>
      </w:pPr>
    </w:p>
    <w:p w14:paraId="0000002D" w14:textId="1766F7FE"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Hon. José </w:t>
      </w:r>
      <w:r w:rsidR="00454E88">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30" w14:textId="5573F6F3"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C325B" w14:textId="77777777" w:rsidR="00A46EA1" w:rsidRDefault="00A46EA1">
      <w:r>
        <w:separator/>
      </w:r>
    </w:p>
  </w:endnote>
  <w:endnote w:type="continuationSeparator" w:id="0">
    <w:p w14:paraId="35185E36" w14:textId="77777777" w:rsidR="00A46EA1" w:rsidRDefault="00A46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A23BC0C8-C71A-4A77-854E-66FCAA6905AB}"/>
  </w:font>
  <w:font w:name="Helvetica">
    <w:panose1 w:val="020B0604020202020204"/>
    <w:charset w:val="00"/>
    <w:family w:val="swiss"/>
    <w:pitch w:val="variable"/>
    <w:sig w:usb0="E0002EFF" w:usb1="C000785B" w:usb2="00000009" w:usb3="00000000" w:csb0="000001FF" w:csb1="00000000"/>
    <w:embedRegular r:id="rId2" w:fontKey="{8611312A-8283-40B8-B829-27D36B931FCA}"/>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1DF0A7F4-0ECD-49F4-941F-1BDCE2834629}"/>
  </w:font>
  <w:font w:name="Georgia">
    <w:panose1 w:val="02040502050405020303"/>
    <w:charset w:val="00"/>
    <w:family w:val="roman"/>
    <w:pitch w:val="variable"/>
    <w:sig w:usb0="00000287" w:usb1="00000000" w:usb2="00000000" w:usb3="00000000" w:csb0="0000009F" w:csb1="00000000"/>
    <w:embedRegular r:id="rId4" w:fontKey="{B5E06044-9039-475A-9252-1F9B0F68DFB6}"/>
    <w:embedItalic r:id="rId5" w:fontKey="{DB0C35DA-9E11-40A9-8F12-DCA6C0BB019C}"/>
  </w:font>
  <w:font w:name="Book Antiqua">
    <w:panose1 w:val="02040602050305030304"/>
    <w:charset w:val="00"/>
    <w:family w:val="roman"/>
    <w:pitch w:val="variable"/>
    <w:sig w:usb0="00000287" w:usb1="00000000" w:usb2="00000000" w:usb3="00000000" w:csb0="0000009F" w:csb1="00000000"/>
    <w:embedRegular r:id="rId6" w:fontKey="{F782E413-25A7-4108-A4FA-1BF5AB613277}"/>
    <w:embedBold r:id="rId7" w:fontKey="{1E452794-BAF1-4495-A2C6-B5306B66D04C}"/>
    <w:embedItalic r:id="rId8" w:fontKey="{D5862B13-3949-4748-9022-D787BB7FEC30}"/>
  </w:font>
  <w:font w:name="Helvetica Neue">
    <w:charset w:val="00"/>
    <w:family w:val="auto"/>
    <w:pitch w:val="default"/>
    <w:embedRegular r:id="rId9" w:fontKey="{FAB5A487-DDA9-4432-924E-BF21786C606E}"/>
  </w:font>
  <w:font w:name="Lustria">
    <w:altName w:val="Calibri"/>
    <w:charset w:val="00"/>
    <w:family w:val="auto"/>
    <w:pitch w:val="default"/>
    <w:embedRegular r:id="rId10" w:fontKey="{5D18A99E-DCC5-4733-A480-DE311F41B4E6}"/>
    <w:embedBoldItalic r:id="rId11" w:fontKey="{4CB81DCD-8035-4215-8D88-A53379128D48}"/>
  </w:font>
  <w:font w:name="Cambria">
    <w:panose1 w:val="02040503050406030204"/>
    <w:charset w:val="00"/>
    <w:family w:val="roman"/>
    <w:pitch w:val="variable"/>
    <w:sig w:usb0="E00006FF" w:usb1="420024FF" w:usb2="02000000" w:usb3="00000000" w:csb0="0000019F" w:csb1="00000000"/>
    <w:embedRegular r:id="rId12" w:fontKey="{F0B3B432-4321-47DA-A9DF-3A9716E6E20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DF981" w14:textId="77777777" w:rsidR="00A46EA1" w:rsidRDefault="00A46EA1">
      <w:r>
        <w:separator/>
      </w:r>
    </w:p>
  </w:footnote>
  <w:footnote w:type="continuationSeparator" w:id="0">
    <w:p w14:paraId="569F6AC8" w14:textId="77777777" w:rsidR="00A46EA1" w:rsidRDefault="00A46E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06CD4FB2"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020627">
      <w:rPr>
        <w:rFonts w:ascii="Lustria" w:eastAsia="Lustria" w:hAnsi="Lustria" w:cs="Lustria"/>
        <w:b/>
        <w:i/>
        <w:sz w:val="22"/>
        <w:szCs w:val="22"/>
      </w:rPr>
      <w:t xml:space="preserve"> Positivo</w:t>
    </w:r>
    <w:r>
      <w:rPr>
        <w:rFonts w:ascii="Lustria" w:eastAsia="Lustria" w:hAnsi="Lustria" w:cs="Lustria"/>
        <w:b/>
        <w:i/>
        <w:sz w:val="22"/>
        <w:szCs w:val="22"/>
      </w:rPr>
      <w:t xml:space="preserve"> sobre el R. C. de la C. </w:t>
    </w:r>
    <w:r w:rsidR="00770E7B">
      <w:rPr>
        <w:rFonts w:ascii="Lustria" w:eastAsia="Lustria" w:hAnsi="Lustria" w:cs="Lustria"/>
        <w:b/>
        <w:i/>
        <w:sz w:val="22"/>
        <w:szCs w:val="22"/>
      </w:rPr>
      <w:t>6</w:t>
    </w:r>
    <w:r w:rsidR="00020627">
      <w:rPr>
        <w:rFonts w:ascii="Lustria" w:eastAsia="Lustria" w:hAnsi="Lustria" w:cs="Lustria"/>
        <w:b/>
        <w:i/>
        <w:sz w:val="22"/>
        <w:szCs w:val="22"/>
      </w:rPr>
      <w:t>3</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73183540"/>
    <w:multiLevelType w:val="hybridMultilevel"/>
    <w:tmpl w:val="81BA46C4"/>
    <w:lvl w:ilvl="0" w:tplc="DC32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089543">
    <w:abstractNumId w:val="0"/>
  </w:num>
  <w:num w:numId="2" w16cid:durableId="1357926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11335"/>
    <w:rsid w:val="00014F74"/>
    <w:rsid w:val="0001669D"/>
    <w:rsid w:val="00020627"/>
    <w:rsid w:val="0002716B"/>
    <w:rsid w:val="000474BF"/>
    <w:rsid w:val="0005078D"/>
    <w:rsid w:val="00073383"/>
    <w:rsid w:val="000954FA"/>
    <w:rsid w:val="000A24B5"/>
    <w:rsid w:val="000D0AEC"/>
    <w:rsid w:val="000D6E2D"/>
    <w:rsid w:val="000E3D7B"/>
    <w:rsid w:val="00123556"/>
    <w:rsid w:val="0012621A"/>
    <w:rsid w:val="00136F66"/>
    <w:rsid w:val="00142992"/>
    <w:rsid w:val="00166443"/>
    <w:rsid w:val="00166DBA"/>
    <w:rsid w:val="001740BA"/>
    <w:rsid w:val="001B7B4C"/>
    <w:rsid w:val="001E27E2"/>
    <w:rsid w:val="001F4438"/>
    <w:rsid w:val="0022375C"/>
    <w:rsid w:val="00223F0B"/>
    <w:rsid w:val="0025299B"/>
    <w:rsid w:val="00294E5A"/>
    <w:rsid w:val="002B6085"/>
    <w:rsid w:val="002C7A3B"/>
    <w:rsid w:val="002E0E7E"/>
    <w:rsid w:val="002F1B49"/>
    <w:rsid w:val="00316566"/>
    <w:rsid w:val="00330BEF"/>
    <w:rsid w:val="00336056"/>
    <w:rsid w:val="00337D03"/>
    <w:rsid w:val="0034296D"/>
    <w:rsid w:val="0036416B"/>
    <w:rsid w:val="00371165"/>
    <w:rsid w:val="003741FE"/>
    <w:rsid w:val="003867AC"/>
    <w:rsid w:val="003C7C26"/>
    <w:rsid w:val="003D5C07"/>
    <w:rsid w:val="003E1347"/>
    <w:rsid w:val="0043560D"/>
    <w:rsid w:val="00452828"/>
    <w:rsid w:val="00454E88"/>
    <w:rsid w:val="00465ECA"/>
    <w:rsid w:val="00483EF1"/>
    <w:rsid w:val="004C1B5A"/>
    <w:rsid w:val="004D4B21"/>
    <w:rsid w:val="00515AD9"/>
    <w:rsid w:val="00517E2C"/>
    <w:rsid w:val="005416C7"/>
    <w:rsid w:val="0054777A"/>
    <w:rsid w:val="00563BA1"/>
    <w:rsid w:val="00577950"/>
    <w:rsid w:val="00577FD5"/>
    <w:rsid w:val="005E1146"/>
    <w:rsid w:val="005F333D"/>
    <w:rsid w:val="006212C5"/>
    <w:rsid w:val="006D110C"/>
    <w:rsid w:val="006D5E63"/>
    <w:rsid w:val="00700566"/>
    <w:rsid w:val="007017B9"/>
    <w:rsid w:val="00726DD5"/>
    <w:rsid w:val="007276A1"/>
    <w:rsid w:val="00734787"/>
    <w:rsid w:val="0076596B"/>
    <w:rsid w:val="00770E7B"/>
    <w:rsid w:val="00782181"/>
    <w:rsid w:val="00785D01"/>
    <w:rsid w:val="007C60D2"/>
    <w:rsid w:val="007D7D6A"/>
    <w:rsid w:val="007E0FCE"/>
    <w:rsid w:val="007F759C"/>
    <w:rsid w:val="008258F9"/>
    <w:rsid w:val="00850C2C"/>
    <w:rsid w:val="0085373F"/>
    <w:rsid w:val="0087061E"/>
    <w:rsid w:val="008E0700"/>
    <w:rsid w:val="008F30F0"/>
    <w:rsid w:val="0094342D"/>
    <w:rsid w:val="00943961"/>
    <w:rsid w:val="00965742"/>
    <w:rsid w:val="00987C5A"/>
    <w:rsid w:val="009B476A"/>
    <w:rsid w:val="009C2352"/>
    <w:rsid w:val="009F0BB7"/>
    <w:rsid w:val="00A42594"/>
    <w:rsid w:val="00A44A22"/>
    <w:rsid w:val="00A46EA1"/>
    <w:rsid w:val="00A75C45"/>
    <w:rsid w:val="00AA2CC7"/>
    <w:rsid w:val="00AC77D8"/>
    <w:rsid w:val="00AD5D26"/>
    <w:rsid w:val="00AF6BB6"/>
    <w:rsid w:val="00B172FA"/>
    <w:rsid w:val="00B22F4C"/>
    <w:rsid w:val="00B25C54"/>
    <w:rsid w:val="00B32650"/>
    <w:rsid w:val="00B54CC1"/>
    <w:rsid w:val="00B61637"/>
    <w:rsid w:val="00B83F9F"/>
    <w:rsid w:val="00B90788"/>
    <w:rsid w:val="00B94F42"/>
    <w:rsid w:val="00C3772E"/>
    <w:rsid w:val="00C577BB"/>
    <w:rsid w:val="00C86EC0"/>
    <w:rsid w:val="00C9741A"/>
    <w:rsid w:val="00CB45A2"/>
    <w:rsid w:val="00CE31D2"/>
    <w:rsid w:val="00CE34E6"/>
    <w:rsid w:val="00CE5944"/>
    <w:rsid w:val="00D14ED7"/>
    <w:rsid w:val="00D4238A"/>
    <w:rsid w:val="00D51C4E"/>
    <w:rsid w:val="00D7350C"/>
    <w:rsid w:val="00D74285"/>
    <w:rsid w:val="00D862EE"/>
    <w:rsid w:val="00D92BD8"/>
    <w:rsid w:val="00DA0DAF"/>
    <w:rsid w:val="00DA2B1C"/>
    <w:rsid w:val="00DB2246"/>
    <w:rsid w:val="00DC6066"/>
    <w:rsid w:val="00DD6D1E"/>
    <w:rsid w:val="00DE6D37"/>
    <w:rsid w:val="00DF2F20"/>
    <w:rsid w:val="00E04691"/>
    <w:rsid w:val="00E13DED"/>
    <w:rsid w:val="00E20394"/>
    <w:rsid w:val="00E27ECE"/>
    <w:rsid w:val="00E34937"/>
    <w:rsid w:val="00E456D3"/>
    <w:rsid w:val="00E611E8"/>
    <w:rsid w:val="00EB0218"/>
    <w:rsid w:val="00EC70DA"/>
    <w:rsid w:val="00EE4E71"/>
    <w:rsid w:val="00F841A9"/>
    <w:rsid w:val="00F86041"/>
    <w:rsid w:val="00F96E64"/>
    <w:rsid w:val="00FD195A"/>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36976731">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 w:id="1698655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1390</Words>
  <Characters>7923</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Camyl Moreno Pantojas</cp:lastModifiedBy>
  <cp:revision>2</cp:revision>
  <cp:lastPrinted>2025-09-15T16:02:00Z</cp:lastPrinted>
  <dcterms:created xsi:type="dcterms:W3CDTF">2025-09-18T20:31:00Z</dcterms:created>
  <dcterms:modified xsi:type="dcterms:W3CDTF">2025-09-18T20:31:00Z</dcterms:modified>
</cp:coreProperties>
</file>