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A0495" w14:textId="77777777" w:rsidR="000B1F7F" w:rsidRPr="000B1F7F" w:rsidRDefault="000B1F7F" w:rsidP="000B1F7F">
      <w:pPr>
        <w:jc w:val="center"/>
        <w:rPr>
          <w:rFonts w:ascii="Book Antiqua" w:hAnsi="Book Antiqua"/>
          <w:color w:val="000000" w:themeColor="text1"/>
          <w:sz w:val="28"/>
          <w:szCs w:val="28"/>
          <w:lang w:val="es-PR"/>
        </w:rPr>
      </w:pPr>
      <w:r w:rsidRPr="000B1F7F">
        <w:rPr>
          <w:rFonts w:ascii="Book Antiqua" w:hAnsi="Book Antiqua"/>
          <w:color w:val="000000" w:themeColor="text1"/>
          <w:sz w:val="28"/>
          <w:szCs w:val="28"/>
          <w:lang w:val="es-PR"/>
        </w:rPr>
        <w:t>GOBIERNO DE PUERTO RICO</w:t>
      </w:r>
    </w:p>
    <w:p w14:paraId="22BEAFC2" w14:textId="77777777" w:rsidR="000B1F7F" w:rsidRPr="000B1F7F" w:rsidRDefault="000B1F7F" w:rsidP="000B1F7F">
      <w:pPr>
        <w:jc w:val="center"/>
        <w:rPr>
          <w:rFonts w:ascii="Book Antiqua" w:hAnsi="Book Antiqua"/>
          <w:color w:val="000000" w:themeColor="text1"/>
          <w:sz w:val="28"/>
          <w:szCs w:val="16"/>
          <w:lang w:val="es-PR"/>
        </w:rPr>
      </w:pPr>
    </w:p>
    <w:p w14:paraId="0869610C" w14:textId="77777777" w:rsidR="000B1F7F" w:rsidRPr="000B1F7F" w:rsidRDefault="000B1F7F" w:rsidP="000B1F7F">
      <w:pPr>
        <w:pStyle w:val="Title2"/>
        <w:rPr>
          <w:rFonts w:ascii="Book Antiqua" w:hAnsi="Book Antiqua"/>
          <w:color w:val="000000" w:themeColor="text1"/>
          <w:lang w:val="es-PR"/>
        </w:rPr>
      </w:pPr>
      <w:r w:rsidRPr="000B1F7F">
        <w:rPr>
          <w:rFonts w:ascii="Book Antiqua" w:hAnsi="Book Antiqua"/>
          <w:color w:val="000000" w:themeColor="text1"/>
          <w:lang w:val="es-PR"/>
        </w:rPr>
        <w:t>20</w:t>
      </w:r>
      <w:r w:rsidRPr="000B1F7F">
        <w:rPr>
          <w:rFonts w:ascii="Book Antiqua" w:hAnsi="Book Antiqua"/>
          <w:color w:val="000000" w:themeColor="text1"/>
          <w:vertAlign w:val="superscript"/>
          <w:lang w:val="es-PR"/>
        </w:rPr>
        <w:t>ma.</w:t>
      </w:r>
      <w:r w:rsidRPr="000B1F7F">
        <w:rPr>
          <w:rFonts w:ascii="Book Antiqua" w:hAnsi="Book Antiqua"/>
          <w:color w:val="000000" w:themeColor="text1"/>
          <w:lang w:val="es-PR"/>
        </w:rPr>
        <w:tab/>
        <w:t>Asamblea</w:t>
      </w:r>
      <w:r w:rsidRPr="000B1F7F">
        <w:rPr>
          <w:rFonts w:ascii="Book Antiqua" w:hAnsi="Book Antiqua"/>
          <w:color w:val="000000" w:themeColor="text1"/>
          <w:lang w:val="es-PR"/>
        </w:rPr>
        <w:tab/>
        <w:t>1</w:t>
      </w:r>
      <w:r w:rsidRPr="000B1F7F">
        <w:rPr>
          <w:rFonts w:ascii="Book Antiqua" w:hAnsi="Book Antiqua"/>
          <w:color w:val="000000" w:themeColor="text1"/>
          <w:vertAlign w:val="superscript"/>
          <w:lang w:val="es-PR"/>
        </w:rPr>
        <w:t>ra.</w:t>
      </w:r>
      <w:r w:rsidRPr="000B1F7F">
        <w:rPr>
          <w:rFonts w:ascii="Book Antiqua" w:hAnsi="Book Antiqua"/>
          <w:color w:val="000000" w:themeColor="text1"/>
          <w:lang w:val="es-PR"/>
        </w:rPr>
        <w:tab/>
        <w:t>Sesión</w:t>
      </w:r>
    </w:p>
    <w:p w14:paraId="4DBCCC58" w14:textId="77777777" w:rsidR="000B1F7F" w:rsidRPr="000B1F7F" w:rsidRDefault="000B1F7F" w:rsidP="000B1F7F">
      <w:pPr>
        <w:pStyle w:val="Title2"/>
        <w:rPr>
          <w:rFonts w:ascii="Book Antiqua" w:hAnsi="Book Antiqua"/>
          <w:color w:val="000000" w:themeColor="text1"/>
          <w:lang w:val="es-PR"/>
        </w:rPr>
      </w:pPr>
      <w:r w:rsidRPr="000B1F7F">
        <w:rPr>
          <w:rFonts w:ascii="Book Antiqua" w:hAnsi="Book Antiqua"/>
          <w:color w:val="000000" w:themeColor="text1"/>
          <w:lang w:val="es-PR"/>
        </w:rPr>
        <w:tab/>
        <w:t>Legislativa</w:t>
      </w:r>
      <w:r w:rsidRPr="000B1F7F">
        <w:rPr>
          <w:rFonts w:ascii="Book Antiqua" w:hAnsi="Book Antiqua"/>
          <w:color w:val="000000" w:themeColor="text1"/>
          <w:lang w:val="es-PR"/>
        </w:rPr>
        <w:tab/>
      </w:r>
      <w:r w:rsidRPr="000B1F7F">
        <w:rPr>
          <w:rFonts w:ascii="Book Antiqua" w:hAnsi="Book Antiqua"/>
          <w:color w:val="000000" w:themeColor="text1"/>
          <w:lang w:val="es-PR"/>
        </w:rPr>
        <w:tab/>
        <w:t>Ordinaria</w:t>
      </w:r>
    </w:p>
    <w:p w14:paraId="5EF834A4" w14:textId="77777777" w:rsidR="000B1F7F" w:rsidRPr="000B1F7F" w:rsidRDefault="000B1F7F" w:rsidP="000B1F7F">
      <w:pPr>
        <w:rPr>
          <w:rFonts w:ascii="Book Antiqua" w:hAnsi="Book Antiqua"/>
          <w:color w:val="000000" w:themeColor="text1"/>
          <w:lang w:val="es-PR"/>
        </w:rPr>
      </w:pPr>
    </w:p>
    <w:p w14:paraId="365C69DF" w14:textId="5EB097FC" w:rsidR="002670C1" w:rsidRPr="000B1F7F" w:rsidRDefault="000B1F7F" w:rsidP="000B1F7F">
      <w:pPr>
        <w:jc w:val="center"/>
        <w:rPr>
          <w:rFonts w:ascii="Book Antiqua" w:hAnsi="Book Antiqua"/>
          <w:b/>
          <w:color w:val="000000" w:themeColor="text1"/>
          <w:sz w:val="36"/>
          <w:lang w:val="es-PR"/>
        </w:rPr>
      </w:pPr>
      <w:r w:rsidRPr="000B1F7F">
        <w:rPr>
          <w:rFonts w:ascii="Book Antiqua" w:hAnsi="Book Antiqua"/>
          <w:b/>
          <w:color w:val="000000" w:themeColor="text1"/>
          <w:sz w:val="36"/>
          <w:lang w:val="es-PR"/>
        </w:rPr>
        <w:t>CÁMARA DE REPRESENTANTES</w:t>
      </w:r>
    </w:p>
    <w:p w14:paraId="12565B8B" w14:textId="77777777" w:rsidR="002670C1" w:rsidRPr="007F0E20" w:rsidRDefault="002670C1" w:rsidP="002670C1">
      <w:pPr>
        <w:jc w:val="center"/>
        <w:rPr>
          <w:rFonts w:ascii="Book Antiqua" w:hAnsi="Book Antiqua" w:cs="Tahoma"/>
          <w:b/>
          <w:sz w:val="20"/>
          <w:szCs w:val="20"/>
          <w:lang w:val="es-ES_tradnl"/>
        </w:rPr>
      </w:pPr>
    </w:p>
    <w:p w14:paraId="16029A92" w14:textId="5FF85C9B" w:rsidR="002670C1" w:rsidRPr="007F0E20" w:rsidRDefault="002670C1" w:rsidP="002670C1">
      <w:pPr>
        <w:jc w:val="center"/>
        <w:rPr>
          <w:rFonts w:ascii="Book Antiqua" w:hAnsi="Book Antiqua" w:cs="Tahoma"/>
          <w:b/>
          <w:sz w:val="52"/>
          <w:szCs w:val="52"/>
          <w:lang w:val="es-ES_tradnl"/>
        </w:rPr>
      </w:pPr>
      <w:r w:rsidRPr="007F0E20">
        <w:rPr>
          <w:rFonts w:ascii="Book Antiqua" w:hAnsi="Book Antiqua" w:cs="Tahoma"/>
          <w:b/>
          <w:sz w:val="52"/>
          <w:szCs w:val="52"/>
          <w:lang w:val="es-ES_tradnl"/>
        </w:rPr>
        <w:t xml:space="preserve">R. </w:t>
      </w:r>
      <w:r w:rsidR="00893A1A">
        <w:rPr>
          <w:rFonts w:ascii="Book Antiqua" w:hAnsi="Book Antiqua" w:cs="Tahoma"/>
          <w:b/>
          <w:sz w:val="52"/>
          <w:szCs w:val="52"/>
          <w:lang w:val="es-ES_tradnl"/>
        </w:rPr>
        <w:t xml:space="preserve">C. </w:t>
      </w:r>
      <w:r w:rsidR="000B1F7F">
        <w:rPr>
          <w:rFonts w:ascii="Book Antiqua" w:hAnsi="Book Antiqua" w:cs="Tahoma"/>
          <w:b/>
          <w:sz w:val="52"/>
          <w:szCs w:val="52"/>
          <w:lang w:val="es-ES_tradnl"/>
        </w:rPr>
        <w:t>de la</w:t>
      </w:r>
      <w:r w:rsidRPr="007F0E20">
        <w:rPr>
          <w:rFonts w:ascii="Book Antiqua" w:hAnsi="Book Antiqua" w:cs="Tahoma"/>
          <w:b/>
          <w:sz w:val="52"/>
          <w:szCs w:val="52"/>
          <w:lang w:val="es-ES_tradnl"/>
        </w:rPr>
        <w:t xml:space="preserve"> C. </w:t>
      </w:r>
      <w:r w:rsidR="00144825">
        <w:rPr>
          <w:rFonts w:ascii="Book Antiqua" w:hAnsi="Book Antiqua" w:cs="Tahoma"/>
          <w:b/>
          <w:sz w:val="52"/>
          <w:szCs w:val="52"/>
          <w:lang w:val="es-ES_tradnl"/>
        </w:rPr>
        <w:t>66</w:t>
      </w:r>
    </w:p>
    <w:p w14:paraId="7CF099EB" w14:textId="77777777" w:rsidR="002670C1" w:rsidRPr="000B1F7F" w:rsidRDefault="002670C1" w:rsidP="002670C1">
      <w:pPr>
        <w:jc w:val="center"/>
        <w:rPr>
          <w:rFonts w:ascii="Book Antiqua" w:hAnsi="Book Antiqua" w:cs="Tahoma"/>
          <w:bCs/>
          <w:lang w:val="es-ES_tradnl"/>
        </w:rPr>
      </w:pPr>
    </w:p>
    <w:p w14:paraId="70B1AF18" w14:textId="77777777" w:rsidR="005A06D8" w:rsidRDefault="005A06D8" w:rsidP="002670C1">
      <w:pPr>
        <w:jc w:val="center"/>
        <w:rPr>
          <w:rFonts w:ascii="Book Antiqua" w:hAnsi="Book Antiqua" w:cs="Tahoma"/>
          <w:b/>
          <w:sz w:val="28"/>
          <w:szCs w:val="28"/>
          <w:lang w:val="es-ES_tradnl"/>
        </w:rPr>
      </w:pPr>
    </w:p>
    <w:p w14:paraId="354DC621" w14:textId="2E2F8944" w:rsidR="002670C1" w:rsidRPr="007F0E20" w:rsidRDefault="002670C1" w:rsidP="002670C1">
      <w:pPr>
        <w:jc w:val="center"/>
        <w:rPr>
          <w:rFonts w:ascii="Book Antiqua" w:hAnsi="Book Antiqua" w:cs="Tahoma"/>
          <w:b/>
          <w:sz w:val="28"/>
          <w:szCs w:val="28"/>
          <w:lang w:val="es-ES_tradnl"/>
        </w:rPr>
      </w:pPr>
      <w:r w:rsidRPr="007F0E20">
        <w:rPr>
          <w:rFonts w:ascii="Book Antiqua" w:hAnsi="Book Antiqua" w:cs="Tahoma"/>
          <w:b/>
          <w:sz w:val="28"/>
          <w:szCs w:val="28"/>
          <w:lang w:val="es-ES_tradnl"/>
        </w:rPr>
        <w:t>INFORME</w:t>
      </w:r>
      <w:r w:rsidR="00632DBA" w:rsidRPr="007F0E20">
        <w:rPr>
          <w:rFonts w:ascii="Book Antiqua" w:hAnsi="Book Antiqua" w:cs="Tahoma"/>
          <w:b/>
          <w:sz w:val="28"/>
          <w:szCs w:val="28"/>
          <w:lang w:val="es-ES_tradnl"/>
        </w:rPr>
        <w:t xml:space="preserve"> POSITIVO</w:t>
      </w:r>
    </w:p>
    <w:p w14:paraId="03B6C046" w14:textId="77777777" w:rsidR="002670C1" w:rsidRPr="000B1F7F" w:rsidRDefault="002670C1" w:rsidP="002670C1">
      <w:pPr>
        <w:jc w:val="center"/>
        <w:rPr>
          <w:rFonts w:ascii="Book Antiqua" w:hAnsi="Book Antiqua" w:cs="Tahoma"/>
          <w:b/>
          <w:lang w:val="es-ES_tradnl"/>
        </w:rPr>
      </w:pPr>
    </w:p>
    <w:p w14:paraId="6BCEAAA8" w14:textId="5E7065AD" w:rsidR="00EF143E" w:rsidRDefault="00A4090B" w:rsidP="008E42F5">
      <w:pPr>
        <w:jc w:val="center"/>
        <w:rPr>
          <w:rFonts w:ascii="Book Antiqua" w:hAnsi="Book Antiqua"/>
          <w:color w:val="000000" w:themeColor="text1"/>
          <w:sz w:val="22"/>
          <w:szCs w:val="18"/>
          <w:lang w:val="es-PR"/>
        </w:rPr>
      </w:pPr>
      <w:r>
        <w:rPr>
          <w:rFonts w:ascii="Book Antiqua" w:hAnsi="Book Antiqua"/>
          <w:color w:val="000000" w:themeColor="text1"/>
          <w:lang w:val="es-PR"/>
        </w:rPr>
        <w:t>7</w:t>
      </w:r>
      <w:r w:rsidR="008E42F5" w:rsidRPr="00160853">
        <w:rPr>
          <w:rFonts w:ascii="Book Antiqua" w:hAnsi="Book Antiqua"/>
          <w:color w:val="000000" w:themeColor="text1"/>
          <w:sz w:val="22"/>
          <w:szCs w:val="18"/>
          <w:lang w:val="es-PR"/>
        </w:rPr>
        <w:t xml:space="preserve"> DE </w:t>
      </w:r>
      <w:r w:rsidR="00160853">
        <w:rPr>
          <w:rFonts w:ascii="Book Antiqua" w:hAnsi="Book Antiqua"/>
          <w:color w:val="000000" w:themeColor="text1"/>
          <w:sz w:val="22"/>
          <w:szCs w:val="18"/>
          <w:lang w:val="es-PR"/>
        </w:rPr>
        <w:t>MA</w:t>
      </w:r>
      <w:r w:rsidR="00272050">
        <w:rPr>
          <w:rFonts w:ascii="Book Antiqua" w:hAnsi="Book Antiqua"/>
          <w:color w:val="000000" w:themeColor="text1"/>
          <w:sz w:val="22"/>
          <w:szCs w:val="18"/>
          <w:lang w:val="es-PR"/>
        </w:rPr>
        <w:t>YO</w:t>
      </w:r>
      <w:r w:rsidR="008E42F5" w:rsidRPr="00160853">
        <w:rPr>
          <w:rFonts w:ascii="Book Antiqua" w:hAnsi="Book Antiqua"/>
          <w:color w:val="000000" w:themeColor="text1"/>
          <w:sz w:val="22"/>
          <w:szCs w:val="18"/>
          <w:lang w:val="es-PR"/>
        </w:rPr>
        <w:t xml:space="preserve"> DE 2025</w:t>
      </w:r>
    </w:p>
    <w:p w14:paraId="2246056E" w14:textId="77777777" w:rsidR="005A06D8" w:rsidRPr="00160853" w:rsidRDefault="005A06D8" w:rsidP="008E42F5">
      <w:pPr>
        <w:jc w:val="center"/>
        <w:rPr>
          <w:rFonts w:ascii="Book Antiqua" w:hAnsi="Book Antiqua"/>
          <w:color w:val="000000" w:themeColor="text1"/>
          <w:sz w:val="22"/>
          <w:szCs w:val="18"/>
          <w:lang w:val="es-PR"/>
        </w:rPr>
      </w:pPr>
    </w:p>
    <w:p w14:paraId="32DEC64E" w14:textId="77777777" w:rsidR="008E42F5" w:rsidRPr="00A67E77" w:rsidRDefault="008E42F5" w:rsidP="002670C1">
      <w:pPr>
        <w:jc w:val="both"/>
        <w:rPr>
          <w:rFonts w:ascii="Book Antiqua" w:hAnsi="Book Antiqua" w:cs="Tahoma"/>
          <w:sz w:val="32"/>
          <w:szCs w:val="32"/>
          <w:lang w:val="es-ES_tradnl"/>
        </w:rPr>
      </w:pPr>
    </w:p>
    <w:p w14:paraId="7275E7F6" w14:textId="77777777" w:rsidR="002670C1" w:rsidRDefault="002670C1" w:rsidP="00A67E77">
      <w:pPr>
        <w:jc w:val="both"/>
        <w:rPr>
          <w:rFonts w:ascii="Book Antiqua" w:hAnsi="Book Antiqua" w:cs="Tahoma"/>
          <w:b/>
          <w:lang w:val="es-ES_tradnl"/>
        </w:rPr>
      </w:pPr>
      <w:r w:rsidRPr="007F0E20">
        <w:rPr>
          <w:rFonts w:ascii="Book Antiqua" w:hAnsi="Book Antiqua" w:cs="Tahoma"/>
          <w:b/>
          <w:lang w:val="es-ES_tradnl"/>
        </w:rPr>
        <w:t>A LA CÁMARA DE REPRESENTANTES DE PUERTO RICO:</w:t>
      </w:r>
    </w:p>
    <w:p w14:paraId="74E6BF60" w14:textId="77777777" w:rsidR="00A67E77" w:rsidRPr="00A67E77" w:rsidRDefault="00A67E77" w:rsidP="00A67E77">
      <w:pPr>
        <w:jc w:val="both"/>
        <w:rPr>
          <w:rFonts w:ascii="Book Antiqua" w:hAnsi="Book Antiqua" w:cs="Tahoma"/>
          <w:b/>
          <w:sz w:val="40"/>
          <w:szCs w:val="40"/>
          <w:lang w:val="es-ES_tradnl"/>
        </w:rPr>
      </w:pPr>
    </w:p>
    <w:p w14:paraId="1D4B3230" w14:textId="7AA4B9A5" w:rsidR="00BF384D" w:rsidRDefault="002670C1" w:rsidP="00A67E77">
      <w:pPr>
        <w:jc w:val="both"/>
        <w:rPr>
          <w:rFonts w:ascii="Book Antiqua" w:hAnsi="Book Antiqua"/>
          <w:lang w:val="es-PR"/>
        </w:rPr>
      </w:pPr>
      <w:r w:rsidRPr="007F0E20">
        <w:rPr>
          <w:rFonts w:ascii="Book Antiqua" w:hAnsi="Book Antiqua" w:cs="Tahoma"/>
          <w:lang w:val="es-ES_tradnl"/>
        </w:rPr>
        <w:tab/>
        <w:t xml:space="preserve">La Comisión de </w:t>
      </w:r>
      <w:r w:rsidR="000B1F7F">
        <w:rPr>
          <w:rFonts w:ascii="Book Antiqua" w:hAnsi="Book Antiqua" w:cs="Tahoma"/>
          <w:lang w:val="es-ES_tradnl"/>
        </w:rPr>
        <w:t>Educación</w:t>
      </w:r>
      <w:r w:rsidRPr="007F0E20">
        <w:rPr>
          <w:rFonts w:ascii="Book Antiqua" w:hAnsi="Book Antiqua" w:cs="Tahoma"/>
          <w:lang w:val="es-ES_tradnl"/>
        </w:rPr>
        <w:t xml:space="preserve"> de la Cámara de Representantes de Puerto Rico,</w:t>
      </w:r>
      <w:r w:rsidR="00476691" w:rsidRPr="007F0E20">
        <w:rPr>
          <w:rFonts w:ascii="Book Antiqua" w:hAnsi="Book Antiqua" w:cs="Tahoma"/>
          <w:lang w:val="es-ES_tradnl"/>
        </w:rPr>
        <w:t xml:space="preserve"> previo estudio y consideración</w:t>
      </w:r>
      <w:r w:rsidR="0062204F" w:rsidRPr="007F0E20">
        <w:rPr>
          <w:rFonts w:ascii="Book Antiqua" w:hAnsi="Book Antiqua" w:cs="Tahoma"/>
          <w:lang w:val="es-ES_tradnl"/>
        </w:rPr>
        <w:t xml:space="preserve"> de la </w:t>
      </w:r>
      <w:r w:rsidR="00272050">
        <w:rPr>
          <w:rFonts w:ascii="Book Antiqua" w:hAnsi="Book Antiqua" w:cs="Tahoma"/>
          <w:lang w:val="es-ES_tradnl"/>
        </w:rPr>
        <w:t>Resolución</w:t>
      </w:r>
      <w:r w:rsidR="000B1F7F">
        <w:rPr>
          <w:rFonts w:ascii="Book Antiqua" w:hAnsi="Book Antiqua" w:cs="Tahoma"/>
          <w:lang w:val="es-ES_tradnl"/>
        </w:rPr>
        <w:t xml:space="preserve"> C</w:t>
      </w:r>
      <w:r w:rsidR="00272050">
        <w:rPr>
          <w:rFonts w:ascii="Book Antiqua" w:hAnsi="Book Antiqua" w:cs="Tahoma"/>
          <w:lang w:val="es-ES_tradnl"/>
        </w:rPr>
        <w:t>onjunta d</w:t>
      </w:r>
      <w:r w:rsidR="0062204F" w:rsidRPr="007F0E20">
        <w:rPr>
          <w:rFonts w:ascii="Book Antiqua" w:hAnsi="Book Antiqua" w:cs="Tahoma"/>
          <w:lang w:val="es-ES_tradnl"/>
        </w:rPr>
        <w:t>e la C</w:t>
      </w:r>
      <w:r w:rsidR="00272050">
        <w:rPr>
          <w:rFonts w:ascii="Book Antiqua" w:hAnsi="Book Antiqua" w:cs="Tahoma"/>
          <w:lang w:val="es-ES_tradnl"/>
        </w:rPr>
        <w:t>ámara</w:t>
      </w:r>
      <w:r w:rsidR="0062204F" w:rsidRPr="007F0E20">
        <w:rPr>
          <w:rFonts w:ascii="Book Antiqua" w:hAnsi="Book Antiqua" w:cs="Tahoma"/>
          <w:lang w:val="es-ES_tradnl"/>
        </w:rPr>
        <w:t xml:space="preserve"> </w:t>
      </w:r>
      <w:r w:rsidR="00144825">
        <w:rPr>
          <w:rFonts w:ascii="Book Antiqua" w:hAnsi="Book Antiqua" w:cs="Tahoma"/>
          <w:lang w:val="es-ES_tradnl"/>
        </w:rPr>
        <w:t>66</w:t>
      </w:r>
      <w:r w:rsidR="00272050">
        <w:rPr>
          <w:rFonts w:ascii="Book Antiqua" w:hAnsi="Book Antiqua" w:cs="Tahoma"/>
          <w:lang w:val="es-ES_tradnl"/>
        </w:rPr>
        <w:t xml:space="preserve"> (en adelante R. C. de la C. </w:t>
      </w:r>
      <w:r w:rsidR="00144825">
        <w:rPr>
          <w:rFonts w:ascii="Book Antiqua" w:hAnsi="Book Antiqua" w:cs="Tahoma"/>
          <w:lang w:val="es-ES_tradnl"/>
        </w:rPr>
        <w:t>66</w:t>
      </w:r>
      <w:r w:rsidR="00272050">
        <w:rPr>
          <w:rFonts w:ascii="Book Antiqua" w:hAnsi="Book Antiqua" w:cs="Tahoma"/>
          <w:lang w:val="es-ES_tradnl"/>
        </w:rPr>
        <w:t>)</w:t>
      </w:r>
      <w:r w:rsidR="00CD5EE6" w:rsidRPr="007F0E20">
        <w:rPr>
          <w:rFonts w:ascii="Book Antiqua" w:hAnsi="Book Antiqua" w:cs="Tahoma"/>
          <w:lang w:val="es-ES_tradnl"/>
        </w:rPr>
        <w:t xml:space="preserve">, </w:t>
      </w:r>
      <w:r w:rsidR="000E15AD" w:rsidRPr="007F0E20">
        <w:rPr>
          <w:rFonts w:ascii="Book Antiqua" w:hAnsi="Book Antiqua" w:cs="Tahoma"/>
          <w:lang w:val="es-ES_tradnl"/>
        </w:rPr>
        <w:t>tiene a bien someter su informe recom</w:t>
      </w:r>
      <w:r w:rsidRPr="007F0E20">
        <w:rPr>
          <w:rFonts w:ascii="Book Antiqua" w:hAnsi="Book Antiqua" w:cs="Tahoma"/>
          <w:lang w:val="es-ES_tradnl"/>
        </w:rPr>
        <w:t>enda</w:t>
      </w:r>
      <w:r w:rsidR="000E15AD" w:rsidRPr="007F0E20">
        <w:rPr>
          <w:rFonts w:ascii="Book Antiqua" w:hAnsi="Book Antiqua" w:cs="Tahoma"/>
          <w:lang w:val="es-ES_tradnl"/>
        </w:rPr>
        <w:t>ndo</w:t>
      </w:r>
      <w:r w:rsidR="00F774F8">
        <w:rPr>
          <w:rFonts w:ascii="Book Antiqua" w:hAnsi="Book Antiqua" w:cs="Tahoma"/>
          <w:lang w:val="es-ES_tradnl"/>
        </w:rPr>
        <w:t xml:space="preserve"> muy </w:t>
      </w:r>
      <w:r w:rsidR="00F774F8" w:rsidRPr="00FD6CB7">
        <w:rPr>
          <w:rFonts w:ascii="Book Antiqua" w:hAnsi="Book Antiqua"/>
          <w:lang w:val="es-PR"/>
        </w:rPr>
        <w:t xml:space="preserve">respetuosamente </w:t>
      </w:r>
      <w:r w:rsidR="006B3654" w:rsidRPr="007F0E20">
        <w:rPr>
          <w:rFonts w:ascii="Book Antiqua" w:hAnsi="Book Antiqua" w:cs="Tahoma"/>
          <w:lang w:val="es-ES_tradnl"/>
        </w:rPr>
        <w:t xml:space="preserve">la </w:t>
      </w:r>
      <w:r w:rsidR="006B3654" w:rsidRPr="00272050">
        <w:rPr>
          <w:rFonts w:ascii="Book Antiqua" w:hAnsi="Book Antiqua" w:cs="Tahoma"/>
          <w:lang w:val="es-ES_tradnl"/>
        </w:rPr>
        <w:t>aprobación</w:t>
      </w:r>
      <w:r w:rsidR="006B3654" w:rsidRPr="00FD6CB7">
        <w:rPr>
          <w:rFonts w:ascii="Book Antiqua" w:hAnsi="Book Antiqua"/>
          <w:lang w:val="es-PR"/>
        </w:rPr>
        <w:t xml:space="preserve"> </w:t>
      </w:r>
      <w:r w:rsidR="00F774F8" w:rsidRPr="00FD6CB7">
        <w:rPr>
          <w:rFonts w:ascii="Book Antiqua" w:hAnsi="Book Antiqua"/>
          <w:lang w:val="es-PR"/>
        </w:rPr>
        <w:t>a este Honorable Cuerpo Legislativo</w:t>
      </w:r>
      <w:r w:rsidR="008E42F5">
        <w:rPr>
          <w:rFonts w:ascii="Book Antiqua" w:hAnsi="Book Antiqua" w:cs="Tahoma"/>
          <w:lang w:val="es-ES_tradnl"/>
        </w:rPr>
        <w:t>.</w:t>
      </w:r>
      <w:r w:rsidR="00F774F8">
        <w:rPr>
          <w:rFonts w:ascii="Book Antiqua" w:hAnsi="Book Antiqua" w:cs="Tahoma"/>
          <w:lang w:val="es-ES_tradnl"/>
        </w:rPr>
        <w:t xml:space="preserve"> </w:t>
      </w:r>
      <w:r w:rsidR="00F774F8" w:rsidRPr="00060087">
        <w:rPr>
          <w:rFonts w:ascii="Book Antiqua" w:hAnsi="Book Antiqua"/>
          <w:lang w:val="es-PR"/>
        </w:rPr>
        <w:t xml:space="preserve">Asimismo, insta a considerar e incorporar las enmiendas sugeridas, las cuales se detallan minuciosamente en el </w:t>
      </w:r>
      <w:proofErr w:type="spellStart"/>
      <w:r w:rsidR="00F774F8" w:rsidRPr="00060087">
        <w:rPr>
          <w:rFonts w:ascii="Book Antiqua" w:hAnsi="Book Antiqua"/>
          <w:lang w:val="es-PR"/>
        </w:rPr>
        <w:t>entirillado</w:t>
      </w:r>
      <w:proofErr w:type="spellEnd"/>
      <w:r w:rsidR="00F774F8" w:rsidRPr="00060087">
        <w:rPr>
          <w:rFonts w:ascii="Book Antiqua" w:hAnsi="Book Antiqua"/>
          <w:lang w:val="es-PR"/>
        </w:rPr>
        <w:t xml:space="preserve"> electrónico adjunto.</w:t>
      </w:r>
    </w:p>
    <w:p w14:paraId="1A9C8CF9" w14:textId="77777777" w:rsidR="00A67E77" w:rsidRPr="00A67E77" w:rsidRDefault="00A67E77" w:rsidP="00A67E77">
      <w:pPr>
        <w:jc w:val="both"/>
        <w:rPr>
          <w:rFonts w:ascii="Book Antiqua" w:hAnsi="Book Antiqua"/>
          <w:sz w:val="40"/>
          <w:szCs w:val="40"/>
          <w:lang w:val="es-ES_tradnl"/>
        </w:rPr>
      </w:pPr>
    </w:p>
    <w:p w14:paraId="3A74B34E" w14:textId="77777777" w:rsidR="002670C1" w:rsidRDefault="002670C1" w:rsidP="00A67E77">
      <w:pPr>
        <w:jc w:val="center"/>
        <w:rPr>
          <w:rFonts w:ascii="Book Antiqua" w:hAnsi="Book Antiqua" w:cs="Tahoma"/>
          <w:b/>
          <w:lang w:val="es-ES_tradnl"/>
        </w:rPr>
      </w:pPr>
      <w:r w:rsidRPr="00A67E77">
        <w:rPr>
          <w:rFonts w:ascii="Book Antiqua" w:hAnsi="Book Antiqua" w:cs="Tahoma"/>
          <w:b/>
          <w:lang w:val="es-ES_tradnl"/>
        </w:rPr>
        <w:t>ALCANCE Y ANÁLISIS DE LA MEDIDA</w:t>
      </w:r>
    </w:p>
    <w:p w14:paraId="5FEA51C1" w14:textId="77777777" w:rsidR="00144825" w:rsidRPr="00144825" w:rsidRDefault="00144825" w:rsidP="00A67E77">
      <w:pPr>
        <w:ind w:firstLine="720"/>
        <w:jc w:val="both"/>
        <w:rPr>
          <w:rFonts w:ascii="Book Antiqua" w:hAnsi="Book Antiqua" w:cs="Tahoma"/>
          <w:lang w:val="es-PR"/>
        </w:rPr>
      </w:pPr>
    </w:p>
    <w:p w14:paraId="6DC3C6C5" w14:textId="342C01D9" w:rsidR="005A06D8" w:rsidRDefault="008E42F5" w:rsidP="00A67E77">
      <w:pPr>
        <w:ind w:firstLine="720"/>
        <w:jc w:val="both"/>
        <w:rPr>
          <w:rFonts w:ascii="Book Antiqua" w:hAnsi="Book Antiqua"/>
          <w:lang w:val="es-PR"/>
        </w:rPr>
      </w:pPr>
      <w:r w:rsidRPr="008E42F5">
        <w:rPr>
          <w:rFonts w:ascii="Book Antiqua" w:hAnsi="Book Antiqua" w:cs="Tahoma"/>
          <w:lang w:val="es-ES_tradnl"/>
        </w:rPr>
        <w:t xml:space="preserve">La </w:t>
      </w:r>
      <w:r w:rsidR="00272050">
        <w:rPr>
          <w:rFonts w:ascii="Book Antiqua" w:hAnsi="Book Antiqua" w:cs="Tahoma"/>
          <w:lang w:val="es-ES_tradnl"/>
        </w:rPr>
        <w:t xml:space="preserve">R. C. de la C. </w:t>
      </w:r>
      <w:r w:rsidR="00144825">
        <w:rPr>
          <w:rFonts w:ascii="Book Antiqua" w:hAnsi="Book Antiqua" w:cs="Tahoma"/>
          <w:lang w:val="es-ES_tradnl"/>
        </w:rPr>
        <w:t>66</w:t>
      </w:r>
      <w:r w:rsidR="00FD4C66">
        <w:rPr>
          <w:rFonts w:ascii="Book Antiqua" w:hAnsi="Book Antiqua" w:cs="Tahoma"/>
          <w:lang w:val="es-ES_tradnl"/>
        </w:rPr>
        <w:t>,</w:t>
      </w:r>
      <w:r w:rsidR="005F33E8">
        <w:rPr>
          <w:rFonts w:ascii="Book Antiqua" w:hAnsi="Book Antiqua" w:cs="Tahoma"/>
          <w:lang w:val="es-ES_tradnl"/>
        </w:rPr>
        <w:t xml:space="preserve"> tiene como propósito</w:t>
      </w:r>
      <w:r w:rsidR="005F33E8" w:rsidRPr="00F31B7E">
        <w:rPr>
          <w:rFonts w:ascii="Book Antiqua" w:hAnsi="Book Antiqua"/>
          <w:lang w:val="es-ES_tradnl"/>
        </w:rPr>
        <w:t xml:space="preserve"> </w:t>
      </w:r>
      <w:r w:rsidR="00144825" w:rsidRPr="00E96603">
        <w:rPr>
          <w:rFonts w:ascii="Book Antiqua" w:hAnsi="Book Antiqua"/>
          <w:lang w:val="es-ES_tradnl"/>
        </w:rPr>
        <w:t xml:space="preserve">ordenar al </w:t>
      </w:r>
      <w:r w:rsidR="00144825" w:rsidRPr="00E96603">
        <w:rPr>
          <w:rFonts w:ascii="Book Antiqua" w:hAnsi="Book Antiqua"/>
          <w:lang w:val="es-PR"/>
        </w:rPr>
        <w:t xml:space="preserve">Comité de Evaluación y Disposición de </w:t>
      </w:r>
      <w:r w:rsidR="00144825">
        <w:rPr>
          <w:rFonts w:ascii="Book Antiqua" w:hAnsi="Book Antiqua"/>
          <w:lang w:val="es-PR"/>
        </w:rPr>
        <w:t xml:space="preserve">Bienes </w:t>
      </w:r>
      <w:r w:rsidR="00144825" w:rsidRPr="00E96603">
        <w:rPr>
          <w:rFonts w:ascii="Book Antiqua" w:hAnsi="Book Antiqua"/>
          <w:lang w:val="es-PR"/>
        </w:rPr>
        <w:t>Inmuebles, creado por la Ley 26-2017, según enmendada, mejor conocida como “Ley de Cumplimiento con el Plan Fiscal”, evaluar conforme a las disposiciones de la Ley y el reglamento, la transferencia o traspaso de título</w:t>
      </w:r>
      <w:r w:rsidR="00144825" w:rsidRPr="00E96603">
        <w:rPr>
          <w:rFonts w:ascii="Book Antiqua" w:hAnsi="Book Antiqua"/>
          <w:lang w:val="es-ES_tradnl"/>
        </w:rPr>
        <w:t xml:space="preserve"> </w:t>
      </w:r>
      <w:r w:rsidR="00144825" w:rsidRPr="00E96603">
        <w:rPr>
          <w:rFonts w:ascii="Book Antiqua" w:hAnsi="Book Antiqua"/>
          <w:lang w:val="es-PR"/>
        </w:rPr>
        <w:t>al Municip</w:t>
      </w:r>
      <w:r w:rsidR="00144825">
        <w:rPr>
          <w:rFonts w:ascii="Book Antiqua" w:hAnsi="Book Antiqua"/>
          <w:lang w:val="es-PR"/>
        </w:rPr>
        <w:t>io</w:t>
      </w:r>
      <w:r w:rsidR="00144825" w:rsidRPr="00E96603">
        <w:rPr>
          <w:rFonts w:ascii="Book Antiqua" w:hAnsi="Book Antiqua"/>
          <w:lang w:val="es-PR"/>
        </w:rPr>
        <w:t xml:space="preserve"> de Loíza</w:t>
      </w:r>
      <w:r w:rsidR="00B9633F">
        <w:rPr>
          <w:rFonts w:ascii="Book Antiqua" w:hAnsi="Book Antiqua"/>
          <w:lang w:val="es-PR"/>
        </w:rPr>
        <w:t xml:space="preserve"> (en adelante, Municipio)</w:t>
      </w:r>
      <w:r w:rsidR="00144825" w:rsidRPr="00E96603">
        <w:rPr>
          <w:rFonts w:ascii="Book Antiqua" w:hAnsi="Book Antiqua"/>
          <w:lang w:val="es-PR"/>
        </w:rPr>
        <w:t>, la antigua Escuela Superior Carlos Escobar López, localizada en la Calle A Final de la Urbanización Santiago, en Loíza, Puerto Rico, a los fines de desarrollar proyectos de impacto social y brindar servicios públicos que redunden en el desarrollo y bienestar de las comunidades circundantes; y para otros fines relacionados.</w:t>
      </w:r>
    </w:p>
    <w:p w14:paraId="429EACBA" w14:textId="763B22C9" w:rsidR="00DA6E4B" w:rsidRPr="00DA6E4B" w:rsidRDefault="00DA6E4B" w:rsidP="00A67E77">
      <w:pPr>
        <w:ind w:firstLine="720"/>
        <w:jc w:val="both"/>
        <w:rPr>
          <w:rFonts w:ascii="Book Antiqua" w:hAnsi="Book Antiqua" w:cs="Tahoma"/>
          <w:lang w:val="es-PR"/>
        </w:rPr>
      </w:pPr>
      <w:r w:rsidRPr="00DA6E4B">
        <w:rPr>
          <w:rFonts w:ascii="Book Antiqua" w:hAnsi="Book Antiqua" w:cs="Tahoma"/>
          <w:lang w:val="es-PR"/>
        </w:rPr>
        <w:t xml:space="preserve">La Resolución Conjunta de la Cámara 66 propone la transferencia del título de propiedad de la antigua Escuela Superior Carlos Escobar López al Municipio de Loíza, con el fin de garantizar la continuidad y expansión de los servicios públicos que actualmente se ofrecen desde dichas instalaciones. Esta medida responde a la necesidad de maximizar el uso de escuelas en desuso y apoyar a los municipios ante los recortes </w:t>
      </w:r>
      <w:r w:rsidRPr="00DA6E4B">
        <w:rPr>
          <w:rFonts w:ascii="Book Antiqua" w:hAnsi="Book Antiqua" w:cs="Tahoma"/>
          <w:lang w:val="es-PR"/>
        </w:rPr>
        <w:lastRenderedPageBreak/>
        <w:t>presupuestarios, permitiéndoles administrar espacios clave para la atención de comunidades vulnerables. La titularidad del inmueble facilitaría el acceso a fondos estatales y federales, consolidando un centro multiservicios que ya alberga un Súper Refugio y oficinas municipales esenciales.</w:t>
      </w:r>
    </w:p>
    <w:p w14:paraId="5EE183FF" w14:textId="20432324" w:rsidR="000F4532" w:rsidRPr="000F4532" w:rsidRDefault="000F4532" w:rsidP="00A67E77">
      <w:pPr>
        <w:ind w:firstLine="720"/>
        <w:jc w:val="both"/>
        <w:rPr>
          <w:rFonts w:ascii="Book Antiqua" w:hAnsi="Book Antiqua" w:cs="Tahoma"/>
          <w:lang w:val="es-PR"/>
        </w:rPr>
      </w:pPr>
      <w:r w:rsidRPr="000F4532">
        <w:rPr>
          <w:rFonts w:ascii="Book Antiqua" w:hAnsi="Book Antiqua" w:cs="Tahoma"/>
          <w:lang w:val="es-PR"/>
        </w:rPr>
        <w:t>Esta iniciativa responde a una necesidad apremiante de poner en uso un inmueble gubernamental actualmente en estado de abandono y deterioro, con el fin de transformarlo en un activo comunitario que pueda ser destinado a proyectos de desarrollo social, educativo y cultural.</w:t>
      </w:r>
    </w:p>
    <w:p w14:paraId="0C91ACB9" w14:textId="433A3FB8" w:rsidR="000F4532" w:rsidRPr="000F4532" w:rsidRDefault="000F4532" w:rsidP="00A67E77">
      <w:pPr>
        <w:ind w:firstLine="720"/>
        <w:jc w:val="both"/>
        <w:rPr>
          <w:rFonts w:ascii="Book Antiqua" w:hAnsi="Book Antiqua" w:cs="Tahoma"/>
          <w:lang w:val="es-PR"/>
        </w:rPr>
      </w:pPr>
      <w:r w:rsidRPr="000F4532">
        <w:rPr>
          <w:rFonts w:ascii="Book Antiqua" w:hAnsi="Book Antiqua" w:cs="Tahoma"/>
          <w:lang w:val="es-PR"/>
        </w:rPr>
        <w:t>La Ley 26-2017</w:t>
      </w:r>
      <w:r w:rsidRPr="00517BF4">
        <w:rPr>
          <w:rFonts w:ascii="Book Antiqua" w:hAnsi="Book Antiqua" w:cs="Tahoma"/>
          <w:lang w:val="es-PR"/>
        </w:rPr>
        <w:t>,</w:t>
      </w:r>
      <w:r w:rsidRPr="000F4532">
        <w:rPr>
          <w:rFonts w:ascii="Book Antiqua" w:hAnsi="Book Antiqua" w:cs="Tahoma"/>
          <w:lang w:val="es-PR"/>
        </w:rPr>
        <w:t xml:space="preserve"> </w:t>
      </w:r>
      <w:r w:rsidRPr="00517BF4">
        <w:rPr>
          <w:rFonts w:ascii="Book Antiqua" w:hAnsi="Book Antiqua"/>
          <w:lang w:val="es-ES_tradnl"/>
        </w:rPr>
        <w:t xml:space="preserve">según enmendada, </w:t>
      </w:r>
      <w:r w:rsidRPr="000F4532">
        <w:rPr>
          <w:rFonts w:ascii="Book Antiqua" w:hAnsi="Book Antiqua" w:cs="Tahoma"/>
          <w:lang w:val="es-PR"/>
        </w:rPr>
        <w:t>establece como política pública la disposición de propiedades inmuebles gubernamentales en desuso, con el fin de promover su reutilización por parte de municipios y entidades sin fines de lucro para fines que redunden en beneficio de la ciudadanía. En ese marco, se reconoce el valor de estas propiedades no solo como bienes físicos, sino como espacios con potencial transformador para el bienestar colectivo. La reutilización de estos inmuebles permite fomentar la participación ciudadana, reactivar sectores económicos, mejorar la calidad de vida en las comunidades y optimizar el uso de los recursos públicos.</w:t>
      </w:r>
    </w:p>
    <w:p w14:paraId="4B9BFBF0" w14:textId="00DAC482" w:rsidR="000F4532" w:rsidRPr="000F4532" w:rsidRDefault="000F4532" w:rsidP="00A67E77">
      <w:pPr>
        <w:ind w:firstLine="720"/>
        <w:jc w:val="both"/>
        <w:rPr>
          <w:rFonts w:ascii="Book Antiqua" w:hAnsi="Book Antiqua" w:cs="Tahoma"/>
          <w:lang w:val="es-PR"/>
        </w:rPr>
      </w:pPr>
      <w:r w:rsidRPr="000F4532">
        <w:rPr>
          <w:rFonts w:ascii="Book Antiqua" w:hAnsi="Book Antiqua" w:cs="Tahoma"/>
          <w:lang w:val="es-PR"/>
        </w:rPr>
        <w:t xml:space="preserve">La Escuela </w:t>
      </w:r>
      <w:r w:rsidR="00144825">
        <w:rPr>
          <w:rFonts w:ascii="Book Antiqua" w:hAnsi="Book Antiqua" w:cs="Tahoma"/>
          <w:lang w:val="es-PR"/>
        </w:rPr>
        <w:t>Superior Carlos Escobar López</w:t>
      </w:r>
      <w:r w:rsidRPr="000F4532">
        <w:rPr>
          <w:rFonts w:ascii="Book Antiqua" w:hAnsi="Book Antiqua" w:cs="Tahoma"/>
          <w:lang w:val="es-PR"/>
        </w:rPr>
        <w:t xml:space="preserve">, clausurada hace varios años y actualmente sin uso ni mantenimiento, representa una oportunidad significativa para el Municipio de </w:t>
      </w:r>
      <w:r w:rsidR="00144825">
        <w:rPr>
          <w:rFonts w:ascii="Book Antiqua" w:hAnsi="Book Antiqua" w:cs="Tahoma"/>
          <w:lang w:val="es-PR"/>
        </w:rPr>
        <w:t>Loíza</w:t>
      </w:r>
      <w:r w:rsidRPr="000F4532">
        <w:rPr>
          <w:rFonts w:ascii="Book Antiqua" w:hAnsi="Book Antiqua" w:cs="Tahoma"/>
          <w:lang w:val="es-PR"/>
        </w:rPr>
        <w:t>, que ha manifestado su interés en adquirirla con el fin de implementar iniciativas de desarrollo comunitario. La transferencia de esta instalación permitiría su rehabilitación y utilización para atender diversas necesidades sociales, como programas educativos, talleres de capacitación, servicios comunitarios, o cualquier otra actividad de interés público.</w:t>
      </w:r>
    </w:p>
    <w:p w14:paraId="3A1D1203" w14:textId="5352234D" w:rsidR="000F4532" w:rsidRPr="00517BF4" w:rsidRDefault="000F4532" w:rsidP="00A67E77">
      <w:pPr>
        <w:ind w:firstLine="720"/>
        <w:jc w:val="both"/>
        <w:rPr>
          <w:rFonts w:ascii="Book Antiqua" w:hAnsi="Book Antiqua" w:cs="Tahoma"/>
          <w:lang w:val="es-PR"/>
        </w:rPr>
      </w:pPr>
      <w:r w:rsidRPr="000F4532">
        <w:rPr>
          <w:rFonts w:ascii="Book Antiqua" w:hAnsi="Book Antiqua" w:cs="Tahoma"/>
          <w:lang w:val="es-PR"/>
        </w:rPr>
        <w:t xml:space="preserve">Mediante esta medida, se oficializa la intención legislativa de facilitar al Municipio </w:t>
      </w:r>
      <w:r w:rsidR="00F47F8F">
        <w:rPr>
          <w:rFonts w:ascii="Book Antiqua" w:hAnsi="Book Antiqua" w:cs="Tahoma"/>
          <w:lang w:val="es-PR"/>
        </w:rPr>
        <w:t xml:space="preserve">de Loíza, </w:t>
      </w:r>
      <w:r w:rsidRPr="000F4532">
        <w:rPr>
          <w:rFonts w:ascii="Book Antiqua" w:hAnsi="Book Antiqua" w:cs="Tahoma"/>
          <w:lang w:val="es-PR"/>
        </w:rPr>
        <w:t>los mecanismos necesarios para adquirir la titularidad o el uso legal de dichas instalaciones, garantizando que su utilización se limite exclusivamente a fines públicos, sociales o comunitarios. Asimismo, se establecen las condiciones bajo las cuales se efectuará la transferencia, con el objetivo de asegurar que el inmueble se mantenga como un recurso al servicio de la comunidad y se proteja el interés público en todo momento.</w:t>
      </w:r>
    </w:p>
    <w:p w14:paraId="63210629" w14:textId="1FF138FC" w:rsidR="00A67E77" w:rsidRDefault="000F4532" w:rsidP="00A67E77">
      <w:pPr>
        <w:ind w:firstLine="720"/>
        <w:jc w:val="both"/>
        <w:rPr>
          <w:rFonts w:ascii="Book Antiqua" w:hAnsi="Book Antiqua" w:cs="Tahoma"/>
          <w:lang w:val="es-PR"/>
        </w:rPr>
      </w:pPr>
      <w:r w:rsidRPr="000F4532">
        <w:rPr>
          <w:rFonts w:ascii="Book Antiqua" w:hAnsi="Book Antiqua" w:cs="Tahoma"/>
          <w:lang w:val="es-PR"/>
        </w:rPr>
        <w:t xml:space="preserve">El Gobierno Municipal de </w:t>
      </w:r>
      <w:r w:rsidR="00144825">
        <w:rPr>
          <w:rFonts w:ascii="Book Antiqua" w:hAnsi="Book Antiqua" w:cs="Tahoma"/>
          <w:lang w:val="es-PR"/>
        </w:rPr>
        <w:t>Loíza</w:t>
      </w:r>
      <w:r w:rsidRPr="000F4532">
        <w:rPr>
          <w:rFonts w:ascii="Book Antiqua" w:hAnsi="Book Antiqua" w:cs="Tahoma"/>
          <w:lang w:val="es-PR"/>
        </w:rPr>
        <w:t xml:space="preserve">, por conducto de su Honorable </w:t>
      </w:r>
      <w:proofErr w:type="gramStart"/>
      <w:r w:rsidRPr="000F4532">
        <w:rPr>
          <w:rFonts w:ascii="Book Antiqua" w:hAnsi="Book Antiqua" w:cs="Tahoma"/>
          <w:lang w:val="es-PR"/>
        </w:rPr>
        <w:t>Alcalde</w:t>
      </w:r>
      <w:r w:rsidR="00144825">
        <w:rPr>
          <w:rFonts w:ascii="Book Antiqua" w:hAnsi="Book Antiqua" w:cs="Tahoma"/>
          <w:lang w:val="es-PR"/>
        </w:rPr>
        <w:t>sa</w:t>
      </w:r>
      <w:proofErr w:type="gramEnd"/>
      <w:r w:rsidR="00144825">
        <w:rPr>
          <w:rFonts w:ascii="Book Antiqua" w:hAnsi="Book Antiqua" w:cs="Tahoma"/>
          <w:lang w:val="es-PR"/>
        </w:rPr>
        <w:t xml:space="preserve"> Julia María Nazario Fuentes</w:t>
      </w:r>
      <w:r w:rsidRPr="000F4532">
        <w:rPr>
          <w:rFonts w:ascii="Book Antiqua" w:hAnsi="Book Antiqua" w:cs="Tahoma"/>
          <w:lang w:val="es-PR"/>
        </w:rPr>
        <w:t xml:space="preserve">, ha expresado su pleno respaldo a la intención de esta medida, manifestando su conformidad con la cesión propuesta. Esta transferencia representa una valiosa oportunidad para implementar iniciativas que atiendan necesidades comunitarias apremiantes, y que, a su vez, contribuyan a mejorar el entorno físico, revitalizar espacios públicos en desuso y elevar la calidad de vida de los residentes del municipio. </w:t>
      </w:r>
    </w:p>
    <w:p w14:paraId="0CF3E757" w14:textId="2CA58F8F" w:rsidR="0090778A" w:rsidRPr="00D06E9E" w:rsidRDefault="000F4532" w:rsidP="00D06E9E">
      <w:pPr>
        <w:ind w:firstLine="720"/>
        <w:jc w:val="both"/>
        <w:rPr>
          <w:rFonts w:ascii="Book Antiqua" w:hAnsi="Book Antiqua" w:cs="Tahoma"/>
          <w:lang w:val="es-PR"/>
        </w:rPr>
      </w:pPr>
      <w:r w:rsidRPr="000F4532">
        <w:rPr>
          <w:rFonts w:ascii="Book Antiqua" w:hAnsi="Book Antiqua" w:cs="Tahoma"/>
          <w:lang w:val="es-PR"/>
        </w:rPr>
        <w:t>El Municipio reconoce el potencial de estas instalaciones para convertirse en un centro activo de servicios, programas y actividades de impacto social, cultural y educativo, reafirmando así su compromiso con el bienestar colectivo y el desarrollo sostenible de sus comunidades</w:t>
      </w:r>
      <w:r w:rsidR="0090778A" w:rsidRPr="00D06E9E">
        <w:rPr>
          <w:rFonts w:ascii="Book Antiqua" w:hAnsi="Book Antiqua"/>
          <w:lang w:val="es-PR"/>
        </w:rPr>
        <w:t>,</w:t>
      </w:r>
      <w:r w:rsidR="00D06E9E">
        <w:rPr>
          <w:rFonts w:ascii="Book Antiqua" w:hAnsi="Book Antiqua"/>
          <w:lang w:val="es-PR"/>
        </w:rPr>
        <w:t xml:space="preserve"> destaca que esta es</w:t>
      </w:r>
      <w:r w:rsidR="0090778A" w:rsidRPr="00D06E9E">
        <w:rPr>
          <w:rFonts w:ascii="Book Antiqua" w:hAnsi="Book Antiqua"/>
          <w:lang w:val="es-PR"/>
        </w:rPr>
        <w:t xml:space="preserve"> una medida que va más allá de un trámite administrativo y representa un acto de justicia social y fortalecimiento comunitario. Desde su cierre en 2017, el Municipio ha rehabilitado y reutilizado estas instalaciones como un Centro de Servicios Municipales, albergando múltiples </w:t>
      </w:r>
      <w:r w:rsidR="0090778A" w:rsidRPr="00D06E9E">
        <w:rPr>
          <w:rFonts w:ascii="Book Antiqua" w:hAnsi="Book Antiqua"/>
          <w:lang w:val="es-PR"/>
        </w:rPr>
        <w:lastRenderedPageBreak/>
        <w:t xml:space="preserve">dependencias clave como la Policía Municipal, la Oficina del Comisionado Escolar, un centro de rastreo de COVID-19, el Centro de Servicios Integrados y un Súper Refugio con capacidad para más de 600 personas. Además, se han invertido millones de dólares en mejoras y proyectos de infraestructura con fondos municipales y federales, aunque la falta de titularidad ha limitado el acceso a nuevas fuentes de financiamiento. El traspaso garantizará la continuidad, expansión y sostenibilidad de servicios esenciales para cientos de familias </w:t>
      </w:r>
      <w:proofErr w:type="spellStart"/>
      <w:r w:rsidR="0090778A" w:rsidRPr="00D06E9E">
        <w:rPr>
          <w:rFonts w:ascii="Book Antiqua" w:hAnsi="Book Antiqua"/>
          <w:lang w:val="es-PR"/>
        </w:rPr>
        <w:t>loiceñas</w:t>
      </w:r>
      <w:proofErr w:type="spellEnd"/>
      <w:r w:rsidR="0090778A" w:rsidRPr="00D06E9E">
        <w:rPr>
          <w:rFonts w:ascii="Book Antiqua" w:hAnsi="Book Antiqua"/>
          <w:lang w:val="es-PR"/>
        </w:rPr>
        <w:t>, consolidando el compromiso demostrado por el Municipio de Loíza en la gestión eficiente y responsable de este valioso activo público.</w:t>
      </w:r>
    </w:p>
    <w:p w14:paraId="5D93E781" w14:textId="77777777" w:rsidR="0090778A" w:rsidRDefault="0090778A" w:rsidP="00D06E9E">
      <w:pPr>
        <w:jc w:val="both"/>
        <w:rPr>
          <w:rFonts w:ascii="Book Antiqua" w:hAnsi="Book Antiqua"/>
          <w:lang w:val="es-PR"/>
        </w:rPr>
      </w:pPr>
    </w:p>
    <w:p w14:paraId="0CFB97D5" w14:textId="42F2F81E" w:rsidR="00D06E9E" w:rsidRPr="00D06E9E" w:rsidRDefault="00D06E9E" w:rsidP="00D06E9E">
      <w:pPr>
        <w:ind w:firstLine="708"/>
        <w:jc w:val="both"/>
        <w:rPr>
          <w:rFonts w:ascii="Book Antiqua" w:hAnsi="Book Antiqua"/>
          <w:lang w:val="es-PR"/>
        </w:rPr>
      </w:pPr>
      <w:r>
        <w:rPr>
          <w:rFonts w:ascii="Book Antiqua" w:hAnsi="Book Antiqua"/>
          <w:lang w:val="es-PR"/>
        </w:rPr>
        <w:t>Por su parte e</w:t>
      </w:r>
      <w:r w:rsidRPr="00D06E9E">
        <w:rPr>
          <w:rFonts w:ascii="Book Antiqua" w:hAnsi="Book Antiqua"/>
          <w:lang w:val="es-PR"/>
        </w:rPr>
        <w:t>l Departamento de Educación de Puerto Rico no tiene objeción a la transferencia del título de propiedad del inmueble relacionado con la R.C. de la C. 66 al Municipio de Loíza, siempre que la Asamblea Legislativa lo considere meritorio. Esta acción no afectaría el cumplimiento de los deberes y facultades del Departamento y se somete a su evaluación conforme al marco legal vigente.</w:t>
      </w:r>
    </w:p>
    <w:p w14:paraId="35948211" w14:textId="77777777" w:rsidR="00D06E9E" w:rsidRPr="00D06E9E" w:rsidRDefault="00D06E9E" w:rsidP="00D06E9E">
      <w:pPr>
        <w:jc w:val="both"/>
        <w:rPr>
          <w:rFonts w:ascii="Book Antiqua" w:hAnsi="Book Antiqua"/>
          <w:lang w:val="es-PR"/>
        </w:rPr>
      </w:pPr>
    </w:p>
    <w:p w14:paraId="419F9152" w14:textId="77777777" w:rsidR="0090778A" w:rsidRDefault="0090778A" w:rsidP="00A67E77">
      <w:pPr>
        <w:jc w:val="center"/>
        <w:rPr>
          <w:rFonts w:ascii="Book Antiqua" w:hAnsi="Book Antiqua"/>
          <w:b/>
          <w:bCs/>
          <w:lang w:val="es-PR"/>
        </w:rPr>
      </w:pPr>
    </w:p>
    <w:p w14:paraId="6BFE4611" w14:textId="0E25223F" w:rsidR="00C56372" w:rsidRDefault="00C56372" w:rsidP="00A67E77">
      <w:pPr>
        <w:jc w:val="center"/>
        <w:rPr>
          <w:rFonts w:ascii="Book Antiqua" w:hAnsi="Book Antiqua"/>
          <w:b/>
          <w:bCs/>
          <w:lang w:val="es-PR"/>
        </w:rPr>
      </w:pPr>
      <w:r w:rsidRPr="00517BF4">
        <w:rPr>
          <w:rFonts w:ascii="Book Antiqua" w:hAnsi="Book Antiqua"/>
          <w:b/>
          <w:bCs/>
          <w:lang w:val="es-PR"/>
        </w:rPr>
        <w:t>CONCLUSIÓN Y RECOMENDACIÓN</w:t>
      </w:r>
    </w:p>
    <w:p w14:paraId="4AB29A1C" w14:textId="77777777" w:rsidR="00A67E77" w:rsidRPr="00A67E77" w:rsidRDefault="00A67E77" w:rsidP="00A67E77">
      <w:pPr>
        <w:jc w:val="center"/>
        <w:rPr>
          <w:rFonts w:ascii="Book Antiqua" w:hAnsi="Book Antiqua"/>
          <w:b/>
          <w:bCs/>
          <w:sz w:val="40"/>
          <w:szCs w:val="40"/>
          <w:lang w:val="es-PR"/>
        </w:rPr>
      </w:pPr>
    </w:p>
    <w:p w14:paraId="27B48FD2" w14:textId="2875FE96" w:rsidR="00517BF4" w:rsidRPr="00517BF4" w:rsidRDefault="00517BF4" w:rsidP="00A67E77">
      <w:pPr>
        <w:ind w:firstLine="708"/>
        <w:jc w:val="both"/>
        <w:rPr>
          <w:rFonts w:ascii="Book Antiqua" w:hAnsi="Book Antiqua"/>
          <w:lang w:val="es-PR"/>
        </w:rPr>
      </w:pPr>
      <w:r w:rsidRPr="00517BF4">
        <w:rPr>
          <w:rFonts w:ascii="Book Antiqua" w:hAnsi="Book Antiqua"/>
          <w:lang w:val="es-PR"/>
        </w:rPr>
        <w:t xml:space="preserve">La Comisión de Educación ha llevado a cabo un análisis minucioso de la medida contenida en la </w:t>
      </w:r>
      <w:r>
        <w:rPr>
          <w:rFonts w:ascii="Book Antiqua" w:hAnsi="Book Antiqua" w:cs="Tahoma"/>
          <w:lang w:val="es-ES_tradnl"/>
        </w:rPr>
        <w:t xml:space="preserve">R. C. de la C. </w:t>
      </w:r>
      <w:r w:rsidR="0090778A">
        <w:rPr>
          <w:rFonts w:ascii="Book Antiqua" w:hAnsi="Book Antiqua" w:cs="Tahoma"/>
          <w:lang w:val="es-ES_tradnl"/>
        </w:rPr>
        <w:t>66</w:t>
      </w:r>
      <w:r w:rsidRPr="00517BF4">
        <w:rPr>
          <w:rFonts w:ascii="Book Antiqua" w:hAnsi="Book Antiqua"/>
          <w:lang w:val="es-PR"/>
        </w:rPr>
        <w:t xml:space="preserve">. Esta propuesta legislativa representa un paso afirmativo en la implementación de la </w:t>
      </w:r>
      <w:r w:rsidR="006F3E81">
        <w:rPr>
          <w:rFonts w:ascii="Book Antiqua" w:hAnsi="Book Antiqua"/>
          <w:lang w:val="es-PR"/>
        </w:rPr>
        <w:t>P</w:t>
      </w:r>
      <w:r w:rsidRPr="00517BF4">
        <w:rPr>
          <w:rFonts w:ascii="Book Antiqua" w:hAnsi="Book Antiqua"/>
          <w:lang w:val="es-PR"/>
        </w:rPr>
        <w:t xml:space="preserve">olítica </w:t>
      </w:r>
      <w:r w:rsidR="006F3E81">
        <w:rPr>
          <w:rFonts w:ascii="Book Antiqua" w:hAnsi="Book Antiqua"/>
          <w:lang w:val="es-PR"/>
        </w:rPr>
        <w:t>P</w:t>
      </w:r>
      <w:r w:rsidRPr="00517BF4">
        <w:rPr>
          <w:rFonts w:ascii="Book Antiqua" w:hAnsi="Book Antiqua"/>
          <w:lang w:val="es-PR"/>
        </w:rPr>
        <w:t>ública establecida para la recuperación y reutilización de propiedades del Estado, fomentando la colaboración entre el Gobierno Central y los municipios. Asimismo, reafirma el compromiso de esta Asamblea Legislativa con el desarrollo sostenible, la revitalización urbana y la promoción de la equidad social en nuestras comunidades.</w:t>
      </w:r>
    </w:p>
    <w:p w14:paraId="54FE3E62" w14:textId="243BF8AC" w:rsidR="00517BF4" w:rsidRPr="00517BF4" w:rsidRDefault="00517BF4" w:rsidP="00A67E77">
      <w:pPr>
        <w:ind w:firstLine="708"/>
        <w:jc w:val="both"/>
        <w:rPr>
          <w:rFonts w:ascii="Book Antiqua" w:hAnsi="Book Antiqua"/>
          <w:lang w:val="es-PR"/>
        </w:rPr>
      </w:pPr>
      <w:r w:rsidRPr="00517BF4">
        <w:rPr>
          <w:rFonts w:ascii="Book Antiqua" w:hAnsi="Book Antiqua"/>
          <w:lang w:val="es-PR"/>
        </w:rPr>
        <w:t xml:space="preserve">Por las razones antes expuestas, esta Comisión entiende que la </w:t>
      </w:r>
      <w:r>
        <w:rPr>
          <w:rFonts w:ascii="Book Antiqua" w:hAnsi="Book Antiqua" w:cs="Tahoma"/>
          <w:lang w:val="es-ES_tradnl"/>
        </w:rPr>
        <w:t xml:space="preserve">R. C. de la C. </w:t>
      </w:r>
      <w:r w:rsidR="0090778A">
        <w:rPr>
          <w:rFonts w:ascii="Book Antiqua" w:hAnsi="Book Antiqua" w:cs="Tahoma"/>
          <w:lang w:val="es-ES_tradnl"/>
        </w:rPr>
        <w:t>66</w:t>
      </w:r>
      <w:r w:rsidRPr="00517BF4">
        <w:rPr>
          <w:rFonts w:ascii="Book Antiqua" w:hAnsi="Book Antiqua"/>
          <w:lang w:val="es-PR"/>
        </w:rPr>
        <w:t xml:space="preserve"> cumple con los requisitos necesarios para su aprobación. En consecuencia, recomendamos a este Honorable Cuerpo la aprobación de la medida, con las enmiendas sugeridas en el </w:t>
      </w:r>
      <w:proofErr w:type="spellStart"/>
      <w:r w:rsidRPr="00517BF4">
        <w:rPr>
          <w:rFonts w:ascii="Book Antiqua" w:hAnsi="Book Antiqua"/>
          <w:lang w:val="es-PR"/>
        </w:rPr>
        <w:t>entirillado</w:t>
      </w:r>
      <w:proofErr w:type="spellEnd"/>
      <w:r w:rsidRPr="00517BF4">
        <w:rPr>
          <w:rFonts w:ascii="Book Antiqua" w:hAnsi="Book Antiqua"/>
          <w:lang w:val="es-PR"/>
        </w:rPr>
        <w:t xml:space="preserve"> electrónico que se acompaña.</w:t>
      </w:r>
    </w:p>
    <w:p w14:paraId="2A95E28D" w14:textId="2127F309" w:rsidR="007F0E20" w:rsidRPr="007F0E20" w:rsidRDefault="00BF384D" w:rsidP="00A67E77">
      <w:pPr>
        <w:jc w:val="both"/>
        <w:rPr>
          <w:rFonts w:ascii="Book Antiqua" w:hAnsi="Book Antiqua" w:cs="Tahoma"/>
          <w:lang w:val="es-ES_tradnl"/>
        </w:rPr>
      </w:pPr>
      <w:r w:rsidRPr="007F0E20">
        <w:rPr>
          <w:rFonts w:ascii="Book Antiqua" w:hAnsi="Book Antiqua" w:cs="Tahoma"/>
          <w:lang w:val="es-ES_tradnl"/>
        </w:rPr>
        <w:t>Respetuosamente sometido,</w:t>
      </w:r>
    </w:p>
    <w:p w14:paraId="3315C7D2" w14:textId="77777777" w:rsidR="007F0E20" w:rsidRDefault="007F0E20" w:rsidP="00A67E77">
      <w:pPr>
        <w:rPr>
          <w:rFonts w:ascii="Book Antiqua" w:hAnsi="Book Antiqua" w:cs="Tahoma"/>
          <w:lang w:val="es-ES_tradnl"/>
        </w:rPr>
      </w:pPr>
    </w:p>
    <w:p w14:paraId="48E46436" w14:textId="77777777" w:rsidR="00792462" w:rsidRPr="007F0E20" w:rsidRDefault="00792462" w:rsidP="00A67E77">
      <w:pPr>
        <w:rPr>
          <w:rFonts w:ascii="Book Antiqua" w:hAnsi="Book Antiqua" w:cs="Tahoma"/>
          <w:lang w:val="es-ES_tradnl"/>
        </w:rPr>
      </w:pPr>
    </w:p>
    <w:p w14:paraId="621EF8DF" w14:textId="77777777" w:rsidR="00792462" w:rsidRDefault="00792462" w:rsidP="00A67E77">
      <w:pPr>
        <w:rPr>
          <w:rFonts w:ascii="Book Antiqua" w:hAnsi="Book Antiqua" w:cs="Tahoma"/>
          <w:b/>
          <w:bCs/>
          <w:lang w:val="es-ES_tradnl"/>
        </w:rPr>
      </w:pPr>
    </w:p>
    <w:p w14:paraId="7DDC07B4" w14:textId="71EB1203" w:rsidR="00307416" w:rsidRPr="007F0E20" w:rsidRDefault="000B1F7F" w:rsidP="00A67E77">
      <w:pPr>
        <w:rPr>
          <w:rFonts w:ascii="Book Antiqua" w:hAnsi="Book Antiqua"/>
          <w:b/>
          <w:smallCaps/>
          <w:lang w:val="es-ES_tradnl"/>
        </w:rPr>
      </w:pPr>
      <w:proofErr w:type="spellStart"/>
      <w:r w:rsidRPr="005A06D8">
        <w:rPr>
          <w:rFonts w:ascii="Book Antiqua" w:hAnsi="Book Antiqua" w:cs="Tahoma"/>
          <w:b/>
          <w:bCs/>
          <w:lang w:val="es-ES_tradnl"/>
        </w:rPr>
        <w:t>Hon</w:t>
      </w:r>
      <w:proofErr w:type="spellEnd"/>
      <w:r w:rsidRPr="005A06D8">
        <w:rPr>
          <w:rFonts w:ascii="Book Antiqua" w:hAnsi="Book Antiqua" w:cs="Tahoma"/>
          <w:b/>
          <w:bCs/>
          <w:lang w:val="es-ES_tradnl"/>
        </w:rPr>
        <w:t>. Tatiana Pérez Ramírez</w:t>
      </w:r>
      <w:r w:rsidR="00BF384D" w:rsidRPr="005A06D8">
        <w:rPr>
          <w:rFonts w:ascii="Book Antiqua" w:hAnsi="Book Antiqua" w:cs="Tahoma"/>
          <w:b/>
          <w:bCs/>
          <w:lang w:val="es-ES_tradnl"/>
        </w:rPr>
        <w:br/>
      </w:r>
      <w:proofErr w:type="gramStart"/>
      <w:r w:rsidR="00BF384D" w:rsidRPr="007F0E20">
        <w:rPr>
          <w:rFonts w:ascii="Book Antiqua" w:hAnsi="Book Antiqua" w:cs="Tahoma"/>
          <w:lang w:val="es-ES_tradnl"/>
        </w:rPr>
        <w:t>President</w:t>
      </w:r>
      <w:r>
        <w:rPr>
          <w:rFonts w:ascii="Book Antiqua" w:hAnsi="Book Antiqua" w:cs="Tahoma"/>
          <w:lang w:val="es-ES_tradnl"/>
        </w:rPr>
        <w:t>a</w:t>
      </w:r>
      <w:proofErr w:type="gramEnd"/>
      <w:r w:rsidR="00BF384D" w:rsidRPr="007F0E20">
        <w:rPr>
          <w:rFonts w:ascii="Book Antiqua" w:hAnsi="Book Antiqua" w:cs="Tahoma"/>
          <w:lang w:val="es-ES_tradnl"/>
        </w:rPr>
        <w:br/>
        <w:t xml:space="preserve">Comisión de </w:t>
      </w:r>
      <w:r>
        <w:rPr>
          <w:rFonts w:ascii="Book Antiqua" w:hAnsi="Book Antiqua" w:cs="Tahoma"/>
          <w:lang w:val="es-ES_tradnl"/>
        </w:rPr>
        <w:t>Educación</w:t>
      </w:r>
    </w:p>
    <w:sectPr w:rsidR="00307416" w:rsidRPr="007F0E20" w:rsidSect="00D73B0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97AF4" w14:textId="77777777" w:rsidR="00B66CEB" w:rsidRDefault="00B66CEB" w:rsidP="00614C2C">
      <w:r>
        <w:separator/>
      </w:r>
    </w:p>
  </w:endnote>
  <w:endnote w:type="continuationSeparator" w:id="0">
    <w:p w14:paraId="64873B8B" w14:textId="77777777" w:rsidR="00B66CEB" w:rsidRDefault="00B66CE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C4C9754" w14:textId="77777777" w:rsidR="00BF384D" w:rsidRDefault="00BF384D">
        <w:pPr>
          <w:pStyle w:val="Footer"/>
          <w:jc w:val="center"/>
        </w:pPr>
        <w:r>
          <w:fldChar w:fldCharType="begin"/>
        </w:r>
        <w:r>
          <w:instrText xml:space="preserve"> PAGE   \* MERGEFORMAT </w:instrText>
        </w:r>
        <w:r>
          <w:fldChar w:fldCharType="separate"/>
        </w:r>
        <w:r w:rsidR="00137DEB">
          <w:rPr>
            <w:noProof/>
          </w:rPr>
          <w:t>1</w:t>
        </w:r>
        <w:r>
          <w:rPr>
            <w:noProof/>
          </w:rPr>
          <w:fldChar w:fldCharType="end"/>
        </w:r>
      </w:p>
    </w:sdtContent>
  </w:sdt>
  <w:p w14:paraId="3156418A" w14:textId="77777777" w:rsidR="00BF384D" w:rsidRDefault="00BF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093E5" w14:textId="77777777" w:rsidR="00B66CEB" w:rsidRDefault="00B66CEB" w:rsidP="00614C2C">
      <w:r>
        <w:separator/>
      </w:r>
    </w:p>
  </w:footnote>
  <w:footnote w:type="continuationSeparator" w:id="0">
    <w:p w14:paraId="481B7415" w14:textId="77777777" w:rsidR="00B66CEB" w:rsidRDefault="00B66CEB" w:rsidP="00614C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75A15"/>
    <w:rsid w:val="000836CB"/>
    <w:rsid w:val="000B1F7F"/>
    <w:rsid w:val="000C6264"/>
    <w:rsid w:val="000E15AD"/>
    <w:rsid w:val="000F4532"/>
    <w:rsid w:val="00137DEB"/>
    <w:rsid w:val="00144825"/>
    <w:rsid w:val="00151D57"/>
    <w:rsid w:val="00160853"/>
    <w:rsid w:val="00173884"/>
    <w:rsid w:val="001763F4"/>
    <w:rsid w:val="001905FF"/>
    <w:rsid w:val="001D3E64"/>
    <w:rsid w:val="001E5575"/>
    <w:rsid w:val="00220B04"/>
    <w:rsid w:val="00224DE4"/>
    <w:rsid w:val="00233676"/>
    <w:rsid w:val="002670C1"/>
    <w:rsid w:val="00272050"/>
    <w:rsid w:val="0028725D"/>
    <w:rsid w:val="002905BE"/>
    <w:rsid w:val="00295113"/>
    <w:rsid w:val="002954B6"/>
    <w:rsid w:val="002B3C43"/>
    <w:rsid w:val="00302403"/>
    <w:rsid w:val="00307416"/>
    <w:rsid w:val="003139DC"/>
    <w:rsid w:val="00323444"/>
    <w:rsid w:val="00334D8A"/>
    <w:rsid w:val="00336D75"/>
    <w:rsid w:val="0034287C"/>
    <w:rsid w:val="00373892"/>
    <w:rsid w:val="003B03D6"/>
    <w:rsid w:val="003F05CE"/>
    <w:rsid w:val="003F3E64"/>
    <w:rsid w:val="00410C54"/>
    <w:rsid w:val="00441207"/>
    <w:rsid w:val="004431F9"/>
    <w:rsid w:val="00445CFE"/>
    <w:rsid w:val="004552A8"/>
    <w:rsid w:val="00455A9A"/>
    <w:rsid w:val="004761BE"/>
    <w:rsid w:val="00476691"/>
    <w:rsid w:val="004C29A4"/>
    <w:rsid w:val="004D42C2"/>
    <w:rsid w:val="00517BF4"/>
    <w:rsid w:val="00525E8D"/>
    <w:rsid w:val="00564DAF"/>
    <w:rsid w:val="00566979"/>
    <w:rsid w:val="00582242"/>
    <w:rsid w:val="005930E2"/>
    <w:rsid w:val="005A06D8"/>
    <w:rsid w:val="005A5DF4"/>
    <w:rsid w:val="005F33E8"/>
    <w:rsid w:val="005F6537"/>
    <w:rsid w:val="00601225"/>
    <w:rsid w:val="00606351"/>
    <w:rsid w:val="00614022"/>
    <w:rsid w:val="00614C2C"/>
    <w:rsid w:val="0062204F"/>
    <w:rsid w:val="00632DBA"/>
    <w:rsid w:val="00644454"/>
    <w:rsid w:val="006456B8"/>
    <w:rsid w:val="006B0997"/>
    <w:rsid w:val="006B1DBD"/>
    <w:rsid w:val="006B3654"/>
    <w:rsid w:val="006C6C48"/>
    <w:rsid w:val="006E37FE"/>
    <w:rsid w:val="006F3E81"/>
    <w:rsid w:val="007106D1"/>
    <w:rsid w:val="00712D94"/>
    <w:rsid w:val="007156BD"/>
    <w:rsid w:val="0076703E"/>
    <w:rsid w:val="00780620"/>
    <w:rsid w:val="00783C90"/>
    <w:rsid w:val="00786867"/>
    <w:rsid w:val="00792462"/>
    <w:rsid w:val="007A6985"/>
    <w:rsid w:val="007C5A2C"/>
    <w:rsid w:val="007D7209"/>
    <w:rsid w:val="007F0E20"/>
    <w:rsid w:val="008171E8"/>
    <w:rsid w:val="00832D47"/>
    <w:rsid w:val="00874FEE"/>
    <w:rsid w:val="00893A1A"/>
    <w:rsid w:val="008A0C76"/>
    <w:rsid w:val="008C757B"/>
    <w:rsid w:val="008D1BB3"/>
    <w:rsid w:val="008E0870"/>
    <w:rsid w:val="008E31FE"/>
    <w:rsid w:val="008E42F5"/>
    <w:rsid w:val="0090778A"/>
    <w:rsid w:val="00934522"/>
    <w:rsid w:val="00935128"/>
    <w:rsid w:val="00947FF9"/>
    <w:rsid w:val="00975AFC"/>
    <w:rsid w:val="0098035D"/>
    <w:rsid w:val="00981986"/>
    <w:rsid w:val="0099466E"/>
    <w:rsid w:val="009A7DF3"/>
    <w:rsid w:val="009E798F"/>
    <w:rsid w:val="00A012A2"/>
    <w:rsid w:val="00A13F6D"/>
    <w:rsid w:val="00A16A73"/>
    <w:rsid w:val="00A365D9"/>
    <w:rsid w:val="00A372B2"/>
    <w:rsid w:val="00A4090B"/>
    <w:rsid w:val="00A55420"/>
    <w:rsid w:val="00A572EE"/>
    <w:rsid w:val="00A67E77"/>
    <w:rsid w:val="00A84A3B"/>
    <w:rsid w:val="00AC35C0"/>
    <w:rsid w:val="00AD1D84"/>
    <w:rsid w:val="00AD5382"/>
    <w:rsid w:val="00AF3B9D"/>
    <w:rsid w:val="00B0402B"/>
    <w:rsid w:val="00B16CF6"/>
    <w:rsid w:val="00B26882"/>
    <w:rsid w:val="00B34E25"/>
    <w:rsid w:val="00B50634"/>
    <w:rsid w:val="00B66CEB"/>
    <w:rsid w:val="00B71AC9"/>
    <w:rsid w:val="00B805AA"/>
    <w:rsid w:val="00B9373D"/>
    <w:rsid w:val="00B95BFE"/>
    <w:rsid w:val="00B9633F"/>
    <w:rsid w:val="00BA0E34"/>
    <w:rsid w:val="00BA20C7"/>
    <w:rsid w:val="00BB5CBB"/>
    <w:rsid w:val="00BB7D59"/>
    <w:rsid w:val="00BD5F6F"/>
    <w:rsid w:val="00BE1682"/>
    <w:rsid w:val="00BF384D"/>
    <w:rsid w:val="00C05FA6"/>
    <w:rsid w:val="00C56372"/>
    <w:rsid w:val="00C6262F"/>
    <w:rsid w:val="00C83EB5"/>
    <w:rsid w:val="00CA370E"/>
    <w:rsid w:val="00CB0A0E"/>
    <w:rsid w:val="00CC5AB6"/>
    <w:rsid w:val="00CD5EE6"/>
    <w:rsid w:val="00CD69DB"/>
    <w:rsid w:val="00D06E9E"/>
    <w:rsid w:val="00D63438"/>
    <w:rsid w:val="00D73B0E"/>
    <w:rsid w:val="00D81E37"/>
    <w:rsid w:val="00DA6E4B"/>
    <w:rsid w:val="00DB261B"/>
    <w:rsid w:val="00DC4718"/>
    <w:rsid w:val="00DD725F"/>
    <w:rsid w:val="00DE16BB"/>
    <w:rsid w:val="00DE27F5"/>
    <w:rsid w:val="00E032DE"/>
    <w:rsid w:val="00E56DFF"/>
    <w:rsid w:val="00E63F1B"/>
    <w:rsid w:val="00E8699D"/>
    <w:rsid w:val="00EB3FFE"/>
    <w:rsid w:val="00ED37CF"/>
    <w:rsid w:val="00EF143E"/>
    <w:rsid w:val="00F21532"/>
    <w:rsid w:val="00F226DF"/>
    <w:rsid w:val="00F47F8F"/>
    <w:rsid w:val="00F641A0"/>
    <w:rsid w:val="00F774F8"/>
    <w:rsid w:val="00F8240A"/>
    <w:rsid w:val="00FA36D1"/>
    <w:rsid w:val="00FD186E"/>
    <w:rsid w:val="00FD4C66"/>
    <w:rsid w:val="00FE78FE"/>
    <w:rsid w:val="00FF015A"/>
    <w:rsid w:val="00FF082A"/>
    <w:rsid w:val="00FF6A98"/>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AB3BA7"/>
  <w15:docId w15:val="{B96B0045-2758-456D-8A22-C19E4989D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8946">
      <w:bodyDiv w:val="1"/>
      <w:marLeft w:val="0"/>
      <w:marRight w:val="0"/>
      <w:marTop w:val="0"/>
      <w:marBottom w:val="0"/>
      <w:divBdr>
        <w:top w:val="none" w:sz="0" w:space="0" w:color="auto"/>
        <w:left w:val="none" w:sz="0" w:space="0" w:color="auto"/>
        <w:bottom w:val="none" w:sz="0" w:space="0" w:color="auto"/>
        <w:right w:val="none" w:sz="0" w:space="0" w:color="auto"/>
      </w:divBdr>
    </w:div>
    <w:div w:id="49233841">
      <w:bodyDiv w:val="1"/>
      <w:marLeft w:val="0"/>
      <w:marRight w:val="0"/>
      <w:marTop w:val="0"/>
      <w:marBottom w:val="0"/>
      <w:divBdr>
        <w:top w:val="none" w:sz="0" w:space="0" w:color="auto"/>
        <w:left w:val="none" w:sz="0" w:space="0" w:color="auto"/>
        <w:bottom w:val="none" w:sz="0" w:space="0" w:color="auto"/>
        <w:right w:val="none" w:sz="0" w:space="0" w:color="auto"/>
      </w:divBdr>
    </w:div>
    <w:div w:id="64374410">
      <w:bodyDiv w:val="1"/>
      <w:marLeft w:val="0"/>
      <w:marRight w:val="0"/>
      <w:marTop w:val="0"/>
      <w:marBottom w:val="0"/>
      <w:divBdr>
        <w:top w:val="none" w:sz="0" w:space="0" w:color="auto"/>
        <w:left w:val="none" w:sz="0" w:space="0" w:color="auto"/>
        <w:bottom w:val="none" w:sz="0" w:space="0" w:color="auto"/>
        <w:right w:val="none" w:sz="0" w:space="0" w:color="auto"/>
      </w:divBdr>
    </w:div>
    <w:div w:id="68427066">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741679658">
      <w:bodyDiv w:val="1"/>
      <w:marLeft w:val="0"/>
      <w:marRight w:val="0"/>
      <w:marTop w:val="0"/>
      <w:marBottom w:val="0"/>
      <w:divBdr>
        <w:top w:val="none" w:sz="0" w:space="0" w:color="auto"/>
        <w:left w:val="none" w:sz="0" w:space="0" w:color="auto"/>
        <w:bottom w:val="none" w:sz="0" w:space="0" w:color="auto"/>
        <w:right w:val="none" w:sz="0" w:space="0" w:color="auto"/>
      </w:divBdr>
    </w:div>
    <w:div w:id="1263489540">
      <w:bodyDiv w:val="1"/>
      <w:marLeft w:val="0"/>
      <w:marRight w:val="0"/>
      <w:marTop w:val="0"/>
      <w:marBottom w:val="0"/>
      <w:divBdr>
        <w:top w:val="none" w:sz="0" w:space="0" w:color="auto"/>
        <w:left w:val="none" w:sz="0" w:space="0" w:color="auto"/>
        <w:bottom w:val="none" w:sz="0" w:space="0" w:color="auto"/>
        <w:right w:val="none" w:sz="0" w:space="0" w:color="auto"/>
      </w:divBdr>
    </w:div>
    <w:div w:id="1334529440">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424569695">
      <w:bodyDiv w:val="1"/>
      <w:marLeft w:val="0"/>
      <w:marRight w:val="0"/>
      <w:marTop w:val="0"/>
      <w:marBottom w:val="0"/>
      <w:divBdr>
        <w:top w:val="none" w:sz="0" w:space="0" w:color="auto"/>
        <w:left w:val="none" w:sz="0" w:space="0" w:color="auto"/>
        <w:bottom w:val="none" w:sz="0" w:space="0" w:color="auto"/>
        <w:right w:val="none" w:sz="0" w:space="0" w:color="auto"/>
      </w:divBdr>
    </w:div>
    <w:div w:id="1442454851">
      <w:bodyDiv w:val="1"/>
      <w:marLeft w:val="0"/>
      <w:marRight w:val="0"/>
      <w:marTop w:val="0"/>
      <w:marBottom w:val="0"/>
      <w:divBdr>
        <w:top w:val="none" w:sz="0" w:space="0" w:color="auto"/>
        <w:left w:val="none" w:sz="0" w:space="0" w:color="auto"/>
        <w:bottom w:val="none" w:sz="0" w:space="0" w:color="auto"/>
        <w:right w:val="none" w:sz="0" w:space="0" w:color="auto"/>
      </w:divBdr>
    </w:div>
    <w:div w:id="1476338991">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9852260">
      <w:bodyDiv w:val="1"/>
      <w:marLeft w:val="0"/>
      <w:marRight w:val="0"/>
      <w:marTop w:val="0"/>
      <w:marBottom w:val="0"/>
      <w:divBdr>
        <w:top w:val="none" w:sz="0" w:space="0" w:color="auto"/>
        <w:left w:val="none" w:sz="0" w:space="0" w:color="auto"/>
        <w:bottom w:val="none" w:sz="0" w:space="0" w:color="auto"/>
        <w:right w:val="none" w:sz="0" w:space="0" w:color="auto"/>
      </w:divBdr>
    </w:div>
    <w:div w:id="1654793348">
      <w:bodyDiv w:val="1"/>
      <w:marLeft w:val="0"/>
      <w:marRight w:val="0"/>
      <w:marTop w:val="0"/>
      <w:marBottom w:val="0"/>
      <w:divBdr>
        <w:top w:val="none" w:sz="0" w:space="0" w:color="auto"/>
        <w:left w:val="none" w:sz="0" w:space="0" w:color="auto"/>
        <w:bottom w:val="none" w:sz="0" w:space="0" w:color="auto"/>
        <w:right w:val="none" w:sz="0" w:space="0" w:color="auto"/>
      </w:divBdr>
    </w:div>
    <w:div w:id="176325938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200720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1071</Words>
  <Characters>6110</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Tatiana Perez Ramirez</dc:creator>
  <cp:lastModifiedBy>Victor E. Vélez Cucuta</cp:lastModifiedBy>
  <cp:revision>2</cp:revision>
  <cp:lastPrinted>2025-05-05T20:45:00Z</cp:lastPrinted>
  <dcterms:created xsi:type="dcterms:W3CDTF">2025-05-07T16:12:00Z</dcterms:created>
  <dcterms:modified xsi:type="dcterms:W3CDTF">2025-05-07T16:12:00Z</dcterms:modified>
</cp:coreProperties>
</file>