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D625C" w14:textId="77777777" w:rsidR="006A68A1" w:rsidRDefault="006A68A1" w:rsidP="006A68A1">
      <w:pPr>
        <w:jc w:val="center"/>
        <w:rPr>
          <w:rFonts w:ascii="Book Antiqua" w:hAnsi="Book Antiqua"/>
          <w:sz w:val="28"/>
          <w:lang w:val="es-ES_tradnl"/>
        </w:rPr>
      </w:pPr>
      <w:r>
        <w:rPr>
          <w:rFonts w:ascii="Book Antiqua" w:hAnsi="Book Antiqua"/>
          <w:sz w:val="28"/>
          <w:lang w:val="es-ES_tradnl"/>
        </w:rPr>
        <w:t>GOBIERNO DE PUERTO RICO</w:t>
      </w:r>
    </w:p>
    <w:p w14:paraId="4023267C" w14:textId="77777777" w:rsidR="006A68A1" w:rsidRPr="008F56E5" w:rsidRDefault="006A68A1" w:rsidP="006A68A1">
      <w:pPr>
        <w:jc w:val="center"/>
        <w:rPr>
          <w:rFonts w:ascii="Book Antiqua" w:hAnsi="Book Antiqua"/>
          <w:lang w:val="es-ES_tradnl"/>
        </w:rPr>
      </w:pPr>
    </w:p>
    <w:p w14:paraId="1F882C54" w14:textId="77777777" w:rsidR="006A68A1" w:rsidRDefault="006A68A1" w:rsidP="006A68A1">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r>
        <w:rPr>
          <w:rFonts w:ascii="Book Antiqua" w:hAnsi="Book Antiqua"/>
          <w:vertAlign w:val="superscript"/>
          <w:lang w:val="es-ES_tradnl"/>
        </w:rPr>
        <w:t>ra</w:t>
      </w:r>
      <w:r>
        <w:rPr>
          <w:rFonts w:ascii="Book Antiqua" w:hAnsi="Book Antiqua"/>
          <w:lang w:val="es-ES_tradnl"/>
        </w:rPr>
        <w:tab/>
        <w:t>Sesión</w:t>
      </w:r>
    </w:p>
    <w:p w14:paraId="46195EB8" w14:textId="77777777" w:rsidR="006A68A1" w:rsidRDefault="006A68A1" w:rsidP="006A68A1">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56538844" w14:textId="77777777" w:rsidR="006A68A1" w:rsidRDefault="006A68A1" w:rsidP="006A68A1">
      <w:pPr>
        <w:rPr>
          <w:lang w:val="es-ES_tradnl"/>
        </w:rPr>
      </w:pPr>
    </w:p>
    <w:p w14:paraId="5D9F8739" w14:textId="77777777" w:rsidR="006A68A1" w:rsidRDefault="006A68A1" w:rsidP="006A68A1">
      <w:pPr>
        <w:jc w:val="center"/>
        <w:rPr>
          <w:rFonts w:ascii="Book Antiqua" w:hAnsi="Book Antiqua"/>
          <w:b/>
          <w:sz w:val="36"/>
          <w:lang w:val="es-ES_tradnl"/>
        </w:rPr>
      </w:pPr>
      <w:r>
        <w:rPr>
          <w:rFonts w:ascii="Book Antiqua" w:hAnsi="Book Antiqua"/>
          <w:b/>
          <w:sz w:val="36"/>
          <w:lang w:val="es-ES_tradnl"/>
        </w:rPr>
        <w:t>CÁMARA DE REPRESENTANTES</w:t>
      </w:r>
    </w:p>
    <w:p w14:paraId="4C136C79" w14:textId="77777777" w:rsidR="006A68A1" w:rsidRPr="008F56E5" w:rsidRDefault="006A68A1" w:rsidP="006A68A1">
      <w:pPr>
        <w:jc w:val="center"/>
        <w:rPr>
          <w:rFonts w:ascii="Book Antiqua" w:hAnsi="Book Antiqua"/>
          <w:b/>
          <w:lang w:val="es-ES_tradnl"/>
        </w:rPr>
      </w:pPr>
    </w:p>
    <w:p w14:paraId="203544D6" w14:textId="56166527" w:rsidR="006A68A1" w:rsidRDefault="006A68A1" w:rsidP="006A68A1">
      <w:pPr>
        <w:jc w:val="center"/>
        <w:rPr>
          <w:rFonts w:ascii="Book Antiqua" w:hAnsi="Book Antiqua"/>
          <w:b/>
          <w:sz w:val="52"/>
          <w:lang w:val="es-ES_tradnl"/>
        </w:rPr>
      </w:pPr>
      <w:r>
        <w:rPr>
          <w:rFonts w:ascii="Book Antiqua" w:hAnsi="Book Antiqua"/>
          <w:b/>
          <w:sz w:val="52"/>
          <w:lang w:val="es-ES_tradnl"/>
        </w:rPr>
        <w:t xml:space="preserve">R. Conc. de la C. </w:t>
      </w:r>
      <w:r w:rsidR="005C7189">
        <w:rPr>
          <w:rFonts w:ascii="Book Antiqua" w:hAnsi="Book Antiqua"/>
          <w:b/>
          <w:sz w:val="52"/>
          <w:lang w:val="es-ES_tradnl"/>
        </w:rPr>
        <w:t>11</w:t>
      </w:r>
    </w:p>
    <w:p w14:paraId="369E8848" w14:textId="77777777" w:rsidR="006A68A1" w:rsidRPr="008F56E5" w:rsidRDefault="006A68A1" w:rsidP="006A68A1">
      <w:pPr>
        <w:jc w:val="center"/>
        <w:rPr>
          <w:rFonts w:ascii="Book Antiqua" w:hAnsi="Book Antiqua"/>
          <w:b/>
          <w:szCs w:val="24"/>
          <w:lang w:val="es-ES_tradnl"/>
        </w:rPr>
      </w:pPr>
    </w:p>
    <w:p w14:paraId="7ADEF105" w14:textId="334CAA05" w:rsidR="006A68A1" w:rsidRDefault="0034217E" w:rsidP="006A68A1">
      <w:pPr>
        <w:jc w:val="center"/>
        <w:rPr>
          <w:rFonts w:ascii="Book Antiqua" w:hAnsi="Book Antiqua"/>
          <w:lang w:val="es-ES_tradnl"/>
        </w:rPr>
      </w:pPr>
      <w:r>
        <w:rPr>
          <w:rFonts w:ascii="Book Antiqua" w:hAnsi="Book Antiqua"/>
          <w:lang w:val="es-ES_tradnl"/>
        </w:rPr>
        <w:t>24</w:t>
      </w:r>
      <w:r w:rsidR="006A68A1">
        <w:rPr>
          <w:rFonts w:ascii="Book Antiqua" w:hAnsi="Book Antiqua"/>
          <w:lang w:val="es-ES_tradnl"/>
        </w:rPr>
        <w:t xml:space="preserve"> DE FEBRERO DE 2025</w:t>
      </w:r>
    </w:p>
    <w:p w14:paraId="55D135DD" w14:textId="77777777" w:rsidR="006A68A1" w:rsidRDefault="006A68A1" w:rsidP="006A68A1">
      <w:pPr>
        <w:jc w:val="center"/>
        <w:rPr>
          <w:rFonts w:ascii="Book Antiqua" w:hAnsi="Book Antiqua"/>
          <w:lang w:val="es-ES_tradnl"/>
        </w:rPr>
      </w:pPr>
    </w:p>
    <w:p w14:paraId="560C5299" w14:textId="3FECBA83" w:rsidR="006A68A1" w:rsidRPr="000D72E7" w:rsidRDefault="006A68A1" w:rsidP="006A68A1">
      <w:pPr>
        <w:ind w:left="720" w:hanging="720"/>
        <w:jc w:val="center"/>
        <w:rPr>
          <w:rFonts w:ascii="Book Antiqua" w:eastAsia="Aptos" w:hAnsi="Book Antiqua"/>
          <w:kern w:val="2"/>
          <w:szCs w:val="24"/>
          <w:lang w:val="es-ES"/>
          <w14:ligatures w14:val="standardContextual"/>
        </w:rPr>
      </w:pPr>
      <w:r w:rsidRPr="00262BA2">
        <w:rPr>
          <w:rFonts w:ascii="Book Antiqua" w:hAnsi="Book Antiqua"/>
          <w:lang w:val="es-ES"/>
        </w:rPr>
        <w:t xml:space="preserve">Presentada </w:t>
      </w:r>
      <w:r w:rsidRPr="00E97177">
        <w:rPr>
          <w:rFonts w:ascii="Book Antiqua" w:eastAsia="Aptos" w:hAnsi="Book Antiqua"/>
          <w:kern w:val="2"/>
          <w:szCs w:val="24"/>
          <w:lang w:val="es-ES"/>
          <w14:ligatures w14:val="standardContextual"/>
        </w:rPr>
        <w:t xml:space="preserve">por el representante </w:t>
      </w:r>
      <w:r w:rsidRPr="00E97177">
        <w:rPr>
          <w:rFonts w:ascii="Book Antiqua" w:eastAsia="Aptos" w:hAnsi="Book Antiqua"/>
          <w:i/>
          <w:iCs/>
          <w:kern w:val="2"/>
          <w:szCs w:val="24"/>
          <w:lang w:val="es-ES"/>
          <w14:ligatures w14:val="standardContextual"/>
        </w:rPr>
        <w:t>Márquez Lebrón</w:t>
      </w:r>
      <w:r w:rsidR="000D72E7">
        <w:rPr>
          <w:rFonts w:ascii="Book Antiqua" w:eastAsia="Aptos" w:hAnsi="Book Antiqua"/>
          <w:kern w:val="2"/>
          <w:szCs w:val="24"/>
          <w:lang w:val="es-ES"/>
          <w14:ligatures w14:val="standardContextual"/>
        </w:rPr>
        <w:t xml:space="preserve"> y</w:t>
      </w:r>
    </w:p>
    <w:p w14:paraId="31C9A654" w14:textId="77777777" w:rsidR="006A68A1" w:rsidRDefault="006A68A1" w:rsidP="006A68A1">
      <w:pPr>
        <w:ind w:left="720" w:hanging="720"/>
        <w:jc w:val="center"/>
        <w:rPr>
          <w:rFonts w:ascii="Book Antiqua" w:eastAsia="Aptos" w:hAnsi="Book Antiqua"/>
          <w:i/>
          <w:iCs/>
          <w:kern w:val="2"/>
          <w:szCs w:val="24"/>
          <w:lang w:val="es-ES"/>
          <w14:ligatures w14:val="standardContextual"/>
        </w:rPr>
      </w:pPr>
      <w:r w:rsidRPr="00E97177">
        <w:rPr>
          <w:rFonts w:ascii="Book Antiqua" w:eastAsia="Aptos" w:hAnsi="Book Antiqua"/>
          <w:kern w:val="2"/>
          <w:szCs w:val="24"/>
          <w:lang w:val="es-ES"/>
          <w14:ligatures w14:val="standardContextual"/>
        </w:rPr>
        <w:t xml:space="preserve">las representantes </w:t>
      </w:r>
      <w:r w:rsidRPr="00E97177">
        <w:rPr>
          <w:rFonts w:ascii="Book Antiqua" w:eastAsia="Aptos" w:hAnsi="Book Antiqua"/>
          <w:i/>
          <w:iCs/>
          <w:kern w:val="2"/>
          <w:szCs w:val="24"/>
          <w:lang w:val="es-ES"/>
          <w14:ligatures w14:val="standardContextual"/>
        </w:rPr>
        <w:t>Gutiérrez Colón y Lebrón Robles</w:t>
      </w:r>
    </w:p>
    <w:p w14:paraId="2D12FE46" w14:textId="77777777" w:rsidR="000D72E7" w:rsidRDefault="000D72E7" w:rsidP="006A68A1">
      <w:pPr>
        <w:ind w:left="720" w:hanging="720"/>
        <w:jc w:val="center"/>
        <w:rPr>
          <w:rFonts w:ascii="Book Antiqua" w:eastAsia="Aptos" w:hAnsi="Book Antiqua"/>
          <w:i/>
          <w:iCs/>
          <w:kern w:val="2"/>
          <w:szCs w:val="24"/>
          <w:lang w:val="es-ES"/>
          <w14:ligatures w14:val="standardContextual"/>
        </w:rPr>
      </w:pPr>
    </w:p>
    <w:p w14:paraId="25F2B5D6" w14:textId="02C89777" w:rsidR="000D72E7" w:rsidRPr="000D72E7" w:rsidRDefault="000D72E7" w:rsidP="006A68A1">
      <w:pPr>
        <w:ind w:left="720" w:hanging="720"/>
        <w:jc w:val="center"/>
        <w:rPr>
          <w:rFonts w:ascii="Book Antiqua" w:eastAsia="Aptos" w:hAnsi="Book Antiqua"/>
          <w:kern w:val="2"/>
          <w:szCs w:val="24"/>
          <w:lang w:val="es-ES"/>
          <w14:ligatures w14:val="standardContextual"/>
        </w:rPr>
      </w:pPr>
      <w:r>
        <w:rPr>
          <w:rFonts w:ascii="Book Antiqua" w:eastAsia="Aptos" w:hAnsi="Book Antiqua"/>
          <w:kern w:val="2"/>
          <w:szCs w:val="24"/>
          <w:lang w:val="es-ES"/>
          <w14:ligatures w14:val="standardContextual"/>
        </w:rPr>
        <w:t>Referida a la Comisión de Asuntos Internos</w:t>
      </w:r>
    </w:p>
    <w:p w14:paraId="4CE8DB48" w14:textId="77777777" w:rsidR="006A68A1" w:rsidRDefault="006A68A1" w:rsidP="006A68A1">
      <w:pPr>
        <w:jc w:val="both"/>
        <w:rPr>
          <w:rFonts w:ascii="Book Antiqua" w:hAnsi="Book Antiqua"/>
          <w:lang w:val="es-ES_tradnl"/>
        </w:rPr>
      </w:pPr>
    </w:p>
    <w:p w14:paraId="1C3133D2" w14:textId="77777777" w:rsidR="006A68A1" w:rsidRDefault="006A68A1" w:rsidP="006A68A1">
      <w:pPr>
        <w:jc w:val="center"/>
        <w:rPr>
          <w:rFonts w:ascii="Book Antiqua" w:hAnsi="Book Antiqua"/>
          <w:b/>
          <w:sz w:val="28"/>
          <w:lang w:val="es-ES_tradnl"/>
        </w:rPr>
      </w:pPr>
      <w:r>
        <w:rPr>
          <w:rFonts w:ascii="Book Antiqua" w:hAnsi="Book Antiqua"/>
          <w:b/>
          <w:sz w:val="28"/>
          <w:lang w:val="es-ES_tradnl"/>
        </w:rPr>
        <w:t>RESOLUCIÓN CONCURRENTE</w:t>
      </w:r>
    </w:p>
    <w:p w14:paraId="269DD0E3" w14:textId="77777777" w:rsidR="006A68A1" w:rsidRDefault="006A68A1" w:rsidP="006A68A1">
      <w:pPr>
        <w:jc w:val="both"/>
        <w:rPr>
          <w:rFonts w:ascii="Book Antiqua" w:hAnsi="Book Antiqua"/>
          <w:lang w:val="es-ES_tradnl"/>
        </w:rPr>
      </w:pPr>
    </w:p>
    <w:p w14:paraId="269DEAF8" w14:textId="3EDC05B1" w:rsidR="00B67F69" w:rsidRPr="00B67F69" w:rsidRDefault="006A68A1" w:rsidP="00B67F69">
      <w:pPr>
        <w:ind w:left="720" w:hanging="720"/>
        <w:jc w:val="both"/>
        <w:rPr>
          <w:rFonts w:ascii="Book Antiqua" w:hAnsi="Book Antiqua"/>
          <w:lang w:val="es-ES_tradnl"/>
        </w:rPr>
      </w:pPr>
      <w:r w:rsidRPr="00A07E26">
        <w:rPr>
          <w:rFonts w:ascii="Book Antiqua" w:hAnsi="Book Antiqua"/>
          <w:lang w:val="es-PR"/>
        </w:rPr>
        <w:t xml:space="preserve">Para </w:t>
      </w:r>
      <w:r w:rsidR="00BC1194" w:rsidRPr="00B67F69">
        <w:rPr>
          <w:rFonts w:ascii="Book Antiqua" w:hAnsi="Book Antiqua"/>
          <w:lang w:val="es-ES_tradnl"/>
        </w:rPr>
        <w:t>solidariza</w:t>
      </w:r>
      <w:r w:rsidR="00BC1194">
        <w:rPr>
          <w:rFonts w:ascii="Book Antiqua" w:hAnsi="Book Antiqua"/>
          <w:lang w:val="es-ES_tradnl"/>
        </w:rPr>
        <w:t>rnos</w:t>
      </w:r>
      <w:r w:rsidR="00B67F69" w:rsidRPr="00B67F69">
        <w:rPr>
          <w:rFonts w:ascii="Book Antiqua" w:hAnsi="Book Antiqua"/>
          <w:lang w:val="es-ES_tradnl"/>
        </w:rPr>
        <w:t xml:space="preserve"> con las jugadoras y jugadores de voleibol que no han podido hacer realidad su deseo de representar a Puerto Rico en competencias internacionales por ser inelegibles bajo la regla de ciudadanía deportiva de la F</w:t>
      </w:r>
      <w:r w:rsidR="00B67F69">
        <w:rPr>
          <w:rFonts w:ascii="Book Antiqua" w:hAnsi="Book Antiqua"/>
          <w:lang w:val="es-ES_tradnl"/>
        </w:rPr>
        <w:t xml:space="preserve">ederación </w:t>
      </w:r>
      <w:r w:rsidR="00B67F69" w:rsidRPr="00B67F69">
        <w:rPr>
          <w:rFonts w:ascii="Book Antiqua" w:hAnsi="Book Antiqua"/>
          <w:lang w:val="es-ES_tradnl"/>
        </w:rPr>
        <w:t>I</w:t>
      </w:r>
      <w:r w:rsidR="00B67F69">
        <w:rPr>
          <w:rFonts w:ascii="Book Antiqua" w:hAnsi="Book Antiqua"/>
          <w:lang w:val="es-ES_tradnl"/>
        </w:rPr>
        <w:t xml:space="preserve">nternacional de </w:t>
      </w:r>
      <w:r w:rsidR="00B67F69" w:rsidRPr="00B67F69">
        <w:rPr>
          <w:rFonts w:ascii="Book Antiqua" w:hAnsi="Book Antiqua"/>
          <w:lang w:val="es-ES_tradnl"/>
        </w:rPr>
        <w:t>V</w:t>
      </w:r>
      <w:r w:rsidR="00B67F69">
        <w:rPr>
          <w:rFonts w:ascii="Book Antiqua" w:hAnsi="Book Antiqua"/>
          <w:lang w:val="es-ES_tradnl"/>
        </w:rPr>
        <w:t xml:space="preserve">oleibol y expresar </w:t>
      </w:r>
      <w:r w:rsidR="00B67F69" w:rsidRPr="00B67F69">
        <w:rPr>
          <w:rFonts w:ascii="Book Antiqua" w:hAnsi="Book Antiqua"/>
          <w:lang w:val="es-ES_tradnl"/>
        </w:rPr>
        <w:t>apoyo a las gestiones de la F</w:t>
      </w:r>
      <w:r w:rsidR="00B67F69">
        <w:rPr>
          <w:rFonts w:ascii="Book Antiqua" w:hAnsi="Book Antiqua"/>
          <w:lang w:val="es-ES_tradnl"/>
        </w:rPr>
        <w:t>ederación Puertorriqueña de Voleibol</w:t>
      </w:r>
      <w:r w:rsidR="00B67F69" w:rsidRPr="00B67F69">
        <w:rPr>
          <w:rFonts w:ascii="Book Antiqua" w:hAnsi="Book Antiqua"/>
          <w:lang w:val="es-ES_tradnl"/>
        </w:rPr>
        <w:t xml:space="preserve"> para lograr una solución que atienda la desventaja competitiva adicional que supone para Puerto Rico </w:t>
      </w:r>
      <w:r w:rsidR="003E0A9F">
        <w:rPr>
          <w:rFonts w:ascii="Book Antiqua" w:hAnsi="Book Antiqua"/>
          <w:lang w:val="es-ES_tradnl"/>
        </w:rPr>
        <w:t>dicha regla</w:t>
      </w:r>
      <w:r w:rsidR="00B67F69" w:rsidRPr="00B67F69">
        <w:rPr>
          <w:rFonts w:ascii="Book Antiqua" w:hAnsi="Book Antiqua"/>
          <w:lang w:val="es-ES_tradnl"/>
        </w:rPr>
        <w:t xml:space="preserve">. </w:t>
      </w:r>
    </w:p>
    <w:p w14:paraId="736EE4CF" w14:textId="77777777" w:rsidR="006A68A1" w:rsidRDefault="006A68A1" w:rsidP="006A68A1">
      <w:pPr>
        <w:ind w:left="360" w:hanging="360"/>
        <w:jc w:val="both"/>
        <w:rPr>
          <w:rFonts w:ascii="Book Antiqua" w:hAnsi="Book Antiqua"/>
          <w:lang w:val="es-ES_tradnl"/>
        </w:rPr>
      </w:pPr>
    </w:p>
    <w:p w14:paraId="004CCAF2" w14:textId="77777777" w:rsidR="006A68A1" w:rsidRDefault="006A68A1" w:rsidP="006A68A1">
      <w:pPr>
        <w:jc w:val="center"/>
        <w:rPr>
          <w:rFonts w:ascii="Book Antiqua" w:hAnsi="Book Antiqua"/>
          <w:lang w:val="es-ES_tradnl"/>
        </w:rPr>
      </w:pPr>
      <w:r>
        <w:rPr>
          <w:rFonts w:ascii="Book Antiqua" w:hAnsi="Book Antiqua"/>
          <w:lang w:val="es-ES_tradnl"/>
        </w:rPr>
        <w:t>EXPOSICIÓN DE MOTIVOS</w:t>
      </w:r>
    </w:p>
    <w:p w14:paraId="1D124F34" w14:textId="77777777" w:rsidR="006A68A1" w:rsidRDefault="006A68A1" w:rsidP="006A68A1">
      <w:pPr>
        <w:ind w:firstLine="360"/>
        <w:jc w:val="center"/>
        <w:rPr>
          <w:rFonts w:ascii="Book Antiqua" w:hAnsi="Book Antiqua"/>
          <w:lang w:val="es-ES_tradnl"/>
        </w:rPr>
      </w:pPr>
    </w:p>
    <w:p w14:paraId="254C03A5" w14:textId="082319AE" w:rsidR="00E8062D" w:rsidRDefault="00E8062D" w:rsidP="00BF2930">
      <w:pPr>
        <w:ind w:firstLine="360"/>
        <w:jc w:val="both"/>
        <w:rPr>
          <w:rFonts w:ascii="Book Antiqua" w:hAnsi="Book Antiqua"/>
          <w:lang w:val="es-ES_tradnl"/>
        </w:rPr>
      </w:pPr>
      <w:r>
        <w:rPr>
          <w:rFonts w:ascii="Book Antiqua" w:hAnsi="Book Antiqua"/>
          <w:lang w:val="es-ES_tradnl"/>
        </w:rPr>
        <w:t xml:space="preserve">Desde el año 2020, existe una regla que impide a los puertorriqueños </w:t>
      </w:r>
      <w:r w:rsidR="00EF7291">
        <w:rPr>
          <w:rFonts w:ascii="Book Antiqua" w:hAnsi="Book Antiqua"/>
          <w:lang w:val="es-ES_tradnl"/>
        </w:rPr>
        <w:t xml:space="preserve">y puertorriqueñas </w:t>
      </w:r>
      <w:r>
        <w:rPr>
          <w:rFonts w:ascii="Book Antiqua" w:hAnsi="Book Antiqua"/>
          <w:lang w:val="es-ES_tradnl"/>
        </w:rPr>
        <w:t xml:space="preserve">por nacimiento o descendencia, pertenecer al equipo nacional de </w:t>
      </w:r>
      <w:r w:rsidR="00EF7291">
        <w:rPr>
          <w:rFonts w:ascii="Book Antiqua" w:hAnsi="Book Antiqua"/>
          <w:lang w:val="es-ES_tradnl"/>
        </w:rPr>
        <w:t xml:space="preserve">voleibol de </w:t>
      </w:r>
      <w:r>
        <w:rPr>
          <w:rFonts w:ascii="Book Antiqua" w:hAnsi="Book Antiqua"/>
          <w:lang w:val="es-ES_tradnl"/>
        </w:rPr>
        <w:t xml:space="preserve">Puerto Rico si </w:t>
      </w:r>
      <w:r w:rsidR="00E60853">
        <w:rPr>
          <w:rFonts w:ascii="Book Antiqua" w:hAnsi="Book Antiqua"/>
          <w:lang w:val="es-ES_tradnl"/>
        </w:rPr>
        <w:t>viven o juegan</w:t>
      </w:r>
      <w:r w:rsidR="00EF7291">
        <w:rPr>
          <w:rFonts w:ascii="Book Antiqua" w:hAnsi="Book Antiqua"/>
          <w:lang w:val="es-ES_tradnl"/>
        </w:rPr>
        <w:t xml:space="preserve"> ese deporte </w:t>
      </w:r>
      <w:r>
        <w:rPr>
          <w:rFonts w:ascii="Book Antiqua" w:hAnsi="Book Antiqua"/>
          <w:lang w:val="es-ES_tradnl"/>
        </w:rPr>
        <w:t>en otro país. Según la Regla 2.4.1. del Reglamento de la Federación Internacional de Voleibol (</w:t>
      </w:r>
      <w:r w:rsidR="00F377CE">
        <w:rPr>
          <w:rFonts w:ascii="Book Antiqua" w:hAnsi="Book Antiqua"/>
          <w:lang w:val="es-ES_tradnl"/>
        </w:rPr>
        <w:t>en adelante,</w:t>
      </w:r>
      <w:r w:rsidR="00745747">
        <w:rPr>
          <w:rFonts w:ascii="Book Antiqua" w:hAnsi="Book Antiqua"/>
          <w:lang w:val="es-ES_tradnl"/>
        </w:rPr>
        <w:t xml:space="preserve"> </w:t>
      </w:r>
      <w:r>
        <w:rPr>
          <w:rFonts w:ascii="Book Antiqua" w:hAnsi="Book Antiqua"/>
          <w:lang w:val="es-ES_tradnl"/>
        </w:rPr>
        <w:t xml:space="preserve">FIVB), la ciudadanía deportiva de todo jugador o jugadora le pertenece a la Federación Nacional </w:t>
      </w:r>
      <w:r w:rsidR="00EF7291">
        <w:rPr>
          <w:rFonts w:ascii="Book Antiqua" w:hAnsi="Book Antiqua"/>
          <w:lang w:val="es-ES_tradnl"/>
        </w:rPr>
        <w:t xml:space="preserve">(federación de origen) </w:t>
      </w:r>
      <w:r>
        <w:rPr>
          <w:rFonts w:ascii="Book Antiqua" w:hAnsi="Book Antiqua"/>
          <w:lang w:val="es-ES_tradnl"/>
        </w:rPr>
        <w:t>a la que pertenece el club, equipo o escuela en que se registró</w:t>
      </w:r>
      <w:r w:rsidR="00EF7291">
        <w:rPr>
          <w:rFonts w:ascii="Book Antiqua" w:hAnsi="Book Antiqua"/>
          <w:lang w:val="es-ES_tradnl"/>
        </w:rPr>
        <w:t xml:space="preserve"> o participaba</w:t>
      </w:r>
      <w:r>
        <w:rPr>
          <w:rFonts w:ascii="Book Antiqua" w:hAnsi="Book Antiqua"/>
          <w:lang w:val="es-ES_tradnl"/>
        </w:rPr>
        <w:t xml:space="preserve"> a partir de los 14 años de edad.</w:t>
      </w:r>
      <w:r w:rsidR="00BF2930">
        <w:rPr>
          <w:rFonts w:ascii="Book Antiqua" w:hAnsi="Book Antiqua"/>
          <w:lang w:val="es-ES_tradnl"/>
        </w:rPr>
        <w:t xml:space="preserve"> </w:t>
      </w:r>
      <w:r>
        <w:rPr>
          <w:rFonts w:ascii="Book Antiqua" w:hAnsi="Book Antiqua"/>
          <w:lang w:val="es-ES_tradnl"/>
        </w:rPr>
        <w:t xml:space="preserve">Esto significa que </w:t>
      </w:r>
      <w:r w:rsidR="00EF7291">
        <w:rPr>
          <w:rFonts w:ascii="Book Antiqua" w:hAnsi="Book Antiqua"/>
          <w:lang w:val="es-ES_tradnl"/>
        </w:rPr>
        <w:t xml:space="preserve">a la niñez nacida en Puerto Rico o de padres puertorriqueños obligados a migrar a los Estados Unidos por </w:t>
      </w:r>
      <w:r w:rsidR="00E60853">
        <w:rPr>
          <w:rFonts w:ascii="Book Antiqua" w:hAnsi="Book Antiqua"/>
          <w:lang w:val="es-ES_tradnl"/>
        </w:rPr>
        <w:t>diversas razones</w:t>
      </w:r>
      <w:r w:rsidR="00EF7291">
        <w:rPr>
          <w:rFonts w:ascii="Book Antiqua" w:hAnsi="Book Antiqua"/>
          <w:lang w:val="es-ES_tradnl"/>
        </w:rPr>
        <w:t xml:space="preserve">, se le impone una filiación permanente a la federación nacional estadounidense. </w:t>
      </w:r>
      <w:r w:rsidR="00BF2930">
        <w:rPr>
          <w:rFonts w:ascii="Book Antiqua" w:hAnsi="Book Antiqua"/>
          <w:lang w:val="es-ES_tradnl"/>
        </w:rPr>
        <w:t>Solamente</w:t>
      </w:r>
      <w:r w:rsidR="00FB59B7">
        <w:rPr>
          <w:rFonts w:ascii="Book Antiqua" w:hAnsi="Book Antiqua"/>
          <w:lang w:val="es-ES_tradnl"/>
        </w:rPr>
        <w:t xml:space="preserve"> </w:t>
      </w:r>
      <w:r w:rsidR="00BF2930">
        <w:rPr>
          <w:rFonts w:ascii="Book Antiqua" w:hAnsi="Book Antiqua"/>
          <w:lang w:val="es-ES_tradnl"/>
        </w:rPr>
        <w:t xml:space="preserve">podrían representar a Puerto Rico si reciben la autorización de la FIVB tras completar un procedimiento muy costoso y oneroso. </w:t>
      </w:r>
    </w:p>
    <w:p w14:paraId="2B96FE71" w14:textId="77777777" w:rsidR="00BB02FD" w:rsidRDefault="00BB02FD" w:rsidP="00BF2930">
      <w:pPr>
        <w:ind w:firstLine="360"/>
        <w:jc w:val="both"/>
        <w:rPr>
          <w:rFonts w:ascii="Book Antiqua" w:hAnsi="Book Antiqua"/>
          <w:lang w:val="es-ES_tradnl"/>
        </w:rPr>
      </w:pPr>
    </w:p>
    <w:p w14:paraId="6821FB33" w14:textId="0C39F9CB" w:rsidR="00FB1FBA" w:rsidRDefault="00BF2930" w:rsidP="00FB1FBA">
      <w:pPr>
        <w:ind w:firstLine="360"/>
        <w:jc w:val="both"/>
        <w:rPr>
          <w:rFonts w:ascii="Book Antiqua" w:hAnsi="Book Antiqua"/>
          <w:lang w:val="es-ES_tradnl"/>
        </w:rPr>
      </w:pPr>
      <w:r>
        <w:rPr>
          <w:rFonts w:ascii="Book Antiqua" w:hAnsi="Book Antiqua"/>
          <w:lang w:val="es-ES_tradnl"/>
        </w:rPr>
        <w:t xml:space="preserve">La Federación Puertorriqueña de Voleibol </w:t>
      </w:r>
      <w:r w:rsidR="00F377CE">
        <w:rPr>
          <w:rFonts w:ascii="Book Antiqua" w:hAnsi="Book Antiqua"/>
          <w:lang w:val="es-ES_tradnl"/>
        </w:rPr>
        <w:t xml:space="preserve">(en adelante, FPV) </w:t>
      </w:r>
      <w:r>
        <w:rPr>
          <w:rFonts w:ascii="Book Antiqua" w:hAnsi="Book Antiqua"/>
          <w:lang w:val="es-ES_tradnl"/>
        </w:rPr>
        <w:t xml:space="preserve">ha </w:t>
      </w:r>
      <w:r w:rsidR="00E60853">
        <w:rPr>
          <w:rFonts w:ascii="Book Antiqua" w:hAnsi="Book Antiqua"/>
          <w:lang w:val="es-ES_tradnl"/>
        </w:rPr>
        <w:t>planteado</w:t>
      </w:r>
      <w:r>
        <w:rPr>
          <w:rFonts w:ascii="Book Antiqua" w:hAnsi="Book Antiqua"/>
          <w:lang w:val="es-ES_tradnl"/>
        </w:rPr>
        <w:t xml:space="preserve"> en varias ocasiones </w:t>
      </w:r>
      <w:r w:rsidR="00FB59B7">
        <w:rPr>
          <w:rFonts w:ascii="Book Antiqua" w:hAnsi="Book Antiqua"/>
          <w:lang w:val="es-ES_tradnl"/>
        </w:rPr>
        <w:t xml:space="preserve">el impacto diferenciado que dicha regla tiene en Puerto Rico. </w:t>
      </w:r>
      <w:r w:rsidR="00745747">
        <w:rPr>
          <w:rFonts w:ascii="Book Antiqua" w:hAnsi="Book Antiqua"/>
          <w:lang w:val="es-ES_tradnl"/>
        </w:rPr>
        <w:t xml:space="preserve">Situaciones como </w:t>
      </w:r>
      <w:r w:rsidR="00745747">
        <w:rPr>
          <w:rFonts w:ascii="Book Antiqua" w:hAnsi="Book Antiqua"/>
          <w:lang w:val="es-ES_tradnl"/>
        </w:rPr>
        <w:lastRenderedPageBreak/>
        <w:t>la de Puerto Rico en que</w:t>
      </w:r>
      <w:r w:rsidR="00E60853">
        <w:rPr>
          <w:rFonts w:ascii="Book Antiqua" w:hAnsi="Book Antiqua"/>
          <w:lang w:val="es-ES_tradnl"/>
        </w:rPr>
        <w:t>, dada la situación socio-política existente, sus nativos tienen el mismo pasaporte que</w:t>
      </w:r>
      <w:r w:rsidR="00745747">
        <w:rPr>
          <w:rFonts w:ascii="Book Antiqua" w:hAnsi="Book Antiqua"/>
          <w:lang w:val="es-ES_tradnl"/>
        </w:rPr>
        <w:t xml:space="preserve"> </w:t>
      </w:r>
      <w:r w:rsidR="00E60853">
        <w:rPr>
          <w:rFonts w:ascii="Book Antiqua" w:hAnsi="Book Antiqua"/>
          <w:lang w:val="es-ES_tradnl"/>
        </w:rPr>
        <w:t>los de</w:t>
      </w:r>
      <w:r w:rsidR="00745747">
        <w:rPr>
          <w:rFonts w:ascii="Book Antiqua" w:hAnsi="Book Antiqua"/>
          <w:lang w:val="es-ES_tradnl"/>
        </w:rPr>
        <w:t xml:space="preserve"> Estados Unidos y existe</w:t>
      </w:r>
      <w:r w:rsidR="009C4376">
        <w:rPr>
          <w:rFonts w:ascii="Book Antiqua" w:hAnsi="Book Antiqua"/>
          <w:lang w:val="es-ES_tradnl"/>
        </w:rPr>
        <w:t xml:space="preserve"> </w:t>
      </w:r>
      <w:r w:rsidR="00745747">
        <w:rPr>
          <w:rFonts w:ascii="Book Antiqua" w:hAnsi="Book Antiqua"/>
          <w:lang w:val="es-ES_tradnl"/>
        </w:rPr>
        <w:t>un</w:t>
      </w:r>
      <w:r w:rsidR="009C4376">
        <w:rPr>
          <w:rFonts w:ascii="Book Antiqua" w:hAnsi="Book Antiqua"/>
          <w:lang w:val="es-ES_tradnl"/>
        </w:rPr>
        <w:t xml:space="preserve"> flujo natural migratorio</w:t>
      </w:r>
      <w:r w:rsidR="00745747">
        <w:rPr>
          <w:rFonts w:ascii="Book Antiqua" w:hAnsi="Book Antiqua"/>
          <w:lang w:val="es-ES_tradnl"/>
        </w:rPr>
        <w:t xml:space="preserve"> entre ambos lugares</w:t>
      </w:r>
      <w:r w:rsidR="00E60853">
        <w:rPr>
          <w:rFonts w:ascii="Book Antiqua" w:hAnsi="Book Antiqua"/>
          <w:lang w:val="es-ES_tradnl"/>
        </w:rPr>
        <w:t>,</w:t>
      </w:r>
      <w:r w:rsidR="009C4376">
        <w:rPr>
          <w:rFonts w:ascii="Book Antiqua" w:hAnsi="Book Antiqua"/>
          <w:lang w:val="es-ES_tradnl"/>
        </w:rPr>
        <w:t xml:space="preserve"> resulta en una</w:t>
      </w:r>
      <w:r>
        <w:rPr>
          <w:rFonts w:ascii="Book Antiqua" w:hAnsi="Book Antiqua"/>
          <w:lang w:val="es-ES_tradnl"/>
        </w:rPr>
        <w:t xml:space="preserve"> desventaja </w:t>
      </w:r>
      <w:r w:rsidR="009C4376">
        <w:rPr>
          <w:rFonts w:ascii="Book Antiqua" w:hAnsi="Book Antiqua"/>
          <w:lang w:val="es-ES_tradnl"/>
        </w:rPr>
        <w:t xml:space="preserve">competitiva </w:t>
      </w:r>
      <w:r>
        <w:rPr>
          <w:rFonts w:ascii="Book Antiqua" w:hAnsi="Book Antiqua"/>
          <w:lang w:val="es-ES_tradnl"/>
        </w:rPr>
        <w:t>adicional</w:t>
      </w:r>
      <w:r w:rsidR="009C4376">
        <w:rPr>
          <w:rFonts w:ascii="Book Antiqua" w:hAnsi="Book Antiqua"/>
          <w:lang w:val="es-ES_tradnl"/>
        </w:rPr>
        <w:t xml:space="preserve"> para</w:t>
      </w:r>
      <w:r w:rsidR="00455AA7">
        <w:rPr>
          <w:rFonts w:ascii="Book Antiqua" w:hAnsi="Book Antiqua"/>
          <w:lang w:val="es-ES_tradnl"/>
        </w:rPr>
        <w:t xml:space="preserve"> la Isla</w:t>
      </w:r>
      <w:r w:rsidR="009C4376">
        <w:rPr>
          <w:rFonts w:ascii="Book Antiqua" w:hAnsi="Book Antiqua"/>
          <w:lang w:val="es-ES_tradnl"/>
        </w:rPr>
        <w:t>.</w:t>
      </w:r>
      <w:r w:rsidR="00F377CE">
        <w:rPr>
          <w:rFonts w:ascii="Book Antiqua" w:hAnsi="Book Antiqua"/>
          <w:lang w:val="es-ES_tradnl"/>
        </w:rPr>
        <w:t xml:space="preserve"> </w:t>
      </w:r>
      <w:r w:rsidR="00745747">
        <w:rPr>
          <w:rFonts w:ascii="Book Antiqua" w:hAnsi="Book Antiqua"/>
          <w:lang w:val="es-ES_tradnl"/>
        </w:rPr>
        <w:t>La FPV</w:t>
      </w:r>
      <w:r w:rsidR="00FB1FBA">
        <w:rPr>
          <w:rFonts w:ascii="Book Antiqua" w:hAnsi="Book Antiqua"/>
          <w:lang w:val="es-ES_tradnl"/>
        </w:rPr>
        <w:t xml:space="preserve"> pone de ejemplo el caso de la jugadora Nayelis Cabello Cuebas, quien en el año 2021 cuando tenía 16 años de edad, fue bajada del avión que la trasladaría para jugar con la Selección Sub-17 de Puerto Rico tras serle notificada a última hora que era inelegible para representar a la isla; su ciudadanía deportiva le pertenecía a la federación de voleibol estadounidense por haber participado en un torneo de voleibol en la ciudad de Orlando, Florida. </w:t>
      </w:r>
    </w:p>
    <w:p w14:paraId="70364577" w14:textId="77777777" w:rsidR="00BB02FD" w:rsidRDefault="00BB02FD" w:rsidP="00FB1FBA">
      <w:pPr>
        <w:ind w:firstLine="360"/>
        <w:jc w:val="both"/>
        <w:rPr>
          <w:rFonts w:ascii="Book Antiqua" w:hAnsi="Book Antiqua"/>
          <w:lang w:val="es-ES_tradnl"/>
        </w:rPr>
      </w:pPr>
    </w:p>
    <w:p w14:paraId="4275A0B2" w14:textId="7967DCFC" w:rsidR="00455AA7" w:rsidRDefault="00FB1FBA" w:rsidP="00455AA7">
      <w:pPr>
        <w:ind w:firstLine="360"/>
        <w:jc w:val="both"/>
        <w:rPr>
          <w:rFonts w:ascii="Book Antiqua" w:hAnsi="Book Antiqua"/>
          <w:lang w:val="es-ES_tradnl"/>
        </w:rPr>
      </w:pPr>
      <w:r>
        <w:rPr>
          <w:rFonts w:ascii="Book Antiqua" w:hAnsi="Book Antiqua"/>
          <w:lang w:val="es-ES_tradnl"/>
        </w:rPr>
        <w:t xml:space="preserve">Según la FPV, </w:t>
      </w:r>
      <w:r w:rsidR="00455AA7">
        <w:rPr>
          <w:rFonts w:ascii="Book Antiqua" w:hAnsi="Book Antiqua"/>
          <w:lang w:val="es-ES_tradnl"/>
        </w:rPr>
        <w:t>la situación de Nayelis no es aislada.</w:t>
      </w:r>
      <w:r w:rsidR="00745747">
        <w:rPr>
          <w:rFonts w:ascii="Book Antiqua" w:hAnsi="Book Antiqua"/>
          <w:lang w:val="es-ES_tradnl"/>
        </w:rPr>
        <w:t xml:space="preserve"> </w:t>
      </w:r>
      <w:r w:rsidR="00455AA7">
        <w:rPr>
          <w:rFonts w:ascii="Book Antiqua" w:hAnsi="Book Antiqua"/>
          <w:lang w:val="es-ES_tradnl"/>
        </w:rPr>
        <w:t>C</w:t>
      </w:r>
      <w:r w:rsidR="00F377CE">
        <w:rPr>
          <w:rFonts w:ascii="Book Antiqua" w:hAnsi="Book Antiqua"/>
          <w:lang w:val="es-ES_tradnl"/>
        </w:rPr>
        <w:t>ientos de j</w:t>
      </w:r>
      <w:r w:rsidR="009C4376">
        <w:rPr>
          <w:rFonts w:ascii="Book Antiqua" w:hAnsi="Book Antiqua"/>
          <w:lang w:val="es-ES_tradnl"/>
        </w:rPr>
        <w:t xml:space="preserve">ugadores </w:t>
      </w:r>
      <w:r w:rsidR="00455AA7">
        <w:rPr>
          <w:rFonts w:ascii="Book Antiqua" w:hAnsi="Book Antiqua"/>
          <w:lang w:val="es-ES_tradnl"/>
        </w:rPr>
        <w:t>y</w:t>
      </w:r>
      <w:r w:rsidR="009C4376">
        <w:rPr>
          <w:rFonts w:ascii="Book Antiqua" w:hAnsi="Book Antiqua"/>
          <w:lang w:val="es-ES_tradnl"/>
        </w:rPr>
        <w:t xml:space="preserve"> jugadoras puertorriqueñas </w:t>
      </w:r>
      <w:r w:rsidR="00747A09">
        <w:rPr>
          <w:rFonts w:ascii="Book Antiqua" w:hAnsi="Book Antiqua"/>
          <w:lang w:val="es-ES_tradnl"/>
        </w:rPr>
        <w:t>que residen</w:t>
      </w:r>
      <w:r w:rsidR="00F377CE">
        <w:rPr>
          <w:rFonts w:ascii="Book Antiqua" w:hAnsi="Book Antiqua"/>
          <w:lang w:val="es-ES_tradnl"/>
        </w:rPr>
        <w:t xml:space="preserve"> en Estados Unidos </w:t>
      </w:r>
      <w:r w:rsidR="009C4376">
        <w:rPr>
          <w:rFonts w:ascii="Book Antiqua" w:hAnsi="Book Antiqua"/>
          <w:lang w:val="es-ES_tradnl"/>
        </w:rPr>
        <w:t>desearían solamente representar a Puerto Rico</w:t>
      </w:r>
      <w:r w:rsidR="00745747">
        <w:rPr>
          <w:rFonts w:ascii="Book Antiqua" w:hAnsi="Book Antiqua"/>
          <w:lang w:val="es-ES_tradnl"/>
        </w:rPr>
        <w:t>,</w:t>
      </w:r>
      <w:r w:rsidR="009C4376">
        <w:rPr>
          <w:rFonts w:ascii="Book Antiqua" w:hAnsi="Book Antiqua"/>
          <w:lang w:val="es-ES_tradnl"/>
        </w:rPr>
        <w:t xml:space="preserve"> </w:t>
      </w:r>
      <w:r w:rsidR="00F377CE">
        <w:rPr>
          <w:rFonts w:ascii="Book Antiqua" w:hAnsi="Book Antiqua"/>
          <w:lang w:val="es-ES_tradnl"/>
        </w:rPr>
        <w:t xml:space="preserve">pero </w:t>
      </w:r>
      <w:r w:rsidR="009C4376">
        <w:rPr>
          <w:rFonts w:ascii="Book Antiqua" w:hAnsi="Book Antiqua"/>
          <w:lang w:val="es-ES_tradnl"/>
        </w:rPr>
        <w:t>no podrían hacerlo</w:t>
      </w:r>
      <w:r w:rsidR="00F377CE">
        <w:rPr>
          <w:rFonts w:ascii="Book Antiqua" w:hAnsi="Book Antiqua"/>
          <w:lang w:val="es-ES_tradnl"/>
        </w:rPr>
        <w:t xml:space="preserve"> bajo la normativa actual de la FIVB</w:t>
      </w:r>
      <w:r>
        <w:rPr>
          <w:rFonts w:ascii="Book Antiqua" w:hAnsi="Book Antiqua"/>
          <w:lang w:val="es-ES_tradnl"/>
        </w:rPr>
        <w:t>,</w:t>
      </w:r>
      <w:r w:rsidR="00F377CE">
        <w:rPr>
          <w:rFonts w:ascii="Book Antiqua" w:hAnsi="Book Antiqua"/>
          <w:lang w:val="es-ES_tradnl"/>
        </w:rPr>
        <w:t xml:space="preserve"> aún si la federación de Estados Unidos no tiene interés en convocarles para su selección nacional. </w:t>
      </w:r>
      <w:r w:rsidR="00455AA7">
        <w:rPr>
          <w:rFonts w:ascii="Book Antiqua" w:hAnsi="Book Antiqua"/>
          <w:lang w:val="es-ES_tradnl"/>
        </w:rPr>
        <w:t>Ante la situación particular de Puerto Rico, l</w:t>
      </w:r>
      <w:r w:rsidR="00E22D90">
        <w:rPr>
          <w:rFonts w:ascii="Book Antiqua" w:hAnsi="Book Antiqua"/>
          <w:lang w:val="es-ES_tradnl"/>
        </w:rPr>
        <w:t>a FPV inició gestiones ante la FIVB en busca de</w:t>
      </w:r>
      <w:r w:rsidR="000D3F21">
        <w:rPr>
          <w:rFonts w:ascii="Book Antiqua" w:hAnsi="Book Antiqua"/>
          <w:lang w:val="es-ES_tradnl"/>
        </w:rPr>
        <w:t xml:space="preserve"> la</w:t>
      </w:r>
      <w:r w:rsidR="00E22D90">
        <w:rPr>
          <w:rFonts w:ascii="Book Antiqua" w:hAnsi="Book Antiqua"/>
          <w:lang w:val="es-ES_tradnl"/>
        </w:rPr>
        <w:t xml:space="preserve"> creación de una regla especial </w:t>
      </w:r>
      <w:r w:rsidR="00455AA7">
        <w:rPr>
          <w:rFonts w:ascii="Book Antiqua" w:hAnsi="Book Antiqua"/>
          <w:lang w:val="es-ES_tradnl"/>
        </w:rPr>
        <w:t>para</w:t>
      </w:r>
      <w:r w:rsidR="00E22D90">
        <w:rPr>
          <w:rFonts w:ascii="Book Antiqua" w:hAnsi="Book Antiqua"/>
          <w:lang w:val="es-ES_tradnl"/>
        </w:rPr>
        <w:t xml:space="preserve"> situaciones como la de Puerto Rico.</w:t>
      </w:r>
    </w:p>
    <w:p w14:paraId="1AF3807C" w14:textId="77777777" w:rsidR="00BB02FD" w:rsidRDefault="00BB02FD" w:rsidP="00455AA7">
      <w:pPr>
        <w:ind w:firstLine="360"/>
        <w:jc w:val="both"/>
        <w:rPr>
          <w:rFonts w:ascii="Book Antiqua" w:hAnsi="Book Antiqua"/>
          <w:lang w:val="es-ES_tradnl"/>
        </w:rPr>
      </w:pPr>
    </w:p>
    <w:p w14:paraId="611539C2" w14:textId="547C3556" w:rsidR="006A68A1" w:rsidRDefault="002228D3" w:rsidP="005905A9">
      <w:pPr>
        <w:ind w:firstLine="360"/>
        <w:jc w:val="both"/>
        <w:rPr>
          <w:rFonts w:ascii="Book Antiqua" w:hAnsi="Book Antiqua"/>
          <w:lang w:val="es-ES_tradnl"/>
        </w:rPr>
      </w:pPr>
      <w:r>
        <w:rPr>
          <w:rFonts w:ascii="Book Antiqua" w:hAnsi="Book Antiqua"/>
          <w:lang w:val="es-ES_tradnl"/>
        </w:rPr>
        <w:t xml:space="preserve">Representar a Puerto Rico en competencias internacionales ha sido y es un honor y motivo de orgullo para </w:t>
      </w:r>
      <w:r w:rsidR="00194C7F">
        <w:rPr>
          <w:rFonts w:ascii="Book Antiqua" w:hAnsi="Book Antiqua"/>
          <w:lang w:val="es-ES_tradnl"/>
        </w:rPr>
        <w:t>los</w:t>
      </w:r>
      <w:r>
        <w:rPr>
          <w:rFonts w:ascii="Book Antiqua" w:hAnsi="Book Antiqua"/>
          <w:lang w:val="es-ES_tradnl"/>
        </w:rPr>
        <w:t xml:space="preserve"> puertorriqueño</w:t>
      </w:r>
      <w:r w:rsidR="00194C7F">
        <w:rPr>
          <w:rFonts w:ascii="Book Antiqua" w:hAnsi="Book Antiqua"/>
          <w:lang w:val="es-ES_tradnl"/>
        </w:rPr>
        <w:t xml:space="preserve">s </w:t>
      </w:r>
      <w:r>
        <w:rPr>
          <w:rFonts w:ascii="Book Antiqua" w:hAnsi="Book Antiqua"/>
          <w:lang w:val="es-ES_tradnl"/>
        </w:rPr>
        <w:t>y puertorriqueña</w:t>
      </w:r>
      <w:r w:rsidR="00194C7F">
        <w:rPr>
          <w:rFonts w:ascii="Book Antiqua" w:hAnsi="Book Antiqua"/>
          <w:lang w:val="es-ES_tradnl"/>
        </w:rPr>
        <w:t>s</w:t>
      </w:r>
      <w:r w:rsidR="00747A09">
        <w:rPr>
          <w:rFonts w:ascii="Book Antiqua" w:hAnsi="Book Antiqua"/>
          <w:lang w:val="es-ES_tradnl"/>
        </w:rPr>
        <w:t xml:space="preserve"> desde distintas disciplinas deportivas</w:t>
      </w:r>
      <w:r>
        <w:rPr>
          <w:rFonts w:ascii="Book Antiqua" w:hAnsi="Book Antiqua"/>
          <w:lang w:val="es-ES_tradnl"/>
        </w:rPr>
        <w:t>.</w:t>
      </w:r>
      <w:r w:rsidR="00747A09">
        <w:rPr>
          <w:rFonts w:ascii="Book Antiqua" w:hAnsi="Book Antiqua"/>
          <w:lang w:val="es-ES_tradnl"/>
        </w:rPr>
        <w:t xml:space="preserve"> </w:t>
      </w:r>
      <w:r w:rsidR="00501AA2">
        <w:rPr>
          <w:rFonts w:ascii="Book Antiqua" w:hAnsi="Book Antiqua"/>
          <w:lang w:val="es-ES_tradnl"/>
        </w:rPr>
        <w:t>El deporte del voleibol no debería ser la excepción.</w:t>
      </w:r>
      <w:r>
        <w:rPr>
          <w:rFonts w:ascii="Book Antiqua" w:hAnsi="Book Antiqua"/>
          <w:lang w:val="es-ES_tradnl"/>
        </w:rPr>
        <w:t xml:space="preserve"> </w:t>
      </w:r>
      <w:r w:rsidR="000D3F21">
        <w:rPr>
          <w:rFonts w:ascii="Book Antiqua" w:hAnsi="Book Antiqua"/>
          <w:lang w:val="es-ES_tradnl"/>
        </w:rPr>
        <w:t>L</w:t>
      </w:r>
      <w:r w:rsidR="00E22D90">
        <w:rPr>
          <w:rFonts w:ascii="Book Antiqua" w:hAnsi="Book Antiqua"/>
          <w:lang w:val="es-ES_tradnl"/>
        </w:rPr>
        <w:t xml:space="preserve">a Asamblea Legislativa se solidariza </w:t>
      </w:r>
      <w:r w:rsidR="000D3F21">
        <w:rPr>
          <w:rFonts w:ascii="Book Antiqua" w:hAnsi="Book Antiqua"/>
          <w:lang w:val="es-ES_tradnl"/>
        </w:rPr>
        <w:t>con</w:t>
      </w:r>
      <w:r w:rsidR="00E22D90">
        <w:rPr>
          <w:rFonts w:ascii="Book Antiqua" w:hAnsi="Book Antiqua"/>
          <w:lang w:val="es-ES_tradnl"/>
        </w:rPr>
        <w:t xml:space="preserve"> las jugadoras y jugadores </w:t>
      </w:r>
      <w:r w:rsidR="00194C7F">
        <w:rPr>
          <w:rFonts w:ascii="Book Antiqua" w:hAnsi="Book Antiqua"/>
          <w:lang w:val="es-ES_tradnl"/>
        </w:rPr>
        <w:t xml:space="preserve">de voleibol que no han podido hacerlo bajo la normativa actual de la FIVB. También, expresa </w:t>
      </w:r>
      <w:bookmarkStart w:id="0" w:name="_Hlk190875385"/>
      <w:r w:rsidR="00194C7F">
        <w:rPr>
          <w:rFonts w:ascii="Book Antiqua" w:hAnsi="Book Antiqua"/>
          <w:lang w:val="es-ES_tradnl"/>
        </w:rPr>
        <w:t xml:space="preserve">su apoyo a las gestiones de la FPV </w:t>
      </w:r>
      <w:r w:rsidR="002E7F54">
        <w:rPr>
          <w:rFonts w:ascii="Book Antiqua" w:hAnsi="Book Antiqua"/>
          <w:lang w:val="es-ES_tradnl"/>
        </w:rPr>
        <w:t xml:space="preserve">que busca visibilizar la situación particular de los jugadores puertorriqueños para lograr </w:t>
      </w:r>
      <w:r w:rsidR="005905A9">
        <w:rPr>
          <w:rFonts w:ascii="Book Antiqua" w:hAnsi="Book Antiqua"/>
          <w:lang w:val="es-ES_tradnl"/>
        </w:rPr>
        <w:t>una solución que atienda la desventaja competitiva adicional que supone para Puerto Rico la actual regla de ciudadanía deportiva en el voleibol.</w:t>
      </w:r>
      <w:bookmarkEnd w:id="0"/>
      <w:r w:rsidR="005905A9">
        <w:rPr>
          <w:rFonts w:ascii="Book Antiqua" w:hAnsi="Book Antiqua"/>
          <w:lang w:val="es-ES_tradnl"/>
        </w:rPr>
        <w:t xml:space="preserve"> </w:t>
      </w:r>
    </w:p>
    <w:p w14:paraId="1EE968CA" w14:textId="77777777" w:rsidR="006A68A1" w:rsidRDefault="006A68A1" w:rsidP="006A68A1">
      <w:pPr>
        <w:ind w:firstLine="360"/>
        <w:jc w:val="both"/>
        <w:rPr>
          <w:rFonts w:ascii="Book Antiqua" w:hAnsi="Book Antiqua"/>
          <w:lang w:val="es-ES_tradnl"/>
        </w:rPr>
      </w:pPr>
    </w:p>
    <w:p w14:paraId="7B65CA99" w14:textId="77777777" w:rsidR="006A68A1" w:rsidRDefault="006A68A1" w:rsidP="006A68A1">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0B1A38C9" w14:textId="77777777" w:rsidR="006A68A1" w:rsidRDefault="006A68A1" w:rsidP="006A68A1">
      <w:pPr>
        <w:spacing w:line="480" w:lineRule="auto"/>
        <w:jc w:val="both"/>
        <w:rPr>
          <w:rFonts w:ascii="Book Antiqua" w:hAnsi="Book Antiqua"/>
          <w:lang w:val="es-ES_tradnl"/>
        </w:rPr>
        <w:sectPr w:rsidR="006A68A1" w:rsidSect="006A68A1">
          <w:headerReference w:type="default" r:id="rId9"/>
          <w:type w:val="continuous"/>
          <w:pgSz w:w="12240" w:h="15840" w:code="1"/>
          <w:pgMar w:top="1440" w:right="1440" w:bottom="1440" w:left="1440" w:header="720" w:footer="720" w:gutter="0"/>
          <w:cols w:space="720"/>
          <w:titlePg/>
        </w:sectPr>
      </w:pPr>
    </w:p>
    <w:p w14:paraId="08012B66" w14:textId="10DA7198" w:rsidR="006A68A1" w:rsidRPr="00F85A4E" w:rsidRDefault="006A68A1" w:rsidP="006A68A1">
      <w:pPr>
        <w:spacing w:line="480" w:lineRule="auto"/>
        <w:ind w:firstLine="360"/>
        <w:jc w:val="both"/>
        <w:rPr>
          <w:rFonts w:ascii="Book Antiqua" w:hAnsi="Book Antiqua"/>
          <w:lang w:val="es-ES_tradnl"/>
        </w:rPr>
      </w:pPr>
      <w:r>
        <w:rPr>
          <w:rFonts w:ascii="Book Antiqua" w:hAnsi="Book Antiqua"/>
          <w:lang w:val="es-ES_tradnl"/>
        </w:rPr>
        <w:tab/>
      </w:r>
      <w:r w:rsidRPr="00F85A4E">
        <w:rPr>
          <w:rFonts w:ascii="Book Antiqua" w:hAnsi="Book Antiqua"/>
          <w:lang w:val="es-ES_tradnl"/>
        </w:rPr>
        <w:t>Sección 1.</w:t>
      </w:r>
      <w:r>
        <w:rPr>
          <w:rFonts w:ascii="Book Antiqua" w:hAnsi="Book Antiqua"/>
          <w:lang w:val="es-ES_tradnl"/>
        </w:rPr>
        <w:t xml:space="preserve"> –</w:t>
      </w:r>
      <w:r w:rsidRPr="00F85A4E">
        <w:rPr>
          <w:rFonts w:ascii="Book Antiqua" w:hAnsi="Book Antiqua"/>
          <w:lang w:val="es-ES_tradnl"/>
        </w:rPr>
        <w:t xml:space="preserve"> </w:t>
      </w:r>
      <w:r w:rsidR="000F7185">
        <w:rPr>
          <w:rFonts w:ascii="Book Antiqua" w:hAnsi="Book Antiqua"/>
          <w:lang w:val="es-ES_tradnl"/>
        </w:rPr>
        <w:t>La</w:t>
      </w:r>
      <w:r w:rsidRPr="00F85A4E">
        <w:rPr>
          <w:rFonts w:ascii="Book Antiqua" w:hAnsi="Book Antiqua"/>
          <w:lang w:val="es-ES_tradnl"/>
        </w:rPr>
        <w:t xml:space="preserve"> Asamblea Legislativa</w:t>
      </w:r>
      <w:r w:rsidR="000F7185">
        <w:rPr>
          <w:rFonts w:ascii="Book Antiqua" w:hAnsi="Book Antiqua"/>
          <w:lang w:val="es-ES_tradnl"/>
        </w:rPr>
        <w:t xml:space="preserve"> se solidariza con las jugadoras y jugadores de voleibol que no han podido hacer realidad su deseo de representar a Puerto Rico en competencias internacionales por ser inelegibles bajo la</w:t>
      </w:r>
      <w:r w:rsidR="00C326C4">
        <w:rPr>
          <w:rFonts w:ascii="Book Antiqua" w:hAnsi="Book Antiqua"/>
          <w:lang w:val="es-ES_tradnl"/>
        </w:rPr>
        <w:t xml:space="preserve"> actual</w:t>
      </w:r>
      <w:r w:rsidR="000F7185">
        <w:rPr>
          <w:rFonts w:ascii="Book Antiqua" w:hAnsi="Book Antiqua"/>
          <w:lang w:val="es-ES_tradnl"/>
        </w:rPr>
        <w:t xml:space="preserve"> regla de ciudadanía deportiva de la FIVB. </w:t>
      </w:r>
      <w:r w:rsidRPr="00F85A4E">
        <w:rPr>
          <w:rFonts w:ascii="Book Antiqua" w:hAnsi="Book Antiqua"/>
          <w:lang w:val="es-ES_tradnl"/>
        </w:rPr>
        <w:t xml:space="preserve"> </w:t>
      </w:r>
      <w:r w:rsidR="000F7185">
        <w:rPr>
          <w:rFonts w:ascii="Book Antiqua" w:hAnsi="Book Antiqua"/>
          <w:lang w:val="es-ES_tradnl"/>
        </w:rPr>
        <w:t xml:space="preserve">También, expresa su apoyo a las gestiones de la FPV para lograr una solución que atienda la desventaja competitiva adicional que supone para Puerto Rico </w:t>
      </w:r>
      <w:r w:rsidR="00C326C4">
        <w:rPr>
          <w:rFonts w:ascii="Book Antiqua" w:hAnsi="Book Antiqua"/>
          <w:lang w:val="es-ES_tradnl"/>
        </w:rPr>
        <w:t xml:space="preserve">dicha regla. </w:t>
      </w:r>
    </w:p>
    <w:p w14:paraId="2FEA9A42" w14:textId="51C3C8D9" w:rsidR="006A68A1" w:rsidRPr="00F85A4E" w:rsidRDefault="006A68A1" w:rsidP="006A68A1">
      <w:pPr>
        <w:spacing w:line="480" w:lineRule="auto"/>
        <w:ind w:firstLine="360"/>
        <w:jc w:val="both"/>
        <w:rPr>
          <w:rFonts w:ascii="Book Antiqua" w:hAnsi="Book Antiqua"/>
          <w:lang w:val="es-ES_tradnl"/>
        </w:rPr>
      </w:pPr>
      <w:r w:rsidRPr="00F85A4E">
        <w:rPr>
          <w:rFonts w:ascii="Book Antiqua" w:hAnsi="Book Antiqua"/>
          <w:lang w:val="es-ES_tradnl"/>
        </w:rPr>
        <w:lastRenderedPageBreak/>
        <w:t>Sección 2.</w:t>
      </w:r>
      <w:r>
        <w:rPr>
          <w:rFonts w:ascii="Book Antiqua" w:hAnsi="Book Antiqua"/>
          <w:lang w:val="es-ES_tradnl"/>
        </w:rPr>
        <w:t xml:space="preserve"> – </w:t>
      </w:r>
      <w:r w:rsidRPr="00BC4FF8">
        <w:rPr>
          <w:rFonts w:ascii="Book Antiqua" w:hAnsi="Book Antiqua"/>
          <w:lang w:val="es-ES_tradnl"/>
        </w:rPr>
        <w:t xml:space="preserve">Copia de esta Resolución será </w:t>
      </w:r>
      <w:r w:rsidR="00597EFE">
        <w:rPr>
          <w:rFonts w:ascii="Book Antiqua" w:hAnsi="Book Antiqua"/>
          <w:lang w:val="es-ES_tradnl"/>
        </w:rPr>
        <w:t>notificada</w:t>
      </w:r>
      <w:r w:rsidRPr="00BC4FF8">
        <w:rPr>
          <w:rFonts w:ascii="Book Antiqua" w:hAnsi="Book Antiqua"/>
          <w:lang w:val="es-ES_tradnl"/>
        </w:rPr>
        <w:t xml:space="preserve"> a</w:t>
      </w:r>
      <w:r w:rsidR="000A3423">
        <w:rPr>
          <w:rFonts w:ascii="Book Antiqua" w:hAnsi="Book Antiqua"/>
          <w:lang w:val="es-ES_tradnl"/>
        </w:rPr>
        <w:t xml:space="preserve"> la Federación Internacional de Voleib</w:t>
      </w:r>
      <w:r w:rsidR="0029383A">
        <w:rPr>
          <w:rFonts w:ascii="Book Antiqua" w:hAnsi="Book Antiqua"/>
          <w:lang w:val="es-ES_tradnl"/>
        </w:rPr>
        <w:t>o</w:t>
      </w:r>
      <w:r w:rsidR="000A3423">
        <w:rPr>
          <w:rFonts w:ascii="Book Antiqua" w:hAnsi="Book Antiqua"/>
          <w:lang w:val="es-ES_tradnl"/>
        </w:rPr>
        <w:t>l</w:t>
      </w:r>
      <w:r w:rsidR="0029383A">
        <w:rPr>
          <w:rFonts w:ascii="Book Antiqua" w:hAnsi="Book Antiqua"/>
          <w:lang w:val="es-ES_tradnl"/>
        </w:rPr>
        <w:t xml:space="preserve"> (FIVB)</w:t>
      </w:r>
      <w:r w:rsidR="000A3423">
        <w:rPr>
          <w:rFonts w:ascii="Book Antiqua" w:hAnsi="Book Antiqua"/>
          <w:lang w:val="es-ES_tradnl"/>
        </w:rPr>
        <w:t xml:space="preserve">, </w:t>
      </w:r>
      <w:r w:rsidR="0029383A">
        <w:rPr>
          <w:rFonts w:ascii="Book Antiqua" w:hAnsi="Book Antiqua"/>
          <w:lang w:val="es-ES_tradnl"/>
        </w:rPr>
        <w:t xml:space="preserve">Federación Puertorriqueña de Voleibol (FPV), </w:t>
      </w:r>
      <w:r w:rsidR="00E3350E">
        <w:rPr>
          <w:rFonts w:ascii="Book Antiqua" w:hAnsi="Book Antiqua"/>
          <w:lang w:val="es-ES_tradnl"/>
        </w:rPr>
        <w:t>Comité Olímpico de Puerto Rico</w:t>
      </w:r>
      <w:r w:rsidR="00597EFE">
        <w:rPr>
          <w:rFonts w:ascii="Book Antiqua" w:hAnsi="Book Antiqua"/>
          <w:lang w:val="es-ES_tradnl"/>
        </w:rPr>
        <w:t xml:space="preserve"> </w:t>
      </w:r>
      <w:r w:rsidR="00E3350E">
        <w:rPr>
          <w:rFonts w:ascii="Book Antiqua" w:hAnsi="Book Antiqua"/>
          <w:lang w:val="es-ES_tradnl"/>
        </w:rPr>
        <w:t>y al Departamento de Recreación y Deportes de Puerto Rico.</w:t>
      </w:r>
    </w:p>
    <w:p w14:paraId="2552C7ED" w14:textId="017E5170" w:rsidR="0020238A" w:rsidRPr="006A68A1" w:rsidRDefault="006A68A1" w:rsidP="00597EFE">
      <w:pPr>
        <w:spacing w:line="480" w:lineRule="auto"/>
        <w:ind w:firstLine="360"/>
        <w:jc w:val="both"/>
        <w:rPr>
          <w:rFonts w:ascii="Book Antiqua" w:hAnsi="Book Antiqua"/>
          <w:lang w:val="es-PR"/>
        </w:rPr>
      </w:pPr>
      <w:r w:rsidRPr="0020238A">
        <w:rPr>
          <w:rFonts w:ascii="Book Antiqua" w:hAnsi="Book Antiqua"/>
          <w:lang w:val="es-ES_tradnl"/>
        </w:rPr>
        <w:t xml:space="preserve">Sección </w:t>
      </w:r>
      <w:r>
        <w:rPr>
          <w:rFonts w:ascii="Book Antiqua" w:hAnsi="Book Antiqua"/>
          <w:lang w:val="es-ES_tradnl"/>
        </w:rPr>
        <w:t>3</w:t>
      </w:r>
      <w:r w:rsidRPr="0020238A">
        <w:rPr>
          <w:rFonts w:ascii="Book Antiqua" w:hAnsi="Book Antiqua"/>
          <w:lang w:val="es-ES_tradnl"/>
        </w:rPr>
        <w:t>.</w:t>
      </w:r>
      <w:r>
        <w:rPr>
          <w:rFonts w:ascii="Book Antiqua" w:hAnsi="Book Antiqua"/>
          <w:lang w:val="es-ES_tradnl"/>
        </w:rPr>
        <w:t xml:space="preserve"> –</w:t>
      </w:r>
      <w:r w:rsidRPr="0020238A">
        <w:rPr>
          <w:rFonts w:ascii="Book Antiqua" w:hAnsi="Book Antiqua"/>
          <w:lang w:val="es-ES_tradnl"/>
        </w:rPr>
        <w:t xml:space="preserve"> </w:t>
      </w:r>
      <w:r w:rsidRPr="008B5584">
        <w:rPr>
          <w:rFonts w:ascii="Book Antiqua" w:hAnsi="Book Antiqua"/>
          <w:lang w:val="es-ES_tradnl"/>
        </w:rPr>
        <w:t>Esta Resolución comenzará a regir inmediatamente después de su aprobación.</w:t>
      </w:r>
    </w:p>
    <w:sectPr w:rsidR="0020238A" w:rsidRPr="006A68A1" w:rsidSect="0020238A">
      <w:headerReference w:type="defaul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D5F43" w14:textId="77777777" w:rsidR="0016737C" w:rsidRDefault="0016737C">
      <w:r>
        <w:separator/>
      </w:r>
    </w:p>
  </w:endnote>
  <w:endnote w:type="continuationSeparator" w:id="0">
    <w:p w14:paraId="4DB696BA" w14:textId="77777777" w:rsidR="0016737C" w:rsidRDefault="00167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0F281" w14:textId="77777777" w:rsidR="0016737C" w:rsidRDefault="0016737C">
      <w:r>
        <w:separator/>
      </w:r>
    </w:p>
  </w:footnote>
  <w:footnote w:type="continuationSeparator" w:id="0">
    <w:p w14:paraId="70D15252" w14:textId="77777777" w:rsidR="0016737C" w:rsidRDefault="001673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70A84" w14:textId="77777777" w:rsidR="006A68A1" w:rsidRDefault="006A68A1">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E3CF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0B6536">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40202"/>
    <w:multiLevelType w:val="hybridMultilevel"/>
    <w:tmpl w:val="20D2998E"/>
    <w:lvl w:ilvl="0" w:tplc="B4000B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735838"/>
    <w:multiLevelType w:val="hybridMultilevel"/>
    <w:tmpl w:val="69F0AACA"/>
    <w:lvl w:ilvl="0" w:tplc="C86A465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51116781">
    <w:abstractNumId w:val="1"/>
  </w:num>
  <w:num w:numId="2" w16cid:durableId="1504272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238A"/>
    <w:rsid w:val="00011C84"/>
    <w:rsid w:val="00016F63"/>
    <w:rsid w:val="00020BBB"/>
    <w:rsid w:val="00051FF5"/>
    <w:rsid w:val="00056024"/>
    <w:rsid w:val="00095AE1"/>
    <w:rsid w:val="000A3423"/>
    <w:rsid w:val="000A6B6C"/>
    <w:rsid w:val="000B0DBB"/>
    <w:rsid w:val="000B6536"/>
    <w:rsid w:val="000D3F21"/>
    <w:rsid w:val="000D72E7"/>
    <w:rsid w:val="000F7185"/>
    <w:rsid w:val="00111E71"/>
    <w:rsid w:val="00127C6A"/>
    <w:rsid w:val="001363FE"/>
    <w:rsid w:val="001630E6"/>
    <w:rsid w:val="0016737C"/>
    <w:rsid w:val="0017132B"/>
    <w:rsid w:val="0018070E"/>
    <w:rsid w:val="001865A4"/>
    <w:rsid w:val="001909FA"/>
    <w:rsid w:val="00194C7F"/>
    <w:rsid w:val="0019713A"/>
    <w:rsid w:val="001F0A2D"/>
    <w:rsid w:val="001F4CA3"/>
    <w:rsid w:val="001F612A"/>
    <w:rsid w:val="0020238A"/>
    <w:rsid w:val="00211396"/>
    <w:rsid w:val="002228D3"/>
    <w:rsid w:val="00226AE6"/>
    <w:rsid w:val="00245B34"/>
    <w:rsid w:val="00263355"/>
    <w:rsid w:val="00273792"/>
    <w:rsid w:val="00277462"/>
    <w:rsid w:val="0029383A"/>
    <w:rsid w:val="002D4AC8"/>
    <w:rsid w:val="002E7F54"/>
    <w:rsid w:val="00320D78"/>
    <w:rsid w:val="0034217E"/>
    <w:rsid w:val="00356219"/>
    <w:rsid w:val="00380FE5"/>
    <w:rsid w:val="003924DD"/>
    <w:rsid w:val="00394FCB"/>
    <w:rsid w:val="003963F4"/>
    <w:rsid w:val="003B5254"/>
    <w:rsid w:val="003B75A6"/>
    <w:rsid w:val="003C50CE"/>
    <w:rsid w:val="003E0A9F"/>
    <w:rsid w:val="004061CA"/>
    <w:rsid w:val="00415689"/>
    <w:rsid w:val="004440CB"/>
    <w:rsid w:val="00452F32"/>
    <w:rsid w:val="00455960"/>
    <w:rsid w:val="00455AA7"/>
    <w:rsid w:val="004713D2"/>
    <w:rsid w:val="00473ED6"/>
    <w:rsid w:val="004D5B69"/>
    <w:rsid w:val="004E4555"/>
    <w:rsid w:val="00501AA2"/>
    <w:rsid w:val="00503716"/>
    <w:rsid w:val="00521639"/>
    <w:rsid w:val="00532BB7"/>
    <w:rsid w:val="005332E4"/>
    <w:rsid w:val="0053550C"/>
    <w:rsid w:val="00543521"/>
    <w:rsid w:val="005448BA"/>
    <w:rsid w:val="0055229D"/>
    <w:rsid w:val="00555018"/>
    <w:rsid w:val="005723DC"/>
    <w:rsid w:val="005905A9"/>
    <w:rsid w:val="00597EFE"/>
    <w:rsid w:val="005C7189"/>
    <w:rsid w:val="005D64FD"/>
    <w:rsid w:val="006210DC"/>
    <w:rsid w:val="0064349D"/>
    <w:rsid w:val="00667986"/>
    <w:rsid w:val="00685549"/>
    <w:rsid w:val="006A68A1"/>
    <w:rsid w:val="006B5037"/>
    <w:rsid w:val="006B7365"/>
    <w:rsid w:val="006C2D81"/>
    <w:rsid w:val="006C7DF8"/>
    <w:rsid w:val="00717559"/>
    <w:rsid w:val="00733F6F"/>
    <w:rsid w:val="00745747"/>
    <w:rsid w:val="00747A09"/>
    <w:rsid w:val="00750FC8"/>
    <w:rsid w:val="007533D0"/>
    <w:rsid w:val="00755069"/>
    <w:rsid w:val="00781BBE"/>
    <w:rsid w:val="007B0660"/>
    <w:rsid w:val="007C5350"/>
    <w:rsid w:val="007E3868"/>
    <w:rsid w:val="00820C41"/>
    <w:rsid w:val="00850256"/>
    <w:rsid w:val="00853F0D"/>
    <w:rsid w:val="008546E7"/>
    <w:rsid w:val="00860772"/>
    <w:rsid w:val="008F56E5"/>
    <w:rsid w:val="0093686F"/>
    <w:rsid w:val="0094168B"/>
    <w:rsid w:val="00942FD4"/>
    <w:rsid w:val="0094724C"/>
    <w:rsid w:val="00951997"/>
    <w:rsid w:val="009632F4"/>
    <w:rsid w:val="009650A8"/>
    <w:rsid w:val="00990352"/>
    <w:rsid w:val="009B6771"/>
    <w:rsid w:val="009C4376"/>
    <w:rsid w:val="009F1740"/>
    <w:rsid w:val="00A001EA"/>
    <w:rsid w:val="00A03405"/>
    <w:rsid w:val="00A1528A"/>
    <w:rsid w:val="00A27009"/>
    <w:rsid w:val="00A33918"/>
    <w:rsid w:val="00A62945"/>
    <w:rsid w:val="00A7629F"/>
    <w:rsid w:val="00AF0CEE"/>
    <w:rsid w:val="00B667AD"/>
    <w:rsid w:val="00B67A79"/>
    <w:rsid w:val="00B67F69"/>
    <w:rsid w:val="00B84C38"/>
    <w:rsid w:val="00B86C00"/>
    <w:rsid w:val="00B947F6"/>
    <w:rsid w:val="00BB02FD"/>
    <w:rsid w:val="00BC1194"/>
    <w:rsid w:val="00BD2322"/>
    <w:rsid w:val="00BF16AA"/>
    <w:rsid w:val="00BF2930"/>
    <w:rsid w:val="00C03222"/>
    <w:rsid w:val="00C326C4"/>
    <w:rsid w:val="00C354B8"/>
    <w:rsid w:val="00C42458"/>
    <w:rsid w:val="00C52517"/>
    <w:rsid w:val="00C60921"/>
    <w:rsid w:val="00C62936"/>
    <w:rsid w:val="00C653F2"/>
    <w:rsid w:val="00C679E6"/>
    <w:rsid w:val="00C908F9"/>
    <w:rsid w:val="00CA0917"/>
    <w:rsid w:val="00CA1099"/>
    <w:rsid w:val="00CB05B8"/>
    <w:rsid w:val="00CB56D4"/>
    <w:rsid w:val="00D417C2"/>
    <w:rsid w:val="00D60936"/>
    <w:rsid w:val="00D65BA5"/>
    <w:rsid w:val="00D709EB"/>
    <w:rsid w:val="00D74714"/>
    <w:rsid w:val="00D82F3F"/>
    <w:rsid w:val="00D832F6"/>
    <w:rsid w:val="00D84417"/>
    <w:rsid w:val="00D921C6"/>
    <w:rsid w:val="00D958C2"/>
    <w:rsid w:val="00DA7A24"/>
    <w:rsid w:val="00DB6E33"/>
    <w:rsid w:val="00E04AB5"/>
    <w:rsid w:val="00E22D90"/>
    <w:rsid w:val="00E3350E"/>
    <w:rsid w:val="00E50EEA"/>
    <w:rsid w:val="00E52F58"/>
    <w:rsid w:val="00E60853"/>
    <w:rsid w:val="00E8062D"/>
    <w:rsid w:val="00EC26AA"/>
    <w:rsid w:val="00EC7BB7"/>
    <w:rsid w:val="00ED7A53"/>
    <w:rsid w:val="00EE4273"/>
    <w:rsid w:val="00EE5724"/>
    <w:rsid w:val="00EF7291"/>
    <w:rsid w:val="00F02004"/>
    <w:rsid w:val="00F042CB"/>
    <w:rsid w:val="00F214DF"/>
    <w:rsid w:val="00F26A3B"/>
    <w:rsid w:val="00F377CE"/>
    <w:rsid w:val="00F55287"/>
    <w:rsid w:val="00F86633"/>
    <w:rsid w:val="00FB1FBA"/>
    <w:rsid w:val="00FB59B7"/>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6F11C3"/>
  <w15:chartTrackingRefBased/>
  <w15:docId w15:val="{2F970558-4939-4DFE-B96C-B2C8A33F1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9F1740"/>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9F1740"/>
    <w:rPr>
      <w:rFonts w:ascii="Segoe UI" w:hAnsi="Segoe UI" w:cs="Segoe UI"/>
      <w:sz w:val="18"/>
      <w:szCs w:val="18"/>
      <w:lang w:val="en-US" w:eastAsia="en-US"/>
    </w:rPr>
  </w:style>
  <w:style w:type="character" w:customStyle="1" w:styleId="HeaderChar">
    <w:name w:val="Header Char"/>
    <w:basedOn w:val="DefaultParagraphFont"/>
    <w:link w:val="Header"/>
    <w:rsid w:val="006A68A1"/>
    <w:rPr>
      <w:sz w:val="24"/>
      <w:lang w:val="en-US" w:eastAsia="en-US"/>
    </w:rPr>
  </w:style>
  <w:style w:type="character" w:styleId="PlaceholderText">
    <w:name w:val="Placeholder Text"/>
    <w:basedOn w:val="DefaultParagraphFont"/>
    <w:uiPriority w:val="99"/>
    <w:semiHidden/>
    <w:rsid w:val="00B67A7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CD01DC78-75E3-4E2F-B0FE-2F70959B1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724</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dc:description/>
  <cp:lastModifiedBy>Gladys J. Burgos Torres</cp:lastModifiedBy>
  <cp:revision>4</cp:revision>
  <cp:lastPrinted>2025-02-24T13:59:00Z</cp:lastPrinted>
  <dcterms:created xsi:type="dcterms:W3CDTF">2025-02-24T15:05:00Z</dcterms:created>
  <dcterms:modified xsi:type="dcterms:W3CDTF">2025-02-25T13:21:00Z</dcterms:modified>
</cp:coreProperties>
</file>