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427EA" w14:textId="77777777" w:rsidR="00831A05" w:rsidRDefault="00831A05" w:rsidP="00831A05">
      <w:pPr>
        <w:spacing w:after="0" w:line="240" w:lineRule="auto"/>
        <w:rPr>
          <w:rFonts w:ascii="Book Antiqua" w:eastAsia="Times New Roman" w:hAnsi="Book Antiqua" w:cs="Times New Roman"/>
          <w:b/>
          <w:bCs/>
          <w:sz w:val="24"/>
          <w:szCs w:val="24"/>
          <w:lang w:val="es-ES_tradnl"/>
        </w:rPr>
      </w:pPr>
      <w:r w:rsidRPr="00831A05">
        <w:rPr>
          <w:rFonts w:ascii="Book Antiqua" w:eastAsia="Times New Roman" w:hAnsi="Book Antiqua" w:cs="Times New Roman"/>
          <w:b/>
          <w:bCs/>
          <w:sz w:val="24"/>
          <w:szCs w:val="24"/>
          <w:lang w:val="es-ES_tradnl"/>
        </w:rPr>
        <w:t>(</w:t>
      </w:r>
      <w:r w:rsidR="00851E58" w:rsidRPr="00831A05">
        <w:rPr>
          <w:rFonts w:ascii="Book Antiqua" w:eastAsia="Times New Roman" w:hAnsi="Book Antiqua" w:cs="Times New Roman"/>
          <w:b/>
          <w:bCs/>
          <w:sz w:val="24"/>
          <w:szCs w:val="24"/>
          <w:lang w:val="es-ES_tradnl"/>
        </w:rPr>
        <w:t xml:space="preserve">P. de la C. </w:t>
      </w:r>
      <w:r w:rsidR="00DE164B" w:rsidRPr="00831A05">
        <w:rPr>
          <w:rFonts w:ascii="Book Antiqua" w:eastAsia="Times New Roman" w:hAnsi="Book Antiqua" w:cs="Times New Roman"/>
          <w:b/>
          <w:bCs/>
          <w:sz w:val="24"/>
          <w:szCs w:val="24"/>
          <w:lang w:val="es-ES_tradnl"/>
        </w:rPr>
        <w:t>348</w:t>
      </w:r>
      <w:r w:rsidRPr="00831A05">
        <w:rPr>
          <w:rFonts w:ascii="Book Antiqua" w:eastAsia="Times New Roman" w:hAnsi="Book Antiqua" w:cs="Times New Roman"/>
          <w:b/>
          <w:bCs/>
          <w:sz w:val="24"/>
          <w:szCs w:val="24"/>
          <w:lang w:val="es-ES_tradnl"/>
        </w:rPr>
        <w:t>)</w:t>
      </w:r>
    </w:p>
    <w:p w14:paraId="5588C189" w14:textId="77777777" w:rsidR="00831A05" w:rsidRDefault="00831A05" w:rsidP="00831A05">
      <w:pPr>
        <w:spacing w:after="0" w:line="240" w:lineRule="auto"/>
        <w:rPr>
          <w:rFonts w:ascii="Book Antiqua" w:eastAsia="Times New Roman" w:hAnsi="Book Antiqua" w:cs="Times New Roman"/>
          <w:b/>
          <w:bCs/>
          <w:sz w:val="24"/>
          <w:szCs w:val="24"/>
          <w:lang w:val="es-ES_tradnl"/>
        </w:rPr>
      </w:pPr>
    </w:p>
    <w:p w14:paraId="4E9FA85B" w14:textId="408BFD7F" w:rsidR="00851E58" w:rsidRDefault="00851E58" w:rsidP="00831A05">
      <w:pPr>
        <w:spacing w:after="0" w:line="240" w:lineRule="auto"/>
        <w:jc w:val="center"/>
        <w:rPr>
          <w:rFonts w:ascii="Book Antiqua" w:eastAsia="Times New Roman" w:hAnsi="Book Antiqua" w:cs="Times New Roman"/>
          <w:b/>
          <w:sz w:val="28"/>
          <w:szCs w:val="28"/>
          <w:lang w:val="es-ES_tradnl"/>
        </w:rPr>
      </w:pPr>
      <w:r w:rsidRPr="00E74E9D">
        <w:rPr>
          <w:rFonts w:ascii="Book Antiqua" w:eastAsia="Times New Roman" w:hAnsi="Book Antiqua" w:cs="Times New Roman"/>
          <w:b/>
          <w:sz w:val="28"/>
          <w:szCs w:val="28"/>
          <w:lang w:val="es-ES_tradnl"/>
        </w:rPr>
        <w:t>LEY</w:t>
      </w:r>
    </w:p>
    <w:p w14:paraId="206261F3" w14:textId="77777777" w:rsidR="00E534CA" w:rsidRPr="00831A05" w:rsidRDefault="00E534CA" w:rsidP="00831A05">
      <w:pPr>
        <w:spacing w:after="0" w:line="240" w:lineRule="auto"/>
        <w:jc w:val="center"/>
        <w:rPr>
          <w:rFonts w:ascii="Book Antiqua" w:eastAsia="Times New Roman" w:hAnsi="Book Antiqua" w:cs="Times New Roman"/>
          <w:b/>
          <w:bCs/>
          <w:sz w:val="24"/>
          <w:szCs w:val="24"/>
          <w:lang w:val="es-ES_tradnl"/>
        </w:rPr>
      </w:pPr>
    </w:p>
    <w:p w14:paraId="5E0A91A2" w14:textId="77777777" w:rsidR="00851E58" w:rsidRPr="00E74E9D" w:rsidRDefault="00851E58" w:rsidP="00E74E9D">
      <w:pPr>
        <w:spacing w:after="0" w:line="240" w:lineRule="auto"/>
        <w:jc w:val="both"/>
        <w:rPr>
          <w:rFonts w:ascii="Book Antiqua" w:eastAsia="Times New Roman" w:hAnsi="Book Antiqua" w:cs="Times New Roman"/>
          <w:sz w:val="24"/>
          <w:szCs w:val="20"/>
          <w:lang w:val="es-ES_tradnl"/>
        </w:rPr>
      </w:pPr>
    </w:p>
    <w:p w14:paraId="4251B1E1" w14:textId="388D4E43" w:rsidR="00A07C1D" w:rsidRPr="00A07C1D" w:rsidRDefault="00851E58" w:rsidP="00A0795C">
      <w:pPr>
        <w:spacing w:after="0" w:line="240" w:lineRule="auto"/>
        <w:ind w:left="720" w:hanging="720"/>
        <w:jc w:val="both"/>
        <w:rPr>
          <w:rFonts w:ascii="Book Antiqua" w:hAnsi="Book Antiqua"/>
          <w:color w:val="000000"/>
          <w:sz w:val="24"/>
          <w:szCs w:val="24"/>
          <w:lang w:val="es-PR"/>
        </w:rPr>
      </w:pPr>
      <w:r w:rsidRPr="00A07C1D">
        <w:rPr>
          <w:rFonts w:ascii="Book Antiqua" w:eastAsia="Times New Roman" w:hAnsi="Book Antiqua" w:cs="AngsanaUPC"/>
          <w:sz w:val="24"/>
          <w:szCs w:val="24"/>
          <w:lang w:val="es-ES_tradnl"/>
        </w:rPr>
        <w:t>Para</w:t>
      </w:r>
      <w:r w:rsidR="00A07C1D" w:rsidRPr="00A07C1D">
        <w:rPr>
          <w:rFonts w:ascii="Book Antiqua" w:hAnsi="Book Antiqua"/>
          <w:snapToGrid w:val="0"/>
          <w:color w:val="000000"/>
          <w:sz w:val="24"/>
          <w:szCs w:val="24"/>
          <w:lang w:val="es-PR"/>
        </w:rPr>
        <w:t xml:space="preserve"> enmendar el inciso (</w:t>
      </w:r>
      <w:r w:rsidR="00C4007F">
        <w:rPr>
          <w:rFonts w:ascii="Book Antiqua" w:hAnsi="Book Antiqua"/>
          <w:snapToGrid w:val="0"/>
          <w:color w:val="000000"/>
          <w:sz w:val="24"/>
          <w:szCs w:val="24"/>
          <w:lang w:val="es-PR"/>
        </w:rPr>
        <w:t>S</w:t>
      </w:r>
      <w:r w:rsidR="00A07C1D" w:rsidRPr="00A07C1D">
        <w:rPr>
          <w:rFonts w:ascii="Book Antiqua" w:hAnsi="Book Antiqua"/>
          <w:snapToGrid w:val="0"/>
          <w:color w:val="000000"/>
          <w:sz w:val="24"/>
          <w:szCs w:val="24"/>
          <w:lang w:val="es-PR"/>
        </w:rPr>
        <w:t xml:space="preserve">) del Artículo 26.060 de la Ley Núm. </w:t>
      </w:r>
      <w:r w:rsidR="00A07C1D" w:rsidRPr="00A07C1D">
        <w:rPr>
          <w:rFonts w:ascii="Book Antiqua" w:hAnsi="Book Antiqua"/>
          <w:color w:val="000000"/>
          <w:sz w:val="24"/>
          <w:szCs w:val="24"/>
          <w:lang w:val="es-PR"/>
        </w:rPr>
        <w:t xml:space="preserve">194-2011, según enmendada, mejor conocida como “Código de Seguros de Salud de Puerto Rico”, </w:t>
      </w:r>
      <w:r w:rsidR="00A07C1D" w:rsidRPr="00A07C1D">
        <w:rPr>
          <w:rFonts w:ascii="Book Antiqua" w:hAnsi="Book Antiqua"/>
          <w:snapToGrid w:val="0"/>
          <w:color w:val="000000"/>
          <w:sz w:val="24"/>
          <w:szCs w:val="24"/>
          <w:lang w:val="es-PR"/>
        </w:rPr>
        <w:t>a los fines</w:t>
      </w:r>
      <w:r w:rsidR="00A07C1D" w:rsidRPr="00A07C1D">
        <w:rPr>
          <w:rFonts w:ascii="Book Antiqua" w:hAnsi="Book Antiqua"/>
          <w:color w:val="000000"/>
          <w:sz w:val="24"/>
          <w:szCs w:val="24"/>
          <w:lang w:val="es-PR"/>
        </w:rPr>
        <w:t xml:space="preserve"> de establecer que la responsabilidad de la coordinación de beneficios es una mancomunadamente compartida de las organizaciones de seguros de salud o aseguradores, de sus intermediarios y de los proveedores participantes y cuáles serán los parámetros para tramitar la coordinación de beneficios de servicios de salud de los pacientes</w:t>
      </w:r>
      <w:r w:rsidR="00A07C1D" w:rsidRPr="00A07C1D">
        <w:rPr>
          <w:rFonts w:ascii="Book Antiqua" w:hAnsi="Book Antiqua"/>
          <w:snapToGrid w:val="0"/>
          <w:color w:val="000000"/>
          <w:sz w:val="24"/>
          <w:szCs w:val="24"/>
          <w:lang w:val="es-PR"/>
        </w:rPr>
        <w:t>;</w:t>
      </w:r>
      <w:r w:rsidR="0076672F">
        <w:rPr>
          <w:rFonts w:ascii="Book Antiqua" w:hAnsi="Book Antiqua"/>
          <w:snapToGrid w:val="0"/>
          <w:color w:val="000000"/>
          <w:sz w:val="24"/>
          <w:szCs w:val="24"/>
          <w:lang w:val="es-PR"/>
        </w:rPr>
        <w:t xml:space="preserve"> </w:t>
      </w:r>
      <w:r w:rsidR="0076672F" w:rsidRPr="00A07C1D">
        <w:rPr>
          <w:rFonts w:ascii="Book Antiqua" w:hAnsi="Book Antiqua"/>
          <w:snapToGrid w:val="0"/>
          <w:sz w:val="24"/>
          <w:szCs w:val="24"/>
          <w:lang w:val="es-PR"/>
        </w:rPr>
        <w:t xml:space="preserve">añadir los </w:t>
      </w:r>
      <w:proofErr w:type="spellStart"/>
      <w:r w:rsidR="0076672F" w:rsidRPr="00A07C1D">
        <w:rPr>
          <w:rFonts w:ascii="Book Antiqua" w:hAnsi="Book Antiqua"/>
          <w:snapToGrid w:val="0"/>
          <w:sz w:val="24"/>
          <w:szCs w:val="24"/>
          <w:lang w:val="es-PR"/>
        </w:rPr>
        <w:t>sub-incisos</w:t>
      </w:r>
      <w:proofErr w:type="spellEnd"/>
      <w:r w:rsidR="0076672F" w:rsidRPr="00A07C1D">
        <w:rPr>
          <w:rFonts w:ascii="Book Antiqua" w:hAnsi="Book Antiqua"/>
          <w:snapToGrid w:val="0"/>
          <w:sz w:val="24"/>
          <w:szCs w:val="24"/>
          <w:lang w:val="es-PR"/>
        </w:rPr>
        <w:t xml:space="preserve"> 14 y 15 al inciso (a) del Artículo 17 de la Ley 194-2000, según enmendada, conocida como “Carta de Derechos y Responsabilidades del Paciente”, a los fines de proveer alternativas para que el paciente, asegurado o consumidor pueda presentar querellas </w:t>
      </w:r>
      <w:r w:rsidR="0076672F" w:rsidRPr="00A07C1D">
        <w:rPr>
          <w:rFonts w:ascii="Book Antiqua" w:hAnsi="Book Antiqua"/>
          <w:snapToGrid w:val="0"/>
          <w:color w:val="000000"/>
          <w:sz w:val="24"/>
          <w:szCs w:val="24"/>
          <w:lang w:val="es-PR"/>
        </w:rPr>
        <w:t>administrativas</w:t>
      </w:r>
      <w:r w:rsidR="0076672F">
        <w:rPr>
          <w:rFonts w:ascii="Book Antiqua" w:hAnsi="Book Antiqua"/>
          <w:snapToGrid w:val="0"/>
          <w:color w:val="000000"/>
          <w:sz w:val="24"/>
          <w:szCs w:val="24"/>
          <w:lang w:val="es-PR"/>
        </w:rPr>
        <w:t>;</w:t>
      </w:r>
      <w:r w:rsidR="00A07C1D" w:rsidRPr="00A07C1D">
        <w:rPr>
          <w:rFonts w:ascii="Book Antiqua" w:hAnsi="Book Antiqua"/>
          <w:snapToGrid w:val="0"/>
          <w:color w:val="000000"/>
          <w:sz w:val="24"/>
          <w:szCs w:val="24"/>
          <w:lang w:val="es-PR"/>
        </w:rPr>
        <w:t xml:space="preserve"> requerir la redacción de un Reglamento</w:t>
      </w:r>
      <w:r w:rsidR="00A07C1D">
        <w:rPr>
          <w:rFonts w:ascii="Book Antiqua" w:hAnsi="Book Antiqua"/>
          <w:snapToGrid w:val="0"/>
          <w:color w:val="000000"/>
          <w:sz w:val="24"/>
          <w:szCs w:val="24"/>
          <w:lang w:val="es-PR"/>
        </w:rPr>
        <w:t xml:space="preserve"> conforme a los parámetros de esta Ley y</w:t>
      </w:r>
      <w:r w:rsidR="00A07C1D" w:rsidRPr="00A07C1D">
        <w:rPr>
          <w:rFonts w:ascii="Book Antiqua" w:hAnsi="Book Antiqua"/>
          <w:snapToGrid w:val="0"/>
          <w:color w:val="000000"/>
          <w:sz w:val="24"/>
          <w:szCs w:val="24"/>
          <w:lang w:val="es-PR"/>
        </w:rPr>
        <w:t xml:space="preserve"> establecer campaña educativa; y para otros fines</w:t>
      </w:r>
      <w:r w:rsidR="00A07C1D">
        <w:rPr>
          <w:rFonts w:ascii="Book Antiqua" w:hAnsi="Book Antiqua"/>
          <w:snapToGrid w:val="0"/>
          <w:color w:val="000000"/>
          <w:sz w:val="24"/>
          <w:szCs w:val="24"/>
          <w:lang w:val="es-PR"/>
        </w:rPr>
        <w:t xml:space="preserve"> relacionados</w:t>
      </w:r>
      <w:r w:rsidR="00A07C1D" w:rsidRPr="00A07C1D">
        <w:rPr>
          <w:rFonts w:ascii="Book Antiqua" w:hAnsi="Book Antiqua"/>
          <w:snapToGrid w:val="0"/>
          <w:color w:val="000000"/>
          <w:sz w:val="24"/>
          <w:szCs w:val="24"/>
          <w:lang w:val="es-PR"/>
        </w:rPr>
        <w:t>.</w:t>
      </w:r>
    </w:p>
    <w:p w14:paraId="17CED9DA" w14:textId="537B7FBF" w:rsidR="00E75992" w:rsidRPr="00882B32" w:rsidRDefault="00E75992" w:rsidP="00A0795C">
      <w:pPr>
        <w:spacing w:after="0" w:line="240" w:lineRule="auto"/>
        <w:jc w:val="both"/>
        <w:rPr>
          <w:rFonts w:ascii="Book Antiqua" w:hAnsi="Book Antiqua"/>
          <w:color w:val="000000"/>
          <w:sz w:val="24"/>
          <w:szCs w:val="24"/>
          <w:lang w:val="es-PR"/>
        </w:rPr>
      </w:pPr>
    </w:p>
    <w:p w14:paraId="509104DF" w14:textId="77777777" w:rsidR="00851E58" w:rsidRPr="0051721B" w:rsidRDefault="00851E58" w:rsidP="00A0795C">
      <w:pPr>
        <w:tabs>
          <w:tab w:val="left" w:pos="2235"/>
        </w:tabs>
        <w:spacing w:after="0" w:line="240" w:lineRule="auto"/>
        <w:jc w:val="center"/>
        <w:rPr>
          <w:rFonts w:ascii="Book Antiqua" w:eastAsia="Times New Roman" w:hAnsi="Book Antiqua" w:cs="Times New Roman"/>
          <w:sz w:val="24"/>
          <w:szCs w:val="24"/>
          <w:lang w:val="es-PR"/>
        </w:rPr>
      </w:pPr>
      <w:r w:rsidRPr="0051721B">
        <w:rPr>
          <w:rFonts w:ascii="Book Antiqua" w:eastAsia="Times New Roman" w:hAnsi="Book Antiqua" w:cs="Times New Roman"/>
          <w:sz w:val="24"/>
          <w:szCs w:val="24"/>
          <w:lang w:val="es-PR"/>
        </w:rPr>
        <w:t>EXPOSICIÓN DE MOTIVOS</w:t>
      </w:r>
    </w:p>
    <w:p w14:paraId="6674C690" w14:textId="77777777" w:rsidR="00851E58" w:rsidRPr="00E74E9D" w:rsidRDefault="00851E58" w:rsidP="00A0795C">
      <w:pPr>
        <w:tabs>
          <w:tab w:val="left" w:pos="2235"/>
        </w:tabs>
        <w:spacing w:after="0" w:line="240" w:lineRule="auto"/>
        <w:jc w:val="center"/>
        <w:rPr>
          <w:rFonts w:ascii="Book Antiqua" w:eastAsia="Times New Roman" w:hAnsi="Book Antiqua" w:cs="Times New Roman"/>
          <w:sz w:val="24"/>
          <w:szCs w:val="24"/>
          <w:lang w:val="es-PR"/>
        </w:rPr>
      </w:pPr>
    </w:p>
    <w:p w14:paraId="36DEFDC4" w14:textId="77777777" w:rsid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La coordinación de beneficios es de suma importancia para el paciente que cuenta con dos o más seguros de salud o planes de salud en cuanto a servicios de salud se refiere. La coordinación de beneficios permite que el plan primario pague la reclamación de servicios médicos y si la persona tiene un plan secundario, este paga los copagos, deducibles y coaseguros que el plan primario no cubre y son responsabilidad del asegurado o suscriptor del plan primario. Esto es, la coordinación de beneficios permite que el asegurado que cuenta con más de un plan médico</w:t>
      </w:r>
      <w:r w:rsidRPr="00A07C1D">
        <w:rPr>
          <w:rFonts w:ascii="Book Antiqua" w:hAnsi="Book Antiqua"/>
          <w:i/>
          <w:snapToGrid w:val="0"/>
          <w:sz w:val="24"/>
          <w:szCs w:val="24"/>
          <w:lang w:val="es-PR"/>
        </w:rPr>
        <w:t xml:space="preserve">, </w:t>
      </w:r>
      <w:r w:rsidRPr="00A07C1D">
        <w:rPr>
          <w:rFonts w:ascii="Book Antiqua" w:hAnsi="Book Antiqua"/>
          <w:snapToGrid w:val="0"/>
          <w:sz w:val="24"/>
          <w:szCs w:val="24"/>
          <w:lang w:val="es-PR"/>
        </w:rPr>
        <w:t xml:space="preserve">en la mayoría de los casos, no tiene que hacer desembolsos para pagar deducibles, copagos y coaseguros, lo cual le representa un ahorro al paciente.  </w:t>
      </w:r>
    </w:p>
    <w:p w14:paraId="4573F4FC" w14:textId="77777777" w:rsidR="00C4007F" w:rsidRPr="00A07C1D" w:rsidRDefault="00C4007F" w:rsidP="00A0795C">
      <w:pPr>
        <w:spacing w:after="0" w:line="240" w:lineRule="auto"/>
        <w:ind w:firstLine="720"/>
        <w:jc w:val="both"/>
        <w:rPr>
          <w:rFonts w:ascii="Book Antiqua" w:hAnsi="Book Antiqua"/>
          <w:snapToGrid w:val="0"/>
          <w:sz w:val="24"/>
          <w:szCs w:val="24"/>
          <w:lang w:val="es-PR"/>
        </w:rPr>
      </w:pPr>
    </w:p>
    <w:p w14:paraId="346E6C0D" w14:textId="77777777" w:rsid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Actualmente, existen discrepancias entre si son los proveedores de servicios de salud los que deben hacer la coordinación de servicios o si son las aseguradoras, las organizaciones de servicios de salud o las organizaciones para el mantenimiento de la salud quienes deben hacer los mismos. El problema actual en esta controversia reside en que, al no aceptar el proveedor la coordinación de beneficios, el paciente muchas veces se ve en la obligación de pagar los deducibles, coaseguros y copagos, para que entonces sea el propio paciente el que solicite el reembolso al asegurador. Respetuosamente entendemos que esta responsabilidad no debe ser impuesta al paciente quien solamente lo que busca es quien le brinde los servicios médicos cuando los necesita.   </w:t>
      </w:r>
    </w:p>
    <w:p w14:paraId="40F1EB39" w14:textId="77777777" w:rsidR="004E44E9" w:rsidRDefault="004E44E9" w:rsidP="00A0795C">
      <w:pPr>
        <w:spacing w:after="0" w:line="240" w:lineRule="auto"/>
        <w:ind w:firstLine="720"/>
        <w:jc w:val="both"/>
        <w:rPr>
          <w:rFonts w:ascii="Book Antiqua" w:hAnsi="Book Antiqua"/>
          <w:snapToGrid w:val="0"/>
          <w:sz w:val="24"/>
          <w:szCs w:val="24"/>
          <w:lang w:val="es-PR"/>
        </w:rPr>
      </w:pPr>
    </w:p>
    <w:p w14:paraId="5EAA3C46" w14:textId="4D90A40A" w:rsidR="00A07C1D" w:rsidRDefault="00A07C1D" w:rsidP="00A0795C">
      <w:pPr>
        <w:spacing w:after="0" w:line="240" w:lineRule="auto"/>
        <w:ind w:firstLine="720"/>
        <w:jc w:val="both"/>
        <w:rPr>
          <w:rFonts w:ascii="Book Antiqua" w:hAnsi="Book Antiqua"/>
          <w:sz w:val="24"/>
          <w:szCs w:val="24"/>
          <w:lang w:val="es-PR"/>
        </w:rPr>
      </w:pPr>
      <w:r>
        <w:rPr>
          <w:rFonts w:ascii="Book Antiqua" w:hAnsi="Book Antiqua"/>
          <w:snapToGrid w:val="0"/>
          <w:sz w:val="24"/>
          <w:szCs w:val="24"/>
          <w:lang w:val="es-PR"/>
        </w:rPr>
        <w:t>Como e</w:t>
      </w:r>
      <w:r w:rsidRPr="00A07C1D">
        <w:rPr>
          <w:rFonts w:ascii="Book Antiqua" w:hAnsi="Book Antiqua"/>
          <w:snapToGrid w:val="0"/>
          <w:sz w:val="24"/>
          <w:szCs w:val="24"/>
          <w:lang w:val="es-PR"/>
        </w:rPr>
        <w:t>n Puerto Rico existe una gran cantidad de personas que se encuentran cubiertas por dos</w:t>
      </w:r>
      <w:r>
        <w:rPr>
          <w:rFonts w:ascii="Book Antiqua" w:hAnsi="Book Antiqua"/>
          <w:snapToGrid w:val="0"/>
          <w:sz w:val="24"/>
          <w:szCs w:val="24"/>
          <w:lang w:val="es-PR"/>
        </w:rPr>
        <w:t xml:space="preserve"> (2)</w:t>
      </w:r>
      <w:r w:rsidRPr="00A07C1D">
        <w:rPr>
          <w:rFonts w:ascii="Book Antiqua" w:hAnsi="Book Antiqua"/>
          <w:snapToGrid w:val="0"/>
          <w:sz w:val="24"/>
          <w:szCs w:val="24"/>
          <w:lang w:val="es-PR"/>
        </w:rPr>
        <w:t xml:space="preserve"> o más seguros de salud o planes de salud</w:t>
      </w:r>
      <w:r w:rsidR="00EC09D2">
        <w:rPr>
          <w:rFonts w:ascii="Book Antiqua" w:hAnsi="Book Antiqua"/>
          <w:snapToGrid w:val="0"/>
          <w:sz w:val="24"/>
          <w:szCs w:val="24"/>
          <w:lang w:val="es-PR"/>
        </w:rPr>
        <w:t>, c</w:t>
      </w:r>
      <w:r w:rsidRPr="00A07C1D">
        <w:rPr>
          <w:rFonts w:ascii="Book Antiqua" w:hAnsi="Book Antiqua"/>
          <w:snapToGrid w:val="0"/>
          <w:sz w:val="24"/>
          <w:szCs w:val="24"/>
          <w:lang w:val="es-PR"/>
        </w:rPr>
        <w:t xml:space="preserve">on esta Ley también se provee para que en caso de que el paciente esté suscrito en un plan de salud privado y a </w:t>
      </w:r>
      <w:r w:rsidRPr="00A07C1D">
        <w:rPr>
          <w:rFonts w:ascii="Book Antiqua" w:hAnsi="Book Antiqua"/>
          <w:snapToGrid w:val="0"/>
          <w:sz w:val="24"/>
          <w:szCs w:val="24"/>
          <w:lang w:val="es-PR"/>
        </w:rPr>
        <w:lastRenderedPageBreak/>
        <w:t xml:space="preserve">su vez en el Plan de Salud </w:t>
      </w:r>
      <w:r>
        <w:rPr>
          <w:rFonts w:ascii="Book Antiqua" w:hAnsi="Book Antiqua"/>
          <w:snapToGrid w:val="0"/>
          <w:sz w:val="24"/>
          <w:szCs w:val="24"/>
          <w:lang w:val="es-PR"/>
        </w:rPr>
        <w:t>Gubernamental</w:t>
      </w:r>
      <w:r w:rsidRPr="00A07C1D">
        <w:rPr>
          <w:rFonts w:ascii="Book Antiqua" w:hAnsi="Book Antiqua"/>
          <w:snapToGrid w:val="0"/>
          <w:sz w:val="24"/>
          <w:szCs w:val="24"/>
          <w:lang w:val="es-PR"/>
        </w:rPr>
        <w:t xml:space="preserve">, el Plan de Salud del </w:t>
      </w:r>
      <w:r>
        <w:rPr>
          <w:rFonts w:ascii="Book Antiqua" w:hAnsi="Book Antiqua"/>
          <w:snapToGrid w:val="0"/>
          <w:sz w:val="24"/>
          <w:szCs w:val="24"/>
          <w:lang w:val="es-PR"/>
        </w:rPr>
        <w:t>Gobierno</w:t>
      </w:r>
      <w:r w:rsidRPr="00A07C1D">
        <w:rPr>
          <w:rFonts w:ascii="Book Antiqua" w:hAnsi="Book Antiqua"/>
          <w:snapToGrid w:val="0"/>
          <w:sz w:val="24"/>
          <w:szCs w:val="24"/>
          <w:lang w:val="es-PR"/>
        </w:rPr>
        <w:t xml:space="preserve"> de Puerto Rico será siempre el plan secundario</w:t>
      </w:r>
      <w:r>
        <w:rPr>
          <w:rFonts w:ascii="Book Antiqua" w:hAnsi="Book Antiqua"/>
          <w:snapToGrid w:val="0"/>
          <w:sz w:val="24"/>
          <w:szCs w:val="24"/>
          <w:lang w:val="es-PR"/>
        </w:rPr>
        <w:t xml:space="preserve"> a utilizarse</w:t>
      </w:r>
      <w:r w:rsidRPr="00A07C1D">
        <w:rPr>
          <w:rFonts w:ascii="Book Antiqua" w:hAnsi="Book Antiqua"/>
          <w:snapToGrid w:val="0"/>
          <w:sz w:val="24"/>
          <w:szCs w:val="24"/>
          <w:lang w:val="es-PR"/>
        </w:rPr>
        <w:t>, lo cual redunda en beneficios para el erario público</w:t>
      </w:r>
      <w:r>
        <w:rPr>
          <w:rFonts w:ascii="Book Antiqua" w:hAnsi="Book Antiqua"/>
          <w:snapToGrid w:val="0"/>
          <w:sz w:val="24"/>
          <w:szCs w:val="24"/>
          <w:lang w:val="es-PR"/>
        </w:rPr>
        <w:t xml:space="preserve"> en donde se evite que el mismo sea facturado erróneamente por servicios que se supone sean cubiertos por el plan primario del asegurado</w:t>
      </w:r>
      <w:r w:rsidRPr="00A07C1D">
        <w:rPr>
          <w:rFonts w:ascii="Book Antiqua" w:hAnsi="Book Antiqua"/>
          <w:snapToGrid w:val="0"/>
          <w:sz w:val="24"/>
          <w:szCs w:val="24"/>
          <w:lang w:val="es-PR"/>
        </w:rPr>
        <w:t xml:space="preserve">.  </w:t>
      </w:r>
      <w:r w:rsidR="00EC09D2">
        <w:rPr>
          <w:rFonts w:ascii="Book Antiqua" w:hAnsi="Book Antiqua"/>
          <w:snapToGrid w:val="0"/>
          <w:sz w:val="24"/>
          <w:szCs w:val="24"/>
          <w:lang w:val="es-PR"/>
        </w:rPr>
        <w:t>En adición, co</w:t>
      </w:r>
      <w:r w:rsidRPr="00A07C1D">
        <w:rPr>
          <w:rFonts w:ascii="Book Antiqua" w:hAnsi="Book Antiqua"/>
          <w:snapToGrid w:val="0"/>
          <w:sz w:val="24"/>
          <w:szCs w:val="24"/>
          <w:lang w:val="es-PR"/>
        </w:rPr>
        <w:t>mo parte de las disposiciones de las pólizas de seguro y planes de salud, es estándar en la industria</w:t>
      </w:r>
      <w:r w:rsidR="00EC09D2">
        <w:rPr>
          <w:rFonts w:ascii="Book Antiqua" w:hAnsi="Book Antiqua"/>
          <w:snapToGrid w:val="0"/>
          <w:sz w:val="24"/>
          <w:szCs w:val="24"/>
          <w:lang w:val="es-PR"/>
        </w:rPr>
        <w:t xml:space="preserve"> de seguros de salud, que se establezca</w:t>
      </w:r>
      <w:r w:rsidRPr="00A07C1D">
        <w:rPr>
          <w:rFonts w:ascii="Book Antiqua" w:hAnsi="Book Antiqua"/>
          <w:snapToGrid w:val="0"/>
          <w:sz w:val="24"/>
          <w:szCs w:val="24"/>
          <w:lang w:val="es-PR"/>
        </w:rPr>
        <w:t xml:space="preserve"> la cláusula de coordinación de beneficios que sigue la Ley Modelo promovida por la </w:t>
      </w:r>
      <w:proofErr w:type="spellStart"/>
      <w:r w:rsidRPr="00A07C1D">
        <w:rPr>
          <w:rFonts w:ascii="Book Antiqua" w:hAnsi="Book Antiqua"/>
          <w:i/>
          <w:snapToGrid w:val="0"/>
          <w:sz w:val="24"/>
          <w:szCs w:val="24"/>
          <w:lang w:val="es-PR"/>
        </w:rPr>
        <w:t>National</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Association</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of</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Commissioners</w:t>
      </w:r>
      <w:proofErr w:type="spellEnd"/>
      <w:r w:rsidRPr="00A07C1D">
        <w:rPr>
          <w:rFonts w:ascii="Book Antiqua" w:hAnsi="Book Antiqua"/>
          <w:snapToGrid w:val="0"/>
          <w:sz w:val="24"/>
          <w:szCs w:val="24"/>
          <w:lang w:val="es-PR"/>
        </w:rPr>
        <w:t xml:space="preserve"> (</w:t>
      </w:r>
      <w:r w:rsidRPr="00A07C1D">
        <w:rPr>
          <w:rFonts w:ascii="Book Antiqua" w:hAnsi="Book Antiqua"/>
          <w:i/>
          <w:snapToGrid w:val="0"/>
          <w:sz w:val="24"/>
          <w:szCs w:val="24"/>
          <w:lang w:val="es-PR"/>
        </w:rPr>
        <w:t>NAIC</w:t>
      </w:r>
      <w:r w:rsidRPr="00A07C1D">
        <w:rPr>
          <w:rFonts w:ascii="Book Antiqua" w:hAnsi="Book Antiqua"/>
          <w:snapToGrid w:val="0"/>
          <w:sz w:val="24"/>
          <w:szCs w:val="24"/>
          <w:lang w:val="es-PR"/>
        </w:rPr>
        <w:t xml:space="preserve">) y la regla de </w:t>
      </w:r>
      <w:r w:rsidRPr="00A07C1D">
        <w:rPr>
          <w:rFonts w:ascii="Book Antiqua" w:hAnsi="Book Antiqua"/>
          <w:i/>
          <w:snapToGrid w:val="0"/>
          <w:sz w:val="24"/>
          <w:szCs w:val="24"/>
          <w:lang w:val="es-PR"/>
        </w:rPr>
        <w:t xml:space="preserve">Medicare as </w:t>
      </w:r>
      <w:proofErr w:type="spellStart"/>
      <w:r w:rsidRPr="00A07C1D">
        <w:rPr>
          <w:rFonts w:ascii="Book Antiqua" w:hAnsi="Book Antiqua"/>
          <w:i/>
          <w:snapToGrid w:val="0"/>
          <w:sz w:val="24"/>
          <w:szCs w:val="24"/>
          <w:lang w:val="es-PR"/>
        </w:rPr>
        <w:t>Secondary</w:t>
      </w:r>
      <w:proofErr w:type="spellEnd"/>
      <w:r w:rsidRPr="00A07C1D">
        <w:rPr>
          <w:rFonts w:ascii="Book Antiqua" w:hAnsi="Book Antiqua"/>
          <w:i/>
          <w:snapToGrid w:val="0"/>
          <w:sz w:val="24"/>
          <w:szCs w:val="24"/>
          <w:lang w:val="es-PR"/>
        </w:rPr>
        <w:t xml:space="preserve"> Payer</w:t>
      </w:r>
      <w:r w:rsidRPr="00A07C1D">
        <w:rPr>
          <w:rFonts w:ascii="Book Antiqua" w:hAnsi="Book Antiqua"/>
          <w:snapToGrid w:val="0"/>
          <w:sz w:val="24"/>
          <w:szCs w:val="24"/>
          <w:lang w:val="es-PR"/>
        </w:rPr>
        <w:t xml:space="preserve"> expedida por el </w:t>
      </w:r>
      <w:r w:rsidRPr="00A07C1D">
        <w:rPr>
          <w:rFonts w:ascii="Book Antiqua" w:hAnsi="Book Antiqua"/>
          <w:i/>
          <w:snapToGrid w:val="0"/>
          <w:sz w:val="24"/>
          <w:szCs w:val="24"/>
          <w:lang w:val="es-PR"/>
        </w:rPr>
        <w:t xml:space="preserve">Centers </w:t>
      </w:r>
      <w:proofErr w:type="spellStart"/>
      <w:r w:rsidRPr="00A07C1D">
        <w:rPr>
          <w:rFonts w:ascii="Book Antiqua" w:hAnsi="Book Antiqua"/>
          <w:i/>
          <w:snapToGrid w:val="0"/>
          <w:sz w:val="24"/>
          <w:szCs w:val="24"/>
          <w:lang w:val="es-PR"/>
        </w:rPr>
        <w:t>for</w:t>
      </w:r>
      <w:proofErr w:type="spellEnd"/>
      <w:r w:rsidRPr="00A07C1D">
        <w:rPr>
          <w:rFonts w:ascii="Book Antiqua" w:hAnsi="Book Antiqua"/>
          <w:i/>
          <w:snapToGrid w:val="0"/>
          <w:sz w:val="24"/>
          <w:szCs w:val="24"/>
          <w:lang w:val="es-PR"/>
        </w:rPr>
        <w:t xml:space="preserve"> Medicare and Medicaid </w:t>
      </w:r>
      <w:proofErr w:type="spellStart"/>
      <w:r w:rsidRPr="00A07C1D">
        <w:rPr>
          <w:rFonts w:ascii="Book Antiqua" w:hAnsi="Book Antiqua"/>
          <w:i/>
          <w:snapToGrid w:val="0"/>
          <w:sz w:val="24"/>
          <w:szCs w:val="24"/>
          <w:lang w:val="es-PR"/>
        </w:rPr>
        <w:t>Services</w:t>
      </w:r>
      <w:proofErr w:type="spellEnd"/>
      <w:r w:rsidRPr="00A07C1D">
        <w:rPr>
          <w:rFonts w:ascii="Book Antiqua" w:hAnsi="Book Antiqua"/>
          <w:snapToGrid w:val="0"/>
          <w:sz w:val="24"/>
          <w:szCs w:val="24"/>
          <w:lang w:val="es-PR"/>
        </w:rPr>
        <w:t xml:space="preserve"> (CMS). Entendemos que con esta </w:t>
      </w:r>
      <w:r w:rsidR="00C4007F">
        <w:rPr>
          <w:rFonts w:ascii="Book Antiqua" w:hAnsi="Book Antiqua"/>
          <w:snapToGrid w:val="0"/>
          <w:sz w:val="24"/>
          <w:szCs w:val="24"/>
          <w:lang w:val="es-PR"/>
        </w:rPr>
        <w:t>Ley</w:t>
      </w:r>
      <w:r w:rsidRPr="00A07C1D">
        <w:rPr>
          <w:rFonts w:ascii="Book Antiqua" w:hAnsi="Book Antiqua"/>
          <w:snapToGrid w:val="0"/>
          <w:sz w:val="24"/>
          <w:szCs w:val="24"/>
          <w:lang w:val="es-PR"/>
        </w:rPr>
        <w:t xml:space="preserve"> </w:t>
      </w:r>
      <w:r w:rsidR="00BF781B">
        <w:rPr>
          <w:rFonts w:ascii="Book Antiqua" w:hAnsi="Book Antiqua"/>
          <w:snapToGrid w:val="0"/>
          <w:sz w:val="24"/>
          <w:szCs w:val="24"/>
          <w:lang w:val="es-PR"/>
        </w:rPr>
        <w:t xml:space="preserve">adaptamos en nuestra jurisdicción </w:t>
      </w:r>
      <w:r w:rsidRPr="00A07C1D">
        <w:rPr>
          <w:rFonts w:ascii="Book Antiqua" w:hAnsi="Book Antiqua"/>
          <w:snapToGrid w:val="0"/>
          <w:sz w:val="24"/>
          <w:szCs w:val="24"/>
          <w:lang w:val="es-PR"/>
        </w:rPr>
        <w:t xml:space="preserve">el cumplimiento de dichas disposiciones legales y, a su vez, mejoramos los accesos a los servicios de salud. </w:t>
      </w:r>
      <w:r w:rsidR="00BF781B">
        <w:rPr>
          <w:rFonts w:ascii="Book Antiqua" w:hAnsi="Book Antiqua"/>
          <w:snapToGrid w:val="0"/>
          <w:sz w:val="24"/>
          <w:szCs w:val="24"/>
          <w:lang w:val="es-PR"/>
        </w:rPr>
        <w:t xml:space="preserve"> </w:t>
      </w:r>
      <w:r w:rsidRPr="00A07C1D">
        <w:rPr>
          <w:rFonts w:ascii="Book Antiqua" w:hAnsi="Book Antiqua"/>
          <w:snapToGrid w:val="0"/>
          <w:sz w:val="24"/>
          <w:szCs w:val="24"/>
          <w:lang w:val="es-PR"/>
        </w:rPr>
        <w:t xml:space="preserve">El proveedor participante podrá hacer la coordinación de beneficios de forma electrónica cumpliendo con la Regla de Códigos y Transacciones bajo la Ley Federal </w:t>
      </w:r>
      <w:r w:rsidRPr="00A07C1D">
        <w:rPr>
          <w:rFonts w:ascii="Book Antiqua" w:hAnsi="Book Antiqua"/>
          <w:i/>
          <w:snapToGrid w:val="0"/>
          <w:sz w:val="24"/>
          <w:szCs w:val="24"/>
          <w:lang w:val="es-PR"/>
        </w:rPr>
        <w:t xml:space="preserve">Health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Portability</w:t>
      </w:r>
      <w:proofErr w:type="spellEnd"/>
      <w:r w:rsidRPr="00A07C1D">
        <w:rPr>
          <w:rFonts w:ascii="Book Antiqua" w:hAnsi="Book Antiqua"/>
          <w:i/>
          <w:snapToGrid w:val="0"/>
          <w:sz w:val="24"/>
          <w:szCs w:val="24"/>
          <w:lang w:val="es-PR"/>
        </w:rPr>
        <w:t xml:space="preserve"> and </w:t>
      </w:r>
      <w:proofErr w:type="spellStart"/>
      <w:r w:rsidRPr="00A07C1D">
        <w:rPr>
          <w:rFonts w:ascii="Book Antiqua" w:hAnsi="Book Antiqua"/>
          <w:i/>
          <w:snapToGrid w:val="0"/>
          <w:sz w:val="24"/>
          <w:szCs w:val="24"/>
          <w:lang w:val="es-PR"/>
        </w:rPr>
        <w:t>Accountability</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Act</w:t>
      </w:r>
      <w:proofErr w:type="spellEnd"/>
      <w:r w:rsidRPr="00A07C1D">
        <w:rPr>
          <w:rFonts w:ascii="Book Antiqua" w:hAnsi="Book Antiqua"/>
          <w:snapToGrid w:val="0"/>
          <w:sz w:val="24"/>
          <w:szCs w:val="24"/>
          <w:lang w:val="es-PR"/>
        </w:rPr>
        <w:t xml:space="preserve"> de 1996 (</w:t>
      </w:r>
      <w:r w:rsidRPr="00A07C1D">
        <w:rPr>
          <w:rFonts w:ascii="Book Antiqua" w:hAnsi="Book Antiqua"/>
          <w:i/>
          <w:snapToGrid w:val="0"/>
          <w:sz w:val="24"/>
          <w:szCs w:val="24"/>
          <w:lang w:val="es-PR"/>
        </w:rPr>
        <w:t>HIPAA</w:t>
      </w:r>
      <w:r w:rsidRPr="00A07C1D">
        <w:rPr>
          <w:rFonts w:ascii="Book Antiqua" w:hAnsi="Book Antiqua"/>
          <w:snapToGrid w:val="0"/>
          <w:sz w:val="24"/>
          <w:szCs w:val="24"/>
          <w:lang w:val="es-PR"/>
        </w:rPr>
        <w:t>) o en papel.  Además,</w:t>
      </w:r>
      <w:r w:rsidR="00BF781B">
        <w:rPr>
          <w:rFonts w:ascii="Book Antiqua" w:hAnsi="Book Antiqua"/>
          <w:snapToGrid w:val="0"/>
          <w:sz w:val="24"/>
          <w:szCs w:val="24"/>
          <w:lang w:val="es-PR"/>
        </w:rPr>
        <w:t xml:space="preserve"> se clarifica</w:t>
      </w:r>
      <w:r w:rsidRPr="00A07C1D">
        <w:rPr>
          <w:rFonts w:ascii="Book Antiqua" w:hAnsi="Book Antiqua"/>
          <w:snapToGrid w:val="0"/>
          <w:sz w:val="24"/>
          <w:szCs w:val="24"/>
          <w:lang w:val="es-PR"/>
        </w:rPr>
        <w:t xml:space="preserve"> en el Código de Seguros de Salud de Puerto Rico</w:t>
      </w:r>
      <w:r w:rsidRPr="00A07C1D">
        <w:rPr>
          <w:rFonts w:ascii="Book Antiqua" w:hAnsi="Book Antiqua"/>
          <w:sz w:val="24"/>
          <w:szCs w:val="24"/>
          <w:lang w:val="es-PR"/>
        </w:rPr>
        <w:t xml:space="preserve"> que en aquellos casos en </w:t>
      </w:r>
      <w:r w:rsidR="00BF781B">
        <w:rPr>
          <w:rFonts w:ascii="Book Antiqua" w:hAnsi="Book Antiqua"/>
          <w:sz w:val="24"/>
          <w:szCs w:val="24"/>
          <w:lang w:val="es-PR"/>
        </w:rPr>
        <w:t xml:space="preserve">donde el </w:t>
      </w:r>
      <w:r w:rsidRPr="00A07C1D">
        <w:rPr>
          <w:rFonts w:ascii="Book Antiqua" w:hAnsi="Book Antiqua"/>
          <w:sz w:val="24"/>
          <w:szCs w:val="24"/>
          <w:lang w:val="es-PR"/>
        </w:rPr>
        <w:t xml:space="preserve">asegurado </w:t>
      </w:r>
      <w:r w:rsidR="00BF781B">
        <w:rPr>
          <w:rFonts w:ascii="Book Antiqua" w:hAnsi="Book Antiqua"/>
          <w:sz w:val="24"/>
          <w:szCs w:val="24"/>
          <w:lang w:val="es-PR"/>
        </w:rPr>
        <w:t>se encuentre cubierto</w:t>
      </w:r>
      <w:r w:rsidRPr="00A07C1D">
        <w:rPr>
          <w:rFonts w:ascii="Book Antiqua" w:hAnsi="Book Antiqua"/>
          <w:sz w:val="24"/>
          <w:szCs w:val="24"/>
          <w:lang w:val="es-PR"/>
        </w:rPr>
        <w:t xml:space="preserve"> bajo dos (2) o más planes médicos, la responsabilidad de la coordinación de beneficios es una mancomunadamente compartida de las organizaciones de seguros de salud o aseguradores, de sus intermediarios y de los proveedores participantes. </w:t>
      </w:r>
    </w:p>
    <w:p w14:paraId="70D310FC" w14:textId="77777777" w:rsidR="00A0795C" w:rsidRPr="00A07C1D" w:rsidRDefault="00A0795C" w:rsidP="00A0795C">
      <w:pPr>
        <w:spacing w:after="0" w:line="240" w:lineRule="auto"/>
        <w:ind w:firstLine="720"/>
        <w:jc w:val="both"/>
        <w:rPr>
          <w:rFonts w:ascii="Book Antiqua" w:hAnsi="Book Antiqua"/>
          <w:sz w:val="24"/>
          <w:szCs w:val="24"/>
          <w:lang w:val="es-PR"/>
        </w:rPr>
      </w:pPr>
    </w:p>
    <w:p w14:paraId="268FF6C3" w14:textId="450067B3" w:rsidR="00A52CC5"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Por tanto, la Asamblea Legislativa entiende </w:t>
      </w:r>
      <w:r w:rsidR="00EB5C54">
        <w:rPr>
          <w:rFonts w:ascii="Book Antiqua" w:hAnsi="Book Antiqua"/>
          <w:snapToGrid w:val="0"/>
          <w:sz w:val="24"/>
          <w:szCs w:val="24"/>
          <w:lang w:val="es-PR"/>
        </w:rPr>
        <w:t>meritoria</w:t>
      </w:r>
      <w:r w:rsidRPr="00A07C1D">
        <w:rPr>
          <w:rFonts w:ascii="Book Antiqua" w:hAnsi="Book Antiqua"/>
          <w:snapToGrid w:val="0"/>
          <w:sz w:val="24"/>
          <w:szCs w:val="24"/>
          <w:lang w:val="es-PR"/>
        </w:rPr>
        <w:t xml:space="preserve"> la aprobación de esta </w:t>
      </w:r>
      <w:r w:rsidR="00C4007F">
        <w:rPr>
          <w:rFonts w:ascii="Book Antiqua" w:hAnsi="Book Antiqua"/>
          <w:snapToGrid w:val="0"/>
          <w:sz w:val="24"/>
          <w:szCs w:val="24"/>
          <w:lang w:val="es-PR"/>
        </w:rPr>
        <w:t>Ley</w:t>
      </w:r>
      <w:r w:rsidRPr="00A07C1D">
        <w:rPr>
          <w:rFonts w:ascii="Book Antiqua" w:hAnsi="Book Antiqua"/>
          <w:snapToGrid w:val="0"/>
          <w:sz w:val="24"/>
          <w:szCs w:val="24"/>
          <w:lang w:val="es-PR"/>
        </w:rPr>
        <w:t xml:space="preserve">, en donde </w:t>
      </w:r>
      <w:r w:rsidR="00EB5C54">
        <w:rPr>
          <w:rFonts w:ascii="Book Antiqua" w:hAnsi="Book Antiqua"/>
          <w:snapToGrid w:val="0"/>
          <w:sz w:val="24"/>
          <w:szCs w:val="24"/>
          <w:lang w:val="es-PR"/>
        </w:rPr>
        <w:t>se establece</w:t>
      </w:r>
      <w:r w:rsidRPr="00A07C1D">
        <w:rPr>
          <w:rFonts w:ascii="Book Antiqua" w:hAnsi="Book Antiqua"/>
          <w:snapToGrid w:val="0"/>
          <w:sz w:val="24"/>
          <w:szCs w:val="24"/>
          <w:lang w:val="es-PR"/>
        </w:rPr>
        <w:t xml:space="preserve"> que la promoción del acceso a los servicios de salud es de vital importancia.  Es por ello, que con esta Ley se promueve que el asegurado, beneficiario o suscriptor tenga la obligación de dar al proveedor participante la información sobre todos los seguros de salud que pose</w:t>
      </w:r>
      <w:r w:rsidR="00EB5C54">
        <w:rPr>
          <w:rFonts w:ascii="Book Antiqua" w:hAnsi="Book Antiqua"/>
          <w:snapToGrid w:val="0"/>
          <w:sz w:val="24"/>
          <w:szCs w:val="24"/>
          <w:lang w:val="es-PR"/>
        </w:rPr>
        <w:t>a</w:t>
      </w:r>
      <w:r w:rsidRPr="00A07C1D">
        <w:rPr>
          <w:rFonts w:ascii="Book Antiqua" w:hAnsi="Book Antiqua"/>
          <w:snapToGrid w:val="0"/>
          <w:sz w:val="24"/>
          <w:szCs w:val="24"/>
          <w:lang w:val="es-PR"/>
        </w:rPr>
        <w:t xml:space="preserve"> y </w:t>
      </w:r>
      <w:r w:rsidR="00EB5C54">
        <w:rPr>
          <w:rFonts w:ascii="Book Antiqua" w:hAnsi="Book Antiqua"/>
          <w:snapToGrid w:val="0"/>
          <w:sz w:val="24"/>
          <w:szCs w:val="24"/>
          <w:lang w:val="es-PR"/>
        </w:rPr>
        <w:t xml:space="preserve">se </w:t>
      </w:r>
      <w:r w:rsidRPr="00A07C1D">
        <w:rPr>
          <w:rFonts w:ascii="Book Antiqua" w:hAnsi="Book Antiqua"/>
          <w:snapToGrid w:val="0"/>
          <w:sz w:val="24"/>
          <w:szCs w:val="24"/>
          <w:lang w:val="es-PR"/>
        </w:rPr>
        <w:t xml:space="preserve">establece la obligación de que </w:t>
      </w:r>
      <w:r w:rsidR="00EB5C54">
        <w:rPr>
          <w:rFonts w:ascii="Book Antiqua" w:hAnsi="Book Antiqua"/>
          <w:snapToGrid w:val="0"/>
          <w:sz w:val="24"/>
          <w:szCs w:val="24"/>
          <w:lang w:val="es-PR"/>
        </w:rPr>
        <w:t>una vez</w:t>
      </w:r>
      <w:r w:rsidRPr="00A07C1D">
        <w:rPr>
          <w:rFonts w:ascii="Book Antiqua" w:hAnsi="Book Antiqua"/>
          <w:snapToGrid w:val="0"/>
          <w:sz w:val="24"/>
          <w:szCs w:val="24"/>
          <w:lang w:val="es-PR"/>
        </w:rPr>
        <w:t xml:space="preserve"> proveedor participante </w:t>
      </w:r>
      <w:r w:rsidR="00EB5C54">
        <w:rPr>
          <w:rFonts w:ascii="Book Antiqua" w:hAnsi="Book Antiqua"/>
          <w:snapToGrid w:val="0"/>
          <w:sz w:val="24"/>
          <w:szCs w:val="24"/>
          <w:lang w:val="es-PR"/>
        </w:rPr>
        <w:t xml:space="preserve">comience con el proceso de </w:t>
      </w:r>
      <w:r w:rsidRPr="00A07C1D">
        <w:rPr>
          <w:rFonts w:ascii="Book Antiqua" w:hAnsi="Book Antiqua"/>
          <w:snapToGrid w:val="0"/>
          <w:sz w:val="24"/>
          <w:szCs w:val="24"/>
          <w:lang w:val="es-PR"/>
        </w:rPr>
        <w:t>coordin</w:t>
      </w:r>
      <w:r w:rsidR="00EB5C54">
        <w:rPr>
          <w:rFonts w:ascii="Book Antiqua" w:hAnsi="Book Antiqua"/>
          <w:snapToGrid w:val="0"/>
          <w:sz w:val="24"/>
          <w:szCs w:val="24"/>
          <w:lang w:val="es-PR"/>
        </w:rPr>
        <w:t>ación de</w:t>
      </w:r>
      <w:r w:rsidRPr="00A07C1D">
        <w:rPr>
          <w:rFonts w:ascii="Book Antiqua" w:hAnsi="Book Antiqua"/>
          <w:snapToGrid w:val="0"/>
          <w:sz w:val="24"/>
          <w:szCs w:val="24"/>
          <w:lang w:val="es-PR"/>
        </w:rPr>
        <w:t xml:space="preserve"> los beneficios entre los distintos planes o seguros de salud que cubren al </w:t>
      </w:r>
      <w:r w:rsidR="008B00AA">
        <w:rPr>
          <w:rFonts w:ascii="Book Antiqua" w:hAnsi="Book Antiqua"/>
          <w:snapToGrid w:val="0"/>
          <w:sz w:val="24"/>
          <w:szCs w:val="24"/>
          <w:lang w:val="es-PR"/>
        </w:rPr>
        <w:t>asegurado</w:t>
      </w:r>
      <w:r w:rsidR="00EB5C54" w:rsidRPr="00A07C1D">
        <w:rPr>
          <w:rFonts w:ascii="Book Antiqua" w:hAnsi="Book Antiqua"/>
          <w:sz w:val="24"/>
          <w:szCs w:val="24"/>
          <w:lang w:val="es-PR"/>
        </w:rPr>
        <w:t xml:space="preserve">, </w:t>
      </w:r>
      <w:r w:rsidR="008B00AA">
        <w:rPr>
          <w:rFonts w:ascii="Book Antiqua" w:hAnsi="Book Antiqua"/>
          <w:sz w:val="24"/>
          <w:szCs w:val="24"/>
          <w:lang w:val="es-PR"/>
        </w:rPr>
        <w:t>se agilicen los procesos de coordinación de beneficios ante la</w:t>
      </w:r>
      <w:r w:rsidR="00EB5C54" w:rsidRPr="00A07C1D">
        <w:rPr>
          <w:rFonts w:ascii="Book Antiqua" w:hAnsi="Book Antiqua"/>
          <w:sz w:val="24"/>
          <w:szCs w:val="24"/>
          <w:lang w:val="es-PR"/>
        </w:rPr>
        <w:t xml:space="preserve"> responsabilidad mancomunadamente compartida</w:t>
      </w:r>
      <w:r w:rsidR="008B00AA">
        <w:rPr>
          <w:rFonts w:ascii="Book Antiqua" w:hAnsi="Book Antiqua"/>
          <w:sz w:val="24"/>
          <w:szCs w:val="24"/>
          <w:lang w:val="es-PR"/>
        </w:rPr>
        <w:t xml:space="preserve"> que se establece al amparo de esta Ley d</w:t>
      </w:r>
      <w:r w:rsidR="00EB5C54" w:rsidRPr="00A07C1D">
        <w:rPr>
          <w:rFonts w:ascii="Book Antiqua" w:hAnsi="Book Antiqua"/>
          <w:sz w:val="24"/>
          <w:szCs w:val="24"/>
          <w:lang w:val="es-PR"/>
        </w:rPr>
        <w:t xml:space="preserve">e las organizaciones de seguros de salud o aseguradores, de sus intermediarios y de los proveedores participantes. </w:t>
      </w:r>
      <w:r w:rsidRPr="00A07C1D">
        <w:rPr>
          <w:rFonts w:ascii="Book Antiqua" w:hAnsi="Book Antiqua"/>
          <w:snapToGrid w:val="0"/>
          <w:sz w:val="24"/>
          <w:szCs w:val="24"/>
          <w:lang w:val="es-PR"/>
        </w:rPr>
        <w:t xml:space="preserve"> De esta manera, promo</w:t>
      </w:r>
      <w:r w:rsidR="008B00AA">
        <w:rPr>
          <w:rFonts w:ascii="Book Antiqua" w:hAnsi="Book Antiqua"/>
          <w:snapToGrid w:val="0"/>
          <w:sz w:val="24"/>
          <w:szCs w:val="24"/>
          <w:lang w:val="es-PR"/>
        </w:rPr>
        <w:t>vemos</w:t>
      </w:r>
      <w:r w:rsidRPr="00A07C1D">
        <w:rPr>
          <w:rFonts w:ascii="Book Antiqua" w:hAnsi="Book Antiqua"/>
          <w:snapToGrid w:val="0"/>
          <w:sz w:val="24"/>
          <w:szCs w:val="24"/>
          <w:lang w:val="es-PR"/>
        </w:rPr>
        <w:t xml:space="preserve"> una mejor utilización de los planes médicos; y </w:t>
      </w:r>
      <w:proofErr w:type="spellStart"/>
      <w:r w:rsidRPr="00A07C1D">
        <w:rPr>
          <w:rFonts w:ascii="Book Antiqua" w:hAnsi="Book Antiqua"/>
          <w:snapToGrid w:val="0"/>
          <w:sz w:val="24"/>
          <w:szCs w:val="24"/>
          <w:lang w:val="es-PR"/>
        </w:rPr>
        <w:t>sobretodo</w:t>
      </w:r>
      <w:proofErr w:type="spellEnd"/>
      <w:r w:rsidRPr="00A07C1D">
        <w:rPr>
          <w:rFonts w:ascii="Book Antiqua" w:hAnsi="Book Antiqua"/>
          <w:snapToGrid w:val="0"/>
          <w:sz w:val="24"/>
          <w:szCs w:val="24"/>
          <w:lang w:val="es-PR"/>
        </w:rPr>
        <w:t xml:space="preserve">, del Plan de Salud Gubernamental, en el caso de que el participante posea el Plan de Salud Gubernamental en adición de un plan médico privado. </w:t>
      </w:r>
    </w:p>
    <w:p w14:paraId="40F10EFC" w14:textId="77777777" w:rsidR="00882B32" w:rsidRPr="00882B32" w:rsidRDefault="00882B32" w:rsidP="00A0795C">
      <w:pPr>
        <w:spacing w:after="0" w:line="240" w:lineRule="auto"/>
        <w:ind w:firstLine="720"/>
        <w:jc w:val="both"/>
        <w:rPr>
          <w:rFonts w:ascii="Book Antiqua" w:hAnsi="Book Antiqua"/>
          <w:snapToGrid w:val="0"/>
          <w:sz w:val="24"/>
          <w:szCs w:val="24"/>
          <w:lang w:val="es-PR"/>
        </w:rPr>
      </w:pPr>
    </w:p>
    <w:p w14:paraId="02F47C4B" w14:textId="1C446FEB" w:rsidR="00856A46" w:rsidRPr="00A0795C" w:rsidRDefault="00851E58" w:rsidP="00A0795C">
      <w:pPr>
        <w:spacing w:after="0" w:line="240" w:lineRule="auto"/>
        <w:jc w:val="both"/>
        <w:rPr>
          <w:rFonts w:ascii="Book Antiqua" w:hAnsi="Book Antiqua"/>
          <w:bCs/>
          <w:i/>
          <w:iCs/>
          <w:sz w:val="24"/>
          <w:szCs w:val="28"/>
          <w:lang w:val="es-PR"/>
        </w:rPr>
      </w:pPr>
      <w:r w:rsidRPr="00A0795C">
        <w:rPr>
          <w:rFonts w:ascii="Book Antiqua" w:hAnsi="Book Antiqua"/>
          <w:bCs/>
          <w:i/>
          <w:iCs/>
          <w:sz w:val="24"/>
          <w:szCs w:val="28"/>
          <w:lang w:val="es-PR"/>
        </w:rPr>
        <w:t>DECRÉTASE POR LA ASAMBLEA LEGISLATIVA DE PUERTO RICO</w:t>
      </w:r>
      <w:r w:rsidR="00A0795C">
        <w:rPr>
          <w:rFonts w:ascii="Book Antiqua" w:hAnsi="Book Antiqua"/>
          <w:bCs/>
          <w:i/>
          <w:iCs/>
          <w:sz w:val="24"/>
          <w:szCs w:val="28"/>
          <w:lang w:val="es-PR"/>
        </w:rPr>
        <w:t>:</w:t>
      </w:r>
    </w:p>
    <w:p w14:paraId="6078E609" w14:textId="77777777" w:rsidR="00882B32" w:rsidRDefault="00882B32" w:rsidP="00882B32">
      <w:pPr>
        <w:spacing w:after="0" w:line="240" w:lineRule="auto"/>
        <w:jc w:val="both"/>
        <w:rPr>
          <w:rFonts w:ascii="Book Antiqua" w:hAnsi="Book Antiqua"/>
          <w:bCs/>
          <w:i/>
          <w:iCs/>
          <w:szCs w:val="24"/>
          <w:lang w:val="es-PR"/>
        </w:rPr>
      </w:pPr>
    </w:p>
    <w:p w14:paraId="3895E7B3" w14:textId="198AC7D2" w:rsidR="00882B32" w:rsidRPr="0051721B" w:rsidRDefault="00882B32" w:rsidP="00882B32">
      <w:pPr>
        <w:spacing w:after="0" w:line="240" w:lineRule="auto"/>
        <w:jc w:val="both"/>
        <w:rPr>
          <w:rFonts w:ascii="Book Antiqua" w:hAnsi="Book Antiqua"/>
          <w:bCs/>
          <w:i/>
          <w:iCs/>
          <w:szCs w:val="24"/>
          <w:lang w:val="es-ES_tradnl"/>
        </w:rPr>
        <w:sectPr w:rsidR="00882B32" w:rsidRPr="0051721B" w:rsidSect="009A1ECF">
          <w:headerReference w:type="default" r:id="rId7"/>
          <w:pgSz w:w="12240" w:h="15840"/>
          <w:pgMar w:top="1440" w:right="1440" w:bottom="1440" w:left="1440" w:header="720" w:footer="720" w:gutter="0"/>
          <w:cols w:space="720"/>
          <w:titlePg/>
          <w:docGrid w:linePitch="360"/>
        </w:sectPr>
      </w:pPr>
    </w:p>
    <w:p w14:paraId="1D73F163" w14:textId="4A8D54BE" w:rsidR="00AE37C2" w:rsidRDefault="00AE37C2" w:rsidP="004E44E9">
      <w:pPr>
        <w:spacing w:after="0" w:line="240" w:lineRule="auto"/>
        <w:ind w:firstLine="720"/>
        <w:jc w:val="both"/>
        <w:rPr>
          <w:rFonts w:ascii="Book Antiqua" w:hAnsi="Book Antiqua"/>
          <w:sz w:val="24"/>
          <w:szCs w:val="24"/>
          <w:lang w:val="es-PR"/>
        </w:rPr>
      </w:pPr>
      <w:r w:rsidRPr="00AE37C2">
        <w:rPr>
          <w:rFonts w:ascii="Book Antiqua" w:hAnsi="Book Antiqua"/>
          <w:color w:val="000000"/>
          <w:sz w:val="24"/>
          <w:szCs w:val="28"/>
          <w:lang w:val="es-ES_tradnl"/>
        </w:rPr>
        <w:t>Sección</w:t>
      </w:r>
      <w:r w:rsidR="00851E58" w:rsidRPr="00AE37C2">
        <w:rPr>
          <w:rFonts w:ascii="Book Antiqua" w:hAnsi="Book Antiqua"/>
          <w:color w:val="000000"/>
          <w:sz w:val="24"/>
          <w:szCs w:val="28"/>
          <w:lang w:val="es-ES_tradnl"/>
        </w:rPr>
        <w:t xml:space="preserve"> 1.</w:t>
      </w:r>
      <w:r>
        <w:rPr>
          <w:rFonts w:ascii="Book Antiqua" w:hAnsi="Book Antiqua"/>
          <w:color w:val="000000"/>
          <w:sz w:val="24"/>
          <w:szCs w:val="28"/>
          <w:lang w:val="es-ES_tradnl"/>
        </w:rPr>
        <w:t>-</w:t>
      </w:r>
      <w:r w:rsidRPr="00AE37C2">
        <w:rPr>
          <w:rFonts w:ascii="Book Antiqua" w:hAnsi="Book Antiqua"/>
          <w:snapToGrid w:val="0"/>
          <w:sz w:val="24"/>
          <w:szCs w:val="24"/>
          <w:lang w:val="es-PR"/>
        </w:rPr>
        <w:t>Se enmienda el inciso (</w:t>
      </w:r>
      <w:r w:rsidR="007B6A2C">
        <w:rPr>
          <w:rFonts w:ascii="Book Antiqua" w:hAnsi="Book Antiqua"/>
          <w:snapToGrid w:val="0"/>
          <w:sz w:val="24"/>
          <w:szCs w:val="24"/>
          <w:lang w:val="es-PR"/>
        </w:rPr>
        <w:t>S</w:t>
      </w:r>
      <w:r w:rsidRPr="00AE37C2">
        <w:rPr>
          <w:rFonts w:ascii="Book Antiqua" w:hAnsi="Book Antiqua"/>
          <w:snapToGrid w:val="0"/>
          <w:sz w:val="24"/>
          <w:szCs w:val="24"/>
          <w:lang w:val="es-PR"/>
        </w:rPr>
        <w:t xml:space="preserve">) del Artículo 26.060 de la Ley </w:t>
      </w:r>
      <w:r w:rsidRPr="00AE37C2">
        <w:rPr>
          <w:rFonts w:ascii="Book Antiqua" w:hAnsi="Book Antiqua"/>
          <w:sz w:val="24"/>
          <w:szCs w:val="24"/>
          <w:lang w:val="es-PR"/>
        </w:rPr>
        <w:t>194-2011, según enmendada, mejor conocida como “Código de Seguros de Salud de Puerto Rico”, para que se lea como sigue:</w:t>
      </w:r>
    </w:p>
    <w:p w14:paraId="00239B69" w14:textId="77777777" w:rsidR="004E44E9" w:rsidRPr="00AE37C2" w:rsidRDefault="004E44E9" w:rsidP="004E44E9">
      <w:pPr>
        <w:spacing w:after="0" w:line="240" w:lineRule="auto"/>
        <w:ind w:firstLine="720"/>
        <w:jc w:val="both"/>
        <w:rPr>
          <w:rFonts w:ascii="Book Antiqua" w:hAnsi="Book Antiqua"/>
          <w:sz w:val="24"/>
          <w:szCs w:val="24"/>
          <w:lang w:val="es-PR"/>
        </w:rPr>
      </w:pPr>
    </w:p>
    <w:p w14:paraId="1677700A" w14:textId="77777777" w:rsidR="00AE37C2" w:rsidRDefault="00AE37C2" w:rsidP="004E44E9">
      <w:pPr>
        <w:spacing w:after="0" w:line="240" w:lineRule="auto"/>
        <w:ind w:firstLine="720"/>
        <w:jc w:val="both"/>
        <w:rPr>
          <w:rFonts w:ascii="Book Antiqua" w:hAnsi="Book Antiqua"/>
          <w:sz w:val="24"/>
          <w:szCs w:val="24"/>
          <w:lang w:val="es-PR"/>
        </w:rPr>
      </w:pPr>
      <w:r w:rsidRPr="00AE37C2">
        <w:rPr>
          <w:rFonts w:ascii="Book Antiqua" w:hAnsi="Book Antiqua"/>
          <w:sz w:val="24"/>
          <w:szCs w:val="24"/>
          <w:lang w:val="es-PR"/>
        </w:rPr>
        <w:t>“Artículo 26.060.- Requisitos para las Organizaciones de Seguros de Salud o Aseguradores y los Proveedores Participantes</w:t>
      </w:r>
    </w:p>
    <w:p w14:paraId="34EF871D" w14:textId="77777777" w:rsidR="004E44E9" w:rsidRPr="00AE37C2" w:rsidRDefault="004E44E9" w:rsidP="004E44E9">
      <w:pPr>
        <w:spacing w:after="0" w:line="240" w:lineRule="auto"/>
        <w:ind w:firstLine="720"/>
        <w:jc w:val="both"/>
        <w:rPr>
          <w:rFonts w:ascii="Book Antiqua" w:hAnsi="Book Antiqua"/>
          <w:sz w:val="24"/>
          <w:szCs w:val="24"/>
          <w:lang w:val="es-PR"/>
        </w:rPr>
      </w:pPr>
    </w:p>
    <w:p w14:paraId="6D760D01" w14:textId="77777777" w:rsidR="00AE37C2" w:rsidRPr="00AE37C2" w:rsidRDefault="00AE37C2" w:rsidP="004E44E9">
      <w:pPr>
        <w:spacing w:after="0" w:line="240" w:lineRule="auto"/>
        <w:ind w:firstLine="720"/>
        <w:jc w:val="both"/>
        <w:rPr>
          <w:rFonts w:ascii="Book Antiqua" w:hAnsi="Book Antiqua"/>
          <w:sz w:val="24"/>
          <w:szCs w:val="24"/>
          <w:lang w:val="es-PR"/>
        </w:rPr>
      </w:pPr>
      <w:r w:rsidRPr="00AE37C2">
        <w:rPr>
          <w:rFonts w:ascii="Book Antiqua" w:hAnsi="Book Antiqua"/>
          <w:sz w:val="24"/>
          <w:szCs w:val="24"/>
          <w:lang w:val="es-PR"/>
        </w:rPr>
        <w:lastRenderedPageBreak/>
        <w:t>Las organizaciones de seguros de salud o aseguradores que ofrezcan planes de cuidado coordinado deberán satisfacer todos los requisitos siguientes:</w:t>
      </w:r>
    </w:p>
    <w:p w14:paraId="2BF0F0CA" w14:textId="1AFE0F81" w:rsidR="00AE37C2" w:rsidRDefault="007B6A2C" w:rsidP="00A5358D">
      <w:pPr>
        <w:pStyle w:val="ListParagraph"/>
        <w:numPr>
          <w:ilvl w:val="0"/>
          <w:numId w:val="2"/>
        </w:numPr>
        <w:spacing w:after="0" w:line="24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024D6CF5" w14:textId="77777777" w:rsidR="004E44E9" w:rsidRPr="00AE37C2" w:rsidRDefault="004E44E9" w:rsidP="004E44E9">
      <w:pPr>
        <w:pStyle w:val="ListParagraph"/>
        <w:spacing w:after="0" w:line="240" w:lineRule="auto"/>
        <w:ind w:left="1080"/>
        <w:contextualSpacing w:val="0"/>
        <w:jc w:val="both"/>
        <w:rPr>
          <w:rFonts w:ascii="Book Antiqua" w:hAnsi="Book Antiqua"/>
          <w:snapToGrid w:val="0"/>
          <w:sz w:val="24"/>
          <w:szCs w:val="24"/>
          <w:lang w:val="es-PR"/>
        </w:rPr>
      </w:pPr>
    </w:p>
    <w:p w14:paraId="510C7702" w14:textId="77777777" w:rsidR="00AE37C2" w:rsidRPr="00AE37C2" w:rsidRDefault="00AE37C2" w:rsidP="00A5358D">
      <w:pPr>
        <w:pStyle w:val="ListParagraph"/>
        <w:numPr>
          <w:ilvl w:val="0"/>
          <w:numId w:val="2"/>
        </w:numPr>
        <w:spacing w:after="0" w:line="24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5A830ED1"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0411D3C1" w14:textId="6F5993AC" w:rsidR="00AE37C2" w:rsidRPr="00AE37C2"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4FFE6968" w14:textId="77777777" w:rsidR="004E44E9" w:rsidRDefault="004E44E9" w:rsidP="004E44E9">
      <w:pPr>
        <w:spacing w:after="0" w:line="240" w:lineRule="auto"/>
        <w:ind w:left="1080" w:hanging="360"/>
        <w:jc w:val="both"/>
        <w:rPr>
          <w:rFonts w:ascii="Book Antiqua" w:hAnsi="Book Antiqua"/>
          <w:snapToGrid w:val="0"/>
          <w:sz w:val="24"/>
          <w:szCs w:val="24"/>
          <w:lang w:val="es-PR"/>
        </w:rPr>
      </w:pPr>
    </w:p>
    <w:p w14:paraId="180FCBB4" w14:textId="58A0BEEE" w:rsidR="00AE37C2" w:rsidRPr="00186A92" w:rsidRDefault="007B6A2C" w:rsidP="004E44E9">
      <w:pPr>
        <w:spacing w:after="0" w:line="240" w:lineRule="auto"/>
        <w:ind w:left="1080" w:hanging="360"/>
        <w:jc w:val="both"/>
        <w:rPr>
          <w:rFonts w:ascii="Book Antiqua" w:hAnsi="Book Antiqua"/>
          <w:snapToGrid w:val="0"/>
          <w:sz w:val="24"/>
          <w:szCs w:val="24"/>
          <w:lang w:val="es-PR"/>
        </w:rPr>
      </w:pPr>
      <w:r w:rsidRPr="00AE37C2">
        <w:rPr>
          <w:rFonts w:ascii="Book Antiqua" w:hAnsi="Book Antiqua"/>
          <w:snapToGrid w:val="0"/>
          <w:sz w:val="24"/>
          <w:szCs w:val="24"/>
          <w:lang w:val="es-PR"/>
        </w:rPr>
        <w:t>S</w:t>
      </w:r>
      <w:r w:rsidR="00AE37C2" w:rsidRPr="00AE37C2">
        <w:rPr>
          <w:rFonts w:ascii="Book Antiqua" w:hAnsi="Book Antiqua"/>
          <w:snapToGrid w:val="0"/>
          <w:sz w:val="24"/>
          <w:szCs w:val="24"/>
          <w:lang w:val="es-PR"/>
        </w:rPr>
        <w:t>)</w:t>
      </w:r>
      <w:r w:rsidR="00AE37C2" w:rsidRPr="00AE37C2">
        <w:rPr>
          <w:rFonts w:ascii="Book Antiqua" w:hAnsi="Book Antiqua"/>
          <w:snapToGrid w:val="0"/>
          <w:sz w:val="24"/>
          <w:szCs w:val="24"/>
          <w:lang w:val="es-PR"/>
        </w:rPr>
        <w:tab/>
      </w:r>
      <w:r w:rsidR="00AE37C2" w:rsidRPr="00AE37C2">
        <w:rPr>
          <w:rFonts w:ascii="Book Antiqua" w:hAnsi="Book Antiqua"/>
          <w:sz w:val="24"/>
          <w:szCs w:val="24"/>
          <w:lang w:val="es-PR"/>
        </w:rPr>
        <w:t xml:space="preserve">Las organizaciones de seguros de salud o aseguradores incluirán en sus contratos con los proveedores </w:t>
      </w:r>
      <w:r w:rsidR="00186A92" w:rsidRPr="00AE37C2">
        <w:rPr>
          <w:rFonts w:ascii="Book Antiqua" w:hAnsi="Book Antiqua"/>
          <w:sz w:val="24"/>
          <w:szCs w:val="24"/>
          <w:lang w:val="es-PR"/>
        </w:rPr>
        <w:t>participantes</w:t>
      </w:r>
      <w:r w:rsidR="00186A92">
        <w:rPr>
          <w:rFonts w:ascii="Book Antiqua" w:hAnsi="Book Antiqua"/>
          <w:sz w:val="24"/>
          <w:szCs w:val="24"/>
          <w:lang w:val="es-PR"/>
        </w:rPr>
        <w:t xml:space="preserve"> </w:t>
      </w:r>
      <w:r w:rsidR="00186A92" w:rsidRPr="00AE37C2">
        <w:rPr>
          <w:rFonts w:ascii="Book Antiqua" w:hAnsi="Book Antiqua"/>
          <w:sz w:val="24"/>
          <w:szCs w:val="24"/>
          <w:lang w:val="es-PR"/>
        </w:rPr>
        <w:t>los</w:t>
      </w:r>
      <w:r w:rsidR="00AE37C2" w:rsidRPr="00186A92">
        <w:rPr>
          <w:rFonts w:ascii="Book Antiqua" w:hAnsi="Book Antiqua"/>
          <w:sz w:val="24"/>
          <w:szCs w:val="24"/>
          <w:lang w:val="es-PR"/>
        </w:rPr>
        <w:t xml:space="preserve"> parámetros para tramitar la coordinación de beneficios de servicios de salud de los pacientes, los cuales se regirán por la reglamentación que a estos efectos establezca el Comisionado tomando como base la Ley Modelo vigente de la </w:t>
      </w:r>
      <w:r w:rsidR="00AE37C2" w:rsidRPr="00186A92">
        <w:rPr>
          <w:rFonts w:ascii="Book Antiqua" w:hAnsi="Book Antiqua" w:cs="Arial"/>
          <w:color w:val="202124"/>
          <w:sz w:val="24"/>
          <w:szCs w:val="24"/>
          <w:shd w:val="clear" w:color="auto" w:fill="FFFFFF"/>
          <w:lang w:val="es-PR"/>
        </w:rPr>
        <w:t>Asociación Nacional de Comisionados de Seguros</w:t>
      </w:r>
      <w:r w:rsidR="00AE37C2" w:rsidRPr="00186A92">
        <w:rPr>
          <w:rFonts w:ascii="Book Antiqua" w:hAnsi="Book Antiqua"/>
          <w:sz w:val="24"/>
          <w:szCs w:val="24"/>
          <w:lang w:val="es-PR"/>
        </w:rPr>
        <w:t xml:space="preserve"> (NAIC, por sus siglas en inglés)</w:t>
      </w:r>
      <w:r w:rsidR="00AE37C2" w:rsidRPr="00AE37C2">
        <w:rPr>
          <w:rFonts w:ascii="Book Antiqua" w:hAnsi="Book Antiqua"/>
          <w:sz w:val="24"/>
          <w:szCs w:val="24"/>
          <w:lang w:val="es-PR"/>
        </w:rPr>
        <w:t xml:space="preserve"> y las leyes federales sobre coordinación de beneficios.  </w:t>
      </w:r>
      <w:r w:rsidR="00EA4A89" w:rsidRPr="00186A92">
        <w:rPr>
          <w:rFonts w:ascii="Book Antiqua" w:hAnsi="Book Antiqua"/>
          <w:sz w:val="24"/>
          <w:szCs w:val="24"/>
          <w:lang w:val="es-PR"/>
        </w:rPr>
        <w:t>Se establece que en aquellos casos en que la persona cubierta o asegurado esté cubierto bajo dos (2) o más planes médicos, la responsabilidad de la coordinación de beneficios es una mancomunadamente compartida de las organizaciones de seguros de salud o aseguradores, de sus intermediarios y de los proveedores participantes.</w:t>
      </w:r>
      <w:r w:rsidR="00831A05">
        <w:rPr>
          <w:rFonts w:ascii="Book Antiqua" w:hAnsi="Book Antiqua"/>
          <w:sz w:val="24"/>
          <w:szCs w:val="24"/>
          <w:lang w:val="es-PR"/>
        </w:rPr>
        <w:t xml:space="preserve">   Disponiéndose que contarán con un término máximo de treinta (30) días para completar los procesos de coordinación de beneficios, a partir del momento que recibieron la totalidad de información y documentación necesaria</w:t>
      </w:r>
      <w:r w:rsidR="004519D4">
        <w:rPr>
          <w:rFonts w:ascii="Book Antiqua" w:hAnsi="Book Antiqua"/>
          <w:sz w:val="24"/>
          <w:szCs w:val="24"/>
          <w:lang w:val="es-PR"/>
        </w:rPr>
        <w:t>”</w:t>
      </w:r>
    </w:p>
    <w:p w14:paraId="2477FD9C"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0DE3EA20" w14:textId="6E1E88EE" w:rsidR="0076672F" w:rsidRPr="00AE37C2" w:rsidRDefault="0076672F" w:rsidP="004E44E9">
      <w:pPr>
        <w:spacing w:after="0" w:line="24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 xml:space="preserve">Sección 2.-Se </w:t>
      </w:r>
      <w:r w:rsidRPr="00AE37C2">
        <w:rPr>
          <w:rFonts w:ascii="Book Antiqua" w:hAnsi="Book Antiqua"/>
          <w:snapToGrid w:val="0"/>
          <w:sz w:val="24"/>
          <w:szCs w:val="24"/>
          <w:lang w:val="es-PR"/>
        </w:rPr>
        <w:t xml:space="preserve">añaden los </w:t>
      </w:r>
      <w:proofErr w:type="spellStart"/>
      <w:r w:rsidRPr="00AE37C2">
        <w:rPr>
          <w:rFonts w:ascii="Book Antiqua" w:hAnsi="Book Antiqua"/>
          <w:snapToGrid w:val="0"/>
          <w:sz w:val="24"/>
          <w:szCs w:val="24"/>
          <w:lang w:val="es-PR"/>
        </w:rPr>
        <w:t>sub-incisos</w:t>
      </w:r>
      <w:proofErr w:type="spellEnd"/>
      <w:r w:rsidRPr="00AE37C2">
        <w:rPr>
          <w:rFonts w:ascii="Book Antiqua" w:hAnsi="Book Antiqua"/>
          <w:snapToGrid w:val="0"/>
          <w:sz w:val="24"/>
          <w:szCs w:val="24"/>
          <w:lang w:val="es-PR"/>
        </w:rPr>
        <w:t xml:space="preserve"> 14 y 15 al inciso (a) del Artículo 17 de la Ley 194-2000, según enmendada, mejor conocida como</w:t>
      </w:r>
      <w:r w:rsidR="004D0F55">
        <w:rPr>
          <w:rFonts w:ascii="Book Antiqua" w:hAnsi="Book Antiqua"/>
          <w:snapToGrid w:val="0"/>
          <w:sz w:val="24"/>
          <w:szCs w:val="24"/>
          <w:lang w:val="es-PR"/>
        </w:rPr>
        <w:t xml:space="preserve"> la</w:t>
      </w:r>
      <w:r w:rsidRPr="00AE37C2">
        <w:rPr>
          <w:rFonts w:ascii="Book Antiqua" w:hAnsi="Book Antiqua"/>
          <w:snapToGrid w:val="0"/>
          <w:sz w:val="24"/>
          <w:szCs w:val="24"/>
          <w:lang w:val="es-PR"/>
        </w:rPr>
        <w:t xml:space="preserve"> “Carta de Derechos y Responsabilidades del Paciente”, para que se lean como sigue: </w:t>
      </w:r>
    </w:p>
    <w:p w14:paraId="51743AD1" w14:textId="77777777" w:rsidR="004E44E9" w:rsidRDefault="004E44E9" w:rsidP="004E44E9">
      <w:pPr>
        <w:spacing w:after="0" w:line="240" w:lineRule="auto"/>
        <w:ind w:left="900" w:hanging="180"/>
        <w:jc w:val="both"/>
        <w:rPr>
          <w:rFonts w:ascii="Book Antiqua" w:hAnsi="Book Antiqua"/>
          <w:snapToGrid w:val="0"/>
          <w:sz w:val="24"/>
          <w:szCs w:val="24"/>
          <w:lang w:val="es-PR"/>
        </w:rPr>
      </w:pPr>
    </w:p>
    <w:p w14:paraId="7B997782" w14:textId="2A4919EC" w:rsidR="0076672F" w:rsidRPr="00AE37C2" w:rsidRDefault="0076672F" w:rsidP="004E44E9">
      <w:pPr>
        <w:spacing w:after="0" w:line="240" w:lineRule="auto"/>
        <w:ind w:left="900" w:hanging="180"/>
        <w:jc w:val="both"/>
        <w:rPr>
          <w:rFonts w:ascii="Book Antiqua" w:hAnsi="Book Antiqua"/>
          <w:snapToGrid w:val="0"/>
          <w:sz w:val="24"/>
          <w:szCs w:val="24"/>
          <w:lang w:val="es-PR"/>
        </w:rPr>
      </w:pPr>
      <w:r w:rsidRPr="00AE37C2">
        <w:rPr>
          <w:rFonts w:ascii="Book Antiqua" w:hAnsi="Book Antiqua"/>
          <w:snapToGrid w:val="0"/>
          <w:sz w:val="24"/>
          <w:szCs w:val="24"/>
          <w:lang w:val="es-PR"/>
        </w:rPr>
        <w:t>“Artículo 17.-Querellas y procedimientos relacionados</w:t>
      </w:r>
    </w:p>
    <w:p w14:paraId="102A2B35" w14:textId="77777777" w:rsidR="004E44E9" w:rsidRDefault="004E44E9" w:rsidP="004E44E9">
      <w:pPr>
        <w:spacing w:after="0" w:line="240" w:lineRule="auto"/>
        <w:ind w:left="1440" w:right="360" w:hanging="720"/>
        <w:jc w:val="both"/>
        <w:rPr>
          <w:rFonts w:ascii="Book Antiqua" w:hAnsi="Book Antiqua"/>
          <w:snapToGrid w:val="0"/>
          <w:sz w:val="24"/>
          <w:szCs w:val="24"/>
          <w:lang w:val="es-PR"/>
        </w:rPr>
      </w:pPr>
    </w:p>
    <w:p w14:paraId="6C0E9541" w14:textId="0680DC46" w:rsidR="004E44E9" w:rsidRPr="004E44E9" w:rsidRDefault="0076672F" w:rsidP="00A5358D">
      <w:pPr>
        <w:pStyle w:val="ListParagraph"/>
        <w:numPr>
          <w:ilvl w:val="0"/>
          <w:numId w:val="4"/>
        </w:numPr>
        <w:spacing w:after="0" w:line="240" w:lineRule="auto"/>
        <w:ind w:right="360"/>
        <w:jc w:val="both"/>
        <w:rPr>
          <w:rFonts w:ascii="Book Antiqua" w:hAnsi="Book Antiqua"/>
          <w:snapToGrid w:val="0"/>
          <w:sz w:val="24"/>
          <w:szCs w:val="24"/>
          <w:lang w:val="es-PR"/>
        </w:rPr>
      </w:pPr>
      <w:r w:rsidRPr="004E44E9">
        <w:rPr>
          <w:rFonts w:ascii="Book Antiqua" w:hAnsi="Book Antiqua"/>
          <w:snapToGrid w:val="0"/>
          <w:sz w:val="24"/>
          <w:szCs w:val="24"/>
          <w:lang w:val="es-PR"/>
        </w:rPr>
        <w:t>Todo paciente, tutor, asegurado, usuario o consumidor de servicios</w:t>
      </w:r>
      <w:r w:rsidR="005674CF" w:rsidRPr="004E44E9">
        <w:rPr>
          <w:rFonts w:ascii="Book Antiqua" w:hAnsi="Book Antiqua"/>
          <w:snapToGrid w:val="0"/>
          <w:sz w:val="24"/>
          <w:szCs w:val="24"/>
          <w:lang w:val="es-PR"/>
        </w:rPr>
        <w:t xml:space="preserve"> y facilidades de salud</w:t>
      </w:r>
      <w:r w:rsidR="005674CF" w:rsidRPr="004E44E9">
        <w:rPr>
          <w:rFonts w:ascii="Book Antiqua" w:hAnsi="Book Antiqua"/>
          <w:i/>
          <w:iCs/>
          <w:snapToGrid w:val="0"/>
          <w:sz w:val="24"/>
          <w:szCs w:val="24"/>
          <w:lang w:val="es-PR"/>
        </w:rPr>
        <w:t xml:space="preserve"> </w:t>
      </w:r>
      <w:r w:rsidRPr="004E44E9">
        <w:rPr>
          <w:rFonts w:ascii="Book Antiqua" w:hAnsi="Book Antiqua"/>
          <w:snapToGrid w:val="0"/>
          <w:sz w:val="24"/>
          <w:szCs w:val="24"/>
          <w:lang w:val="es-PR"/>
        </w:rPr>
        <w:t>que considere que se le han violado sus derechos o los de su tutelado, bajo la presente Ley, podrá presentar una querella administrativa contra el proveedor o asegurador o tercero administrador o intermediario en cuestión ante el Departamento, en asuntos como los siguientes:</w:t>
      </w:r>
    </w:p>
    <w:p w14:paraId="498AA4AC" w14:textId="3CC8526B" w:rsidR="0076672F" w:rsidRPr="004E44E9" w:rsidRDefault="0076672F" w:rsidP="004E44E9">
      <w:pPr>
        <w:pStyle w:val="ListParagraph"/>
        <w:spacing w:after="0" w:line="240" w:lineRule="auto"/>
        <w:ind w:left="1440" w:right="360"/>
        <w:jc w:val="both"/>
        <w:rPr>
          <w:rFonts w:ascii="Book Antiqua" w:hAnsi="Book Antiqua"/>
          <w:snapToGrid w:val="0"/>
          <w:sz w:val="24"/>
          <w:szCs w:val="24"/>
          <w:lang w:val="es-PR"/>
        </w:rPr>
      </w:pPr>
      <w:r w:rsidRPr="004E44E9">
        <w:rPr>
          <w:rFonts w:ascii="Book Antiqua" w:hAnsi="Book Antiqua"/>
          <w:snapToGrid w:val="0"/>
          <w:sz w:val="24"/>
          <w:szCs w:val="24"/>
          <w:lang w:val="es-PR"/>
        </w:rPr>
        <w:tab/>
      </w:r>
    </w:p>
    <w:p w14:paraId="66DC2A6E" w14:textId="77777777" w:rsidR="0076672F" w:rsidRPr="00AE37C2" w:rsidRDefault="0076672F" w:rsidP="00A5358D">
      <w:pPr>
        <w:pStyle w:val="BodyText"/>
        <w:numPr>
          <w:ilvl w:val="0"/>
          <w:numId w:val="1"/>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hanging="720"/>
        <w:rPr>
          <w:rFonts w:ascii="Book Antiqua" w:hAnsi="Book Antiqua"/>
          <w:szCs w:val="24"/>
        </w:rPr>
      </w:pPr>
      <w:r w:rsidRPr="00AE37C2">
        <w:rPr>
          <w:rFonts w:ascii="Book Antiqua" w:hAnsi="Book Antiqua"/>
          <w:szCs w:val="24"/>
        </w:rPr>
        <w:t>. . .</w:t>
      </w:r>
    </w:p>
    <w:p w14:paraId="4DB3CDD8" w14:textId="77777777" w:rsidR="004E44E9" w:rsidRDefault="004E44E9"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rPr>
          <w:rFonts w:ascii="Book Antiqua" w:hAnsi="Book Antiqua"/>
          <w:szCs w:val="24"/>
        </w:rPr>
      </w:pPr>
    </w:p>
    <w:p w14:paraId="2754B6E6" w14:textId="104F4FC4" w:rsidR="0076672F" w:rsidRPr="00AE37C2" w:rsidRDefault="0076672F"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rPr>
          <w:rFonts w:ascii="Book Antiqua" w:hAnsi="Book Antiqua"/>
          <w:szCs w:val="24"/>
        </w:rPr>
      </w:pPr>
      <w:r w:rsidRPr="00AE37C2">
        <w:rPr>
          <w:rFonts w:ascii="Book Antiqua" w:hAnsi="Book Antiqua"/>
          <w:szCs w:val="24"/>
        </w:rPr>
        <w:t>…</w:t>
      </w:r>
    </w:p>
    <w:p w14:paraId="67B94E92" w14:textId="77777777" w:rsidR="004E44E9" w:rsidRDefault="004E44E9"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hanging="720"/>
        <w:rPr>
          <w:rFonts w:ascii="Book Antiqua" w:hAnsi="Book Antiqua"/>
          <w:szCs w:val="24"/>
          <w:lang w:val="es-PR"/>
        </w:rPr>
      </w:pPr>
    </w:p>
    <w:p w14:paraId="77F94F79" w14:textId="05ECC7CA" w:rsidR="0076672F" w:rsidRPr="00186A92" w:rsidRDefault="0076672F"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hanging="720"/>
        <w:rPr>
          <w:rFonts w:ascii="Book Antiqua" w:hAnsi="Book Antiqua"/>
          <w:szCs w:val="24"/>
          <w:lang w:val="es-PR"/>
        </w:rPr>
      </w:pPr>
      <w:r w:rsidRPr="00831A05">
        <w:rPr>
          <w:rFonts w:ascii="Book Antiqua" w:hAnsi="Book Antiqua"/>
          <w:szCs w:val="24"/>
          <w:lang w:val="es-PR"/>
        </w:rPr>
        <w:t>14</w:t>
      </w:r>
      <w:r w:rsidRPr="00883432">
        <w:rPr>
          <w:rFonts w:ascii="Book Antiqua" w:hAnsi="Book Antiqua"/>
          <w:i/>
          <w:iCs/>
          <w:szCs w:val="24"/>
          <w:lang w:val="es-PR"/>
        </w:rPr>
        <w:t>.</w:t>
      </w:r>
      <w:r w:rsidRPr="00AE37C2">
        <w:rPr>
          <w:rFonts w:ascii="Book Antiqua" w:hAnsi="Book Antiqua"/>
          <w:szCs w:val="24"/>
          <w:lang w:val="es-PR"/>
        </w:rPr>
        <w:t xml:space="preserve">  </w:t>
      </w:r>
      <w:r w:rsidRPr="00AE37C2">
        <w:rPr>
          <w:rFonts w:ascii="Book Antiqua" w:hAnsi="Book Antiqua"/>
          <w:szCs w:val="24"/>
          <w:lang w:val="es-PR"/>
        </w:rPr>
        <w:tab/>
      </w:r>
      <w:r w:rsidRPr="00186A92">
        <w:rPr>
          <w:rFonts w:ascii="Book Antiqua" w:hAnsi="Book Antiqua"/>
          <w:szCs w:val="24"/>
          <w:lang w:val="es-PR"/>
        </w:rPr>
        <w:t>Cuando un proveedor se niega a efectuar la coordinación de beneficios o un asegurador o tercero administrador</w:t>
      </w:r>
      <w:r w:rsidR="00883432" w:rsidRPr="00186A92">
        <w:rPr>
          <w:rFonts w:ascii="Book Antiqua" w:hAnsi="Book Antiqua"/>
          <w:szCs w:val="24"/>
          <w:lang w:val="es-PR"/>
        </w:rPr>
        <w:t xml:space="preserve"> o intermediario</w:t>
      </w:r>
      <w:r w:rsidRPr="00186A92">
        <w:rPr>
          <w:rFonts w:ascii="Book Antiqua" w:hAnsi="Book Antiqua"/>
          <w:szCs w:val="24"/>
          <w:lang w:val="es-PR"/>
        </w:rPr>
        <w:t xml:space="preserve"> obstaculiza o rehúsa sin justificación válida </w:t>
      </w:r>
      <w:r w:rsidR="004D0F55" w:rsidRPr="00186A92">
        <w:rPr>
          <w:rFonts w:ascii="Book Antiqua" w:hAnsi="Book Antiqua"/>
          <w:szCs w:val="24"/>
          <w:lang w:val="es-PR"/>
        </w:rPr>
        <w:t xml:space="preserve">el </w:t>
      </w:r>
      <w:r w:rsidRPr="00186A92">
        <w:rPr>
          <w:rFonts w:ascii="Book Antiqua" w:hAnsi="Book Antiqua"/>
          <w:szCs w:val="24"/>
          <w:lang w:val="es-PR"/>
        </w:rPr>
        <w:t xml:space="preserve">colaborar en la gestión de la </w:t>
      </w:r>
      <w:r w:rsidRPr="00186A92">
        <w:rPr>
          <w:rFonts w:ascii="Book Antiqua" w:hAnsi="Book Antiqua"/>
          <w:szCs w:val="24"/>
          <w:lang w:val="es-PR"/>
        </w:rPr>
        <w:lastRenderedPageBreak/>
        <w:t>coordinación de beneficios.</w:t>
      </w:r>
    </w:p>
    <w:p w14:paraId="13DD66FA" w14:textId="77777777" w:rsidR="004E44E9" w:rsidRDefault="004E44E9"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hanging="720"/>
        <w:rPr>
          <w:rFonts w:ascii="Book Antiqua" w:hAnsi="Book Antiqua"/>
          <w:w w:val="105"/>
          <w:szCs w:val="24"/>
          <w:lang w:val="es-PR"/>
        </w:rPr>
      </w:pPr>
    </w:p>
    <w:p w14:paraId="326ABE75" w14:textId="4B082E1A" w:rsidR="0076672F" w:rsidRPr="00883432" w:rsidRDefault="0076672F" w:rsidP="004E44E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240" w:lineRule="auto"/>
        <w:ind w:left="2160" w:right="-43" w:hanging="720"/>
        <w:rPr>
          <w:rFonts w:ascii="Book Antiqua" w:hAnsi="Book Antiqua"/>
          <w:i/>
          <w:iCs/>
          <w:w w:val="105"/>
          <w:szCs w:val="24"/>
          <w:lang w:val="es-PR"/>
        </w:rPr>
      </w:pPr>
      <w:r w:rsidRPr="00186A92">
        <w:rPr>
          <w:rFonts w:ascii="Book Antiqua" w:hAnsi="Book Antiqua"/>
          <w:w w:val="105"/>
          <w:szCs w:val="24"/>
          <w:lang w:val="es-PR"/>
        </w:rPr>
        <w:t>15.</w:t>
      </w:r>
      <w:r w:rsidRPr="00186A92">
        <w:rPr>
          <w:rFonts w:ascii="Book Antiqua" w:hAnsi="Book Antiqua"/>
          <w:w w:val="105"/>
          <w:szCs w:val="24"/>
          <w:lang w:val="es-PR"/>
        </w:rPr>
        <w:tab/>
        <w:t>Cuando una</w:t>
      </w:r>
      <w:r w:rsidRPr="00186A92">
        <w:rPr>
          <w:rFonts w:ascii="Book Antiqua" w:hAnsi="Book Antiqua"/>
          <w:spacing w:val="1"/>
          <w:w w:val="105"/>
          <w:szCs w:val="24"/>
          <w:lang w:val="es-PR"/>
        </w:rPr>
        <w:t xml:space="preserve"> </w:t>
      </w:r>
      <w:r w:rsidRPr="00186A92">
        <w:rPr>
          <w:rFonts w:ascii="Book Antiqua" w:hAnsi="Book Antiqua"/>
          <w:w w:val="105"/>
          <w:szCs w:val="24"/>
          <w:lang w:val="es-PR"/>
        </w:rPr>
        <w:t>organización</w:t>
      </w:r>
      <w:r w:rsidRPr="00186A92">
        <w:rPr>
          <w:rFonts w:ascii="Book Antiqua" w:hAnsi="Book Antiqua"/>
          <w:spacing w:val="1"/>
          <w:w w:val="105"/>
          <w:szCs w:val="24"/>
          <w:lang w:val="es-PR"/>
        </w:rPr>
        <w:t xml:space="preserve"> </w:t>
      </w:r>
      <w:r w:rsidRPr="00186A92">
        <w:rPr>
          <w:rFonts w:ascii="Book Antiqua" w:hAnsi="Book Antiqua"/>
          <w:w w:val="105"/>
          <w:szCs w:val="24"/>
          <w:lang w:val="es-PR"/>
        </w:rPr>
        <w:t>dedicada al cuidado de</w:t>
      </w:r>
      <w:r w:rsidRPr="00186A92">
        <w:rPr>
          <w:rFonts w:ascii="Book Antiqua" w:hAnsi="Book Antiqua"/>
          <w:spacing w:val="1"/>
          <w:w w:val="105"/>
          <w:szCs w:val="24"/>
          <w:lang w:val="es-PR"/>
        </w:rPr>
        <w:t xml:space="preserve"> </w:t>
      </w:r>
      <w:r w:rsidRPr="00186A92">
        <w:rPr>
          <w:rFonts w:ascii="Book Antiqua" w:hAnsi="Book Antiqua"/>
          <w:w w:val="105"/>
          <w:szCs w:val="24"/>
          <w:lang w:val="es-PR"/>
        </w:rPr>
        <w:t>la</w:t>
      </w:r>
      <w:r w:rsidRPr="00186A92">
        <w:rPr>
          <w:rFonts w:ascii="Book Antiqua" w:hAnsi="Book Antiqua"/>
          <w:spacing w:val="1"/>
          <w:w w:val="105"/>
          <w:szCs w:val="24"/>
          <w:lang w:val="es-PR"/>
        </w:rPr>
        <w:t xml:space="preserve"> </w:t>
      </w:r>
      <w:r w:rsidRPr="00186A92">
        <w:rPr>
          <w:rFonts w:ascii="Book Antiqua" w:hAnsi="Book Antiqua"/>
          <w:w w:val="105"/>
          <w:szCs w:val="24"/>
          <w:lang w:val="es-PR"/>
        </w:rPr>
        <w:t>salud,</w:t>
      </w:r>
      <w:r w:rsidRPr="00186A92">
        <w:rPr>
          <w:rFonts w:ascii="Book Antiqua" w:hAnsi="Book Antiqua"/>
          <w:spacing w:val="1"/>
          <w:w w:val="105"/>
          <w:szCs w:val="24"/>
          <w:lang w:val="es-PR"/>
        </w:rPr>
        <w:t xml:space="preserve"> </w:t>
      </w:r>
      <w:r w:rsidRPr="00186A92">
        <w:rPr>
          <w:rFonts w:ascii="Book Antiqua" w:hAnsi="Book Antiqua"/>
          <w:w w:val="105"/>
          <w:szCs w:val="24"/>
          <w:lang w:val="es-PR"/>
        </w:rPr>
        <w:t>sin</w:t>
      </w:r>
      <w:r w:rsidRPr="00186A92">
        <w:rPr>
          <w:rFonts w:ascii="Book Antiqua" w:hAnsi="Book Antiqua"/>
          <w:spacing w:val="1"/>
          <w:w w:val="105"/>
          <w:szCs w:val="24"/>
          <w:lang w:val="es-PR"/>
        </w:rPr>
        <w:t xml:space="preserve"> </w:t>
      </w:r>
      <w:r w:rsidRPr="00186A92">
        <w:rPr>
          <w:rFonts w:ascii="Book Antiqua" w:hAnsi="Book Antiqua"/>
          <w:w w:val="105"/>
          <w:szCs w:val="24"/>
          <w:lang w:val="es-PR"/>
        </w:rPr>
        <w:t>fundamento</w:t>
      </w:r>
      <w:r w:rsidRPr="00186A92">
        <w:rPr>
          <w:rFonts w:ascii="Book Antiqua" w:hAnsi="Book Antiqua"/>
          <w:spacing w:val="1"/>
          <w:w w:val="105"/>
          <w:szCs w:val="24"/>
          <w:lang w:val="es-PR"/>
        </w:rPr>
        <w:t xml:space="preserve"> </w:t>
      </w:r>
      <w:r w:rsidRPr="00186A92">
        <w:rPr>
          <w:rFonts w:ascii="Book Antiqua" w:hAnsi="Book Antiqua"/>
          <w:w w:val="105"/>
          <w:szCs w:val="24"/>
          <w:lang w:val="es-PR"/>
        </w:rPr>
        <w:t>válido,</w:t>
      </w:r>
      <w:r w:rsidRPr="00186A92">
        <w:rPr>
          <w:rFonts w:ascii="Book Antiqua" w:hAnsi="Book Antiqua"/>
          <w:spacing w:val="1"/>
          <w:w w:val="105"/>
          <w:szCs w:val="24"/>
          <w:lang w:val="es-PR"/>
        </w:rPr>
        <w:t xml:space="preserve"> </w:t>
      </w:r>
      <w:r w:rsidRPr="00186A92">
        <w:rPr>
          <w:rFonts w:ascii="Book Antiqua" w:hAnsi="Book Antiqua"/>
          <w:w w:val="105"/>
          <w:szCs w:val="24"/>
          <w:lang w:val="es-PR"/>
        </w:rPr>
        <w:t>obstaculiza o se rehúsa a cooperar en la coordinación de beneficios</w:t>
      </w:r>
      <w:r w:rsidRPr="00883432">
        <w:rPr>
          <w:rFonts w:ascii="Book Antiqua" w:hAnsi="Book Antiqua"/>
          <w:i/>
          <w:iCs/>
          <w:w w:val="105"/>
          <w:szCs w:val="24"/>
          <w:lang w:val="es-PR"/>
        </w:rPr>
        <w:t>.</w:t>
      </w:r>
    </w:p>
    <w:p w14:paraId="163A8714" w14:textId="77777777" w:rsidR="004E44E9" w:rsidRDefault="004E44E9" w:rsidP="004E44E9">
      <w:pPr>
        <w:pStyle w:val="BodyText"/>
        <w:tabs>
          <w:tab w:val="clear" w:pos="0"/>
          <w:tab w:val="clear" w:pos="360"/>
          <w:tab w:val="clear" w:pos="720"/>
          <w:tab w:val="clear" w:pos="4320"/>
          <w:tab w:val="left" w:pos="-540"/>
          <w:tab w:val="left" w:pos="-180"/>
          <w:tab w:val="left" w:pos="3870"/>
        </w:tabs>
        <w:spacing w:line="240" w:lineRule="auto"/>
        <w:ind w:left="1440" w:right="-47" w:hanging="720"/>
        <w:rPr>
          <w:rFonts w:ascii="Book Antiqua" w:hAnsi="Book Antiqua"/>
          <w:szCs w:val="24"/>
        </w:rPr>
      </w:pPr>
    </w:p>
    <w:p w14:paraId="44195EC1" w14:textId="2FC43BE5" w:rsidR="0076672F" w:rsidRPr="00AE37C2" w:rsidRDefault="0076672F" w:rsidP="004E44E9">
      <w:pPr>
        <w:pStyle w:val="BodyText"/>
        <w:tabs>
          <w:tab w:val="clear" w:pos="0"/>
          <w:tab w:val="clear" w:pos="360"/>
          <w:tab w:val="clear" w:pos="720"/>
          <w:tab w:val="clear" w:pos="4320"/>
          <w:tab w:val="left" w:pos="-540"/>
          <w:tab w:val="left" w:pos="-180"/>
          <w:tab w:val="left" w:pos="3870"/>
        </w:tabs>
        <w:spacing w:line="240" w:lineRule="auto"/>
        <w:ind w:left="1440" w:right="-47" w:hanging="720"/>
        <w:rPr>
          <w:rFonts w:ascii="Book Antiqua" w:hAnsi="Book Antiqua"/>
          <w:szCs w:val="24"/>
        </w:rPr>
      </w:pPr>
      <w:r w:rsidRPr="00AE37C2">
        <w:rPr>
          <w:rFonts w:ascii="Book Antiqua" w:hAnsi="Book Antiqua"/>
          <w:szCs w:val="24"/>
        </w:rPr>
        <w:t xml:space="preserve">(b) </w:t>
      </w:r>
      <w:r w:rsidRPr="00AE37C2">
        <w:rPr>
          <w:rFonts w:ascii="Book Antiqua" w:hAnsi="Book Antiqua"/>
          <w:szCs w:val="24"/>
        </w:rPr>
        <w:tab/>
        <w:t>Una vez sea instada la querella en el Departamento, este determinará si el asunto que se presenta a su consideración es de su competencia o de la competencia del Comisionado o de la Administración de Seguros de Salud, y los referirá según corresponda.  Se entenderá que son de la competencia del Comisionado aquellos asuntos que envuelvan controversias de cubierta o de derechos que emanen de las disposiciones de un plan de cuidado de salud o que, sin constituir violaciones de los derechos bajo esta Ley, representan conducta impropia o prácticas desleales por parte de una entidad aseguradora de conformidad con las disposiciones del Código de Seguros de Salud de Puerto Rico o del Código de Seguros de Puerto Rico.  Se entenderá que son de la competencia de la Administración de Seguros de Salud aquellos casos en los cuales corresponda su trámite de conformidad con las disposiciones de la Ley 72-1993, según enmendada, conocida como “Ley de la Administración de Seguros de Salud de Puerto Rico (A.S.E.S.)”.  En todos los demás casos, el Departamento atenderá la querella.</w:t>
      </w:r>
    </w:p>
    <w:p w14:paraId="25F0BED2" w14:textId="77777777" w:rsidR="004E44E9" w:rsidRDefault="004E44E9" w:rsidP="004E44E9">
      <w:pPr>
        <w:spacing w:after="0" w:line="240" w:lineRule="auto"/>
        <w:ind w:left="720" w:firstLine="720"/>
        <w:jc w:val="both"/>
        <w:rPr>
          <w:rFonts w:ascii="Book Antiqua" w:hAnsi="Book Antiqua"/>
          <w:sz w:val="24"/>
          <w:szCs w:val="24"/>
          <w:lang w:val="es-PR"/>
        </w:rPr>
      </w:pPr>
    </w:p>
    <w:p w14:paraId="1C54DA32" w14:textId="5E5CB74C" w:rsidR="0076672F" w:rsidRPr="00AE37C2" w:rsidRDefault="0076672F" w:rsidP="004E44E9">
      <w:pPr>
        <w:spacing w:after="0" w:line="240" w:lineRule="auto"/>
        <w:ind w:left="720" w:firstLine="720"/>
        <w:jc w:val="both"/>
        <w:rPr>
          <w:rFonts w:ascii="Book Antiqua" w:hAnsi="Book Antiqua"/>
          <w:sz w:val="24"/>
          <w:szCs w:val="24"/>
          <w:lang w:val="es-PR"/>
        </w:rPr>
      </w:pPr>
      <w:r w:rsidRPr="00AE37C2">
        <w:rPr>
          <w:rFonts w:ascii="Book Antiqua" w:hAnsi="Book Antiqua"/>
          <w:sz w:val="24"/>
          <w:szCs w:val="24"/>
          <w:lang w:val="es-PR"/>
        </w:rPr>
        <w:t xml:space="preserve">El Departamento de Salud, la Administración de Salud y la Oficina del Comisionado de Seguros de Puerto Rico tendrán facultad, como parte de dicho procedimiento de querellas, para imponer las multas autorizadas en el Artículo 19 de esta Ley y </w:t>
      </w:r>
      <w:proofErr w:type="gramStart"/>
      <w:r w:rsidRPr="00AE37C2">
        <w:rPr>
          <w:rFonts w:ascii="Book Antiqua" w:hAnsi="Book Antiqua"/>
          <w:sz w:val="24"/>
          <w:szCs w:val="24"/>
          <w:lang w:val="es-PR"/>
        </w:rPr>
        <w:t>de acuerdo a</w:t>
      </w:r>
      <w:proofErr w:type="gramEnd"/>
      <w:r w:rsidRPr="00AE37C2">
        <w:rPr>
          <w:rFonts w:ascii="Book Antiqua" w:hAnsi="Book Antiqua"/>
          <w:sz w:val="24"/>
          <w:szCs w:val="24"/>
          <w:lang w:val="es-PR"/>
        </w:rPr>
        <w:t xml:space="preserve"> las disposiciones de la </w:t>
      </w:r>
      <w:r w:rsidRPr="00186A92">
        <w:rPr>
          <w:rFonts w:ascii="Book Antiqua" w:hAnsi="Book Antiqua"/>
          <w:sz w:val="24"/>
          <w:szCs w:val="24"/>
          <w:lang w:val="es-PR"/>
        </w:rPr>
        <w:t>Ley 38-2017, según enmendada, conocida como la “Ley de Procedimiento Administrativo Uniforme del Gobierno de Puerto Rico” o cualquier Ley posterior que sustituya la misma</w:t>
      </w:r>
      <w:r w:rsidRPr="00AE37C2">
        <w:rPr>
          <w:rFonts w:ascii="Book Antiqua" w:hAnsi="Book Antiqua"/>
          <w:sz w:val="24"/>
          <w:szCs w:val="24"/>
          <w:lang w:val="es-PR"/>
        </w:rPr>
        <w:t>.  Toda querella deberá ser atendida inmediatamente.” </w:t>
      </w:r>
    </w:p>
    <w:p w14:paraId="52306EDF"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310669C5" w14:textId="1FD53A75" w:rsidR="00AE37C2" w:rsidRPr="00AE37C2"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Sección 3.-Reglamentación</w:t>
      </w:r>
    </w:p>
    <w:p w14:paraId="3758ABF3"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52708F3D" w14:textId="271A4F15" w:rsidR="00AE37C2" w:rsidRDefault="00AE37C2" w:rsidP="004E44E9">
      <w:pPr>
        <w:spacing w:after="0" w:line="24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Se o</w:t>
      </w:r>
      <w:r w:rsidRPr="00AE37C2">
        <w:rPr>
          <w:rFonts w:ascii="Book Antiqua" w:hAnsi="Book Antiqua"/>
          <w:snapToGrid w:val="0"/>
          <w:sz w:val="24"/>
          <w:szCs w:val="24"/>
          <w:lang w:val="es-PR"/>
        </w:rPr>
        <w:t>rdena</w:t>
      </w:r>
      <w:r>
        <w:rPr>
          <w:rFonts w:ascii="Book Antiqua" w:hAnsi="Book Antiqua"/>
          <w:snapToGrid w:val="0"/>
          <w:sz w:val="24"/>
          <w:szCs w:val="24"/>
          <w:lang w:val="es-PR"/>
        </w:rPr>
        <w:t xml:space="preserve"> a la Oficina del</w:t>
      </w:r>
      <w:r w:rsidRPr="00AE37C2">
        <w:rPr>
          <w:rFonts w:ascii="Book Antiqua" w:hAnsi="Book Antiqua"/>
          <w:snapToGrid w:val="0"/>
          <w:sz w:val="24"/>
          <w:szCs w:val="24"/>
          <w:lang w:val="es-PR"/>
        </w:rPr>
        <w:t xml:space="preserve"> Comisionado de Seguros de Puerto Rico a redactar un Reglamento de acuerdo con lo requerido en esta Ley y utilizando los siguientes parámetros que deberán ser establecidos dentro de dicha reglamentación, los cuales son:</w:t>
      </w:r>
    </w:p>
    <w:p w14:paraId="4BD5489B" w14:textId="77777777" w:rsidR="004E44E9" w:rsidRPr="00AE37C2" w:rsidRDefault="004E44E9" w:rsidP="004E44E9">
      <w:pPr>
        <w:spacing w:after="0" w:line="240" w:lineRule="auto"/>
        <w:ind w:firstLine="720"/>
        <w:jc w:val="both"/>
        <w:rPr>
          <w:rFonts w:ascii="Book Antiqua" w:hAnsi="Book Antiqua"/>
          <w:snapToGrid w:val="0"/>
          <w:sz w:val="24"/>
          <w:szCs w:val="24"/>
          <w:lang w:val="es-PR"/>
        </w:rPr>
      </w:pPr>
    </w:p>
    <w:p w14:paraId="3D21229C" w14:textId="77777777" w:rsidR="00AE37C2" w:rsidRPr="004E44E9" w:rsidRDefault="00AE37C2" w:rsidP="00A5358D">
      <w:pPr>
        <w:pStyle w:val="ListParagraph"/>
        <w:numPr>
          <w:ilvl w:val="0"/>
          <w:numId w:val="3"/>
        </w:numPr>
        <w:spacing w:after="0" w:line="24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Utilizar como guía, en lo pertinente, la </w:t>
      </w:r>
      <w:r w:rsidRPr="00AE37C2">
        <w:rPr>
          <w:rFonts w:ascii="Book Antiqua" w:hAnsi="Book Antiqua"/>
          <w:sz w:val="24"/>
          <w:szCs w:val="24"/>
          <w:lang w:val="es-PR"/>
        </w:rPr>
        <w:t xml:space="preserve">Ley Modelo vigente de la </w:t>
      </w:r>
      <w:r w:rsidRPr="00AE37C2">
        <w:rPr>
          <w:rFonts w:ascii="Book Antiqua" w:hAnsi="Book Antiqua" w:cs="Arial"/>
          <w:color w:val="202124"/>
          <w:sz w:val="24"/>
          <w:szCs w:val="24"/>
          <w:shd w:val="clear" w:color="auto" w:fill="FFFFFF"/>
          <w:lang w:val="es-PR"/>
        </w:rPr>
        <w:t>Asociación Nacional de Comisionados de Seguros</w:t>
      </w:r>
      <w:r w:rsidRPr="00AE37C2">
        <w:rPr>
          <w:rFonts w:ascii="Book Antiqua" w:hAnsi="Book Antiqua"/>
          <w:sz w:val="24"/>
          <w:szCs w:val="24"/>
          <w:lang w:val="es-PR"/>
        </w:rPr>
        <w:t xml:space="preserve"> (</w:t>
      </w:r>
      <w:r w:rsidRPr="00B3327B">
        <w:rPr>
          <w:rFonts w:ascii="Book Antiqua" w:hAnsi="Book Antiqua"/>
          <w:i/>
          <w:iCs/>
          <w:sz w:val="24"/>
          <w:szCs w:val="24"/>
          <w:lang w:val="es-PR"/>
        </w:rPr>
        <w:t>NAIC, por sus siglas en inglés</w:t>
      </w:r>
      <w:r w:rsidRPr="00AE37C2">
        <w:rPr>
          <w:rFonts w:ascii="Book Antiqua" w:hAnsi="Book Antiqua"/>
          <w:sz w:val="24"/>
          <w:szCs w:val="24"/>
          <w:lang w:val="es-PR"/>
        </w:rPr>
        <w:t>) relacionada con la coordinación de beneficios;</w:t>
      </w:r>
    </w:p>
    <w:p w14:paraId="09E31991" w14:textId="77777777" w:rsidR="004E44E9" w:rsidRPr="00AE37C2" w:rsidRDefault="004E44E9" w:rsidP="004E44E9">
      <w:pPr>
        <w:pStyle w:val="ListParagraph"/>
        <w:spacing w:after="0" w:line="240" w:lineRule="auto"/>
        <w:ind w:left="1080"/>
        <w:contextualSpacing w:val="0"/>
        <w:jc w:val="both"/>
        <w:rPr>
          <w:rFonts w:ascii="Book Antiqua" w:hAnsi="Book Antiqua"/>
          <w:snapToGrid w:val="0"/>
          <w:sz w:val="24"/>
          <w:szCs w:val="24"/>
          <w:lang w:val="es-PR"/>
        </w:rPr>
      </w:pPr>
    </w:p>
    <w:p w14:paraId="2928EC9A" w14:textId="182F17C3"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Prohibir a los proveedores participantes negarse a hacer coordinación de beneficios o proveer el servicio condicionado a que el paciente gestione el reembolso con el asegurador u organización de servicios de salud o exigir al </w:t>
      </w:r>
      <w:r w:rsidRPr="00AE37C2">
        <w:rPr>
          <w:rFonts w:ascii="Book Antiqua" w:hAnsi="Book Antiqua"/>
          <w:snapToGrid w:val="0"/>
          <w:sz w:val="24"/>
          <w:szCs w:val="24"/>
          <w:lang w:val="es-PR"/>
        </w:rPr>
        <w:lastRenderedPageBreak/>
        <w:t>paciente que gestione el reembolso de su dinero</w:t>
      </w:r>
      <w:r w:rsidR="00831A05">
        <w:rPr>
          <w:rFonts w:ascii="Book Antiqua" w:hAnsi="Book Antiqua"/>
          <w:snapToGrid w:val="0"/>
          <w:sz w:val="24"/>
          <w:szCs w:val="24"/>
          <w:lang w:val="es-PR"/>
        </w:rPr>
        <w:t>, así como las penalidades por incumplimiento;</w:t>
      </w:r>
    </w:p>
    <w:p w14:paraId="35526C0F" w14:textId="77777777" w:rsidR="004519D4" w:rsidRPr="004519D4" w:rsidRDefault="004519D4" w:rsidP="004519D4">
      <w:pPr>
        <w:spacing w:after="0" w:line="240" w:lineRule="auto"/>
        <w:jc w:val="both"/>
        <w:rPr>
          <w:rFonts w:ascii="Book Antiqua" w:hAnsi="Book Antiqua"/>
          <w:snapToGrid w:val="0"/>
          <w:sz w:val="24"/>
          <w:szCs w:val="24"/>
          <w:lang w:val="es-PR"/>
        </w:rPr>
      </w:pPr>
    </w:p>
    <w:p w14:paraId="22099EC6" w14:textId="77777777"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que el Plan de Salud Gubernamental, el cual es administrado por la Administración de Seguros de Salud de Puerto Rico (ASES) bajo el Programa Medicaid Federal, será el pagador de último recurso (</w:t>
      </w:r>
      <w:proofErr w:type="spellStart"/>
      <w:r w:rsidRPr="00AE37C2">
        <w:rPr>
          <w:rFonts w:ascii="Book Antiqua" w:hAnsi="Book Antiqua"/>
          <w:snapToGrid w:val="0"/>
          <w:sz w:val="24"/>
          <w:szCs w:val="24"/>
          <w:lang w:val="es-PR"/>
        </w:rPr>
        <w:t>payer</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of</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last</w:t>
      </w:r>
      <w:proofErr w:type="spellEnd"/>
      <w:r w:rsidRPr="00AE37C2">
        <w:rPr>
          <w:rFonts w:ascii="Book Antiqua" w:hAnsi="Book Antiqua"/>
          <w:snapToGrid w:val="0"/>
          <w:sz w:val="24"/>
          <w:szCs w:val="24"/>
          <w:lang w:val="es-PR"/>
        </w:rPr>
        <w:t xml:space="preserve"> resort);</w:t>
      </w:r>
    </w:p>
    <w:p w14:paraId="28C8A887"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794C72C2" w14:textId="05BD85E7" w:rsidR="00AE37C2" w:rsidRPr="004E44E9"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deberes y responsabilidades específicas por parte de</w:t>
      </w:r>
      <w:r w:rsidRPr="00AE37C2">
        <w:rPr>
          <w:rFonts w:ascii="Book Antiqua" w:hAnsi="Book Antiqua"/>
          <w:sz w:val="24"/>
          <w:szCs w:val="24"/>
          <w:lang w:val="es-PR"/>
        </w:rPr>
        <w:t xml:space="preserve"> las organizaciones de seguros de salud o aseguradores, terceros administradores o intermediarios, de los proveedores participantes y de los asegurados en cuanto al proceso de coordinación de beneficios</w:t>
      </w:r>
      <w:r w:rsidR="009663C5">
        <w:rPr>
          <w:rFonts w:ascii="Book Antiqua" w:hAnsi="Book Antiqua"/>
          <w:sz w:val="24"/>
          <w:szCs w:val="24"/>
          <w:lang w:val="es-PR"/>
        </w:rPr>
        <w:t xml:space="preserve"> velando por el cumplimiento con los estándares de la Ley HIP</w:t>
      </w:r>
      <w:r w:rsidR="00A764C1">
        <w:rPr>
          <w:rFonts w:ascii="Book Antiqua" w:hAnsi="Book Antiqua"/>
          <w:sz w:val="24"/>
          <w:szCs w:val="24"/>
          <w:lang w:val="es-PR"/>
        </w:rPr>
        <w:t>A</w:t>
      </w:r>
      <w:r w:rsidR="009663C5">
        <w:rPr>
          <w:rFonts w:ascii="Book Antiqua" w:hAnsi="Book Antiqua"/>
          <w:sz w:val="24"/>
          <w:szCs w:val="24"/>
          <w:lang w:val="es-PR"/>
        </w:rPr>
        <w:t>A durante el proceso;</w:t>
      </w:r>
      <w:r w:rsidRPr="00AE37C2">
        <w:rPr>
          <w:rFonts w:ascii="Book Antiqua" w:hAnsi="Book Antiqua"/>
          <w:sz w:val="24"/>
          <w:szCs w:val="24"/>
          <w:lang w:val="es-PR"/>
        </w:rPr>
        <w:t xml:space="preserve"> </w:t>
      </w:r>
    </w:p>
    <w:p w14:paraId="5F8E297B"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74CC1FA0" w14:textId="77777777"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Establecer que todo asegurador, tercero administrador o intermediario, organización de servicios de salud u organización para el mantenimiento de la salud según definidas en la </w:t>
      </w:r>
      <w:r w:rsidRPr="00AE37C2">
        <w:rPr>
          <w:rFonts w:ascii="Book Antiqua" w:hAnsi="Book Antiqua"/>
          <w:sz w:val="24"/>
          <w:szCs w:val="24"/>
          <w:lang w:val="es-ES"/>
        </w:rPr>
        <w:t>Ley 101 de 26 de junio de 1965, mejor conocida como la “</w:t>
      </w:r>
      <w:r w:rsidRPr="00AE37C2">
        <w:rPr>
          <w:rFonts w:ascii="Book Antiqua" w:hAnsi="Book Antiqua"/>
          <w:snapToGrid w:val="0"/>
          <w:sz w:val="24"/>
          <w:szCs w:val="24"/>
          <w:lang w:val="es-PR"/>
        </w:rPr>
        <w:t>Ley de Facilidades de Salud</w:t>
      </w:r>
      <w:r w:rsidRPr="00AE37C2">
        <w:rPr>
          <w:rFonts w:ascii="Book Antiqua" w:hAnsi="Book Antiqua"/>
          <w:sz w:val="24"/>
          <w:szCs w:val="24"/>
          <w:lang w:val="es-ES"/>
        </w:rPr>
        <w:t xml:space="preserve"> y Bienestar Social”</w:t>
      </w:r>
      <w:r w:rsidRPr="00AE37C2">
        <w:rPr>
          <w:rFonts w:ascii="Book Antiqua" w:hAnsi="Book Antiqua"/>
          <w:snapToGrid w:val="0"/>
          <w:sz w:val="24"/>
          <w:szCs w:val="24"/>
          <w:lang w:val="es-PR"/>
        </w:rPr>
        <w:t>, tendrá en sus contratos de seguros o planes de salud de índole comercial un resumen adecuado de la cláusula de coordinación de beneficios;</w:t>
      </w:r>
    </w:p>
    <w:p w14:paraId="395CB6C7"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7B81000E" w14:textId="77777777"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la responsabilidad del asegurado de informar y suministrar la información sobre los planes médicos que posee a los proveedores participantes al momento de solicitar o necesitar un servicio médico;</w:t>
      </w:r>
    </w:p>
    <w:p w14:paraId="47E790E8"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648A0712" w14:textId="77777777"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Establecer en los procesos de coordinación de beneficios, cuando existan procedimientos que requieran preautorizaciones del plan primario, los procedimientos, términos y condiciones de aprobación o rechazo del plan primario y el proceso de solicitud, términos y condiciones de aprobación o rechazo de dichas preautorizaciones dentro del plan secundario, de ser la misma necesaria; </w:t>
      </w:r>
    </w:p>
    <w:p w14:paraId="14F549C7"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5241314F" w14:textId="77777777" w:rsidR="00AE37C2" w:rsidRDefault="00AE37C2" w:rsidP="00A5358D">
      <w:pPr>
        <w:pStyle w:val="ListParagraph"/>
        <w:numPr>
          <w:ilvl w:val="0"/>
          <w:numId w:val="3"/>
        </w:numPr>
        <w:spacing w:after="0" w:line="24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procedimientos de facturación por parte de los proveedores participantes cuando exista coordinación de beneficios tanto del plan primario como del plan secundario; cómo proceden las denegaciones de pago por parte de los planes, sean primarios o secundarios, y cuándo comienzan a correr los términos de facturación al plan secundario; y</w:t>
      </w:r>
    </w:p>
    <w:p w14:paraId="43D014CE" w14:textId="77777777" w:rsidR="004E44E9" w:rsidRPr="00AE37C2" w:rsidRDefault="004E44E9" w:rsidP="004E44E9">
      <w:pPr>
        <w:pStyle w:val="ListParagraph"/>
        <w:spacing w:after="0" w:line="240" w:lineRule="auto"/>
        <w:ind w:left="1080"/>
        <w:jc w:val="both"/>
        <w:rPr>
          <w:rFonts w:ascii="Book Antiqua" w:hAnsi="Book Antiqua"/>
          <w:snapToGrid w:val="0"/>
          <w:sz w:val="24"/>
          <w:szCs w:val="24"/>
          <w:lang w:val="es-PR"/>
        </w:rPr>
      </w:pPr>
    </w:p>
    <w:p w14:paraId="65F721E0" w14:textId="77777777" w:rsidR="00AE37C2" w:rsidRDefault="00AE37C2" w:rsidP="00A5358D">
      <w:pPr>
        <w:pStyle w:val="ListParagraph"/>
        <w:numPr>
          <w:ilvl w:val="0"/>
          <w:numId w:val="3"/>
        </w:numPr>
        <w:spacing w:after="0" w:line="24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cualquier otro asunto que el Comisionado de Seguros de Puerto Rico entienda pertinente incluir en dicha reglamentación, siempre y cuando el lenguaje a incluir no menoscabe los parámetros y requerimientos de política pública establecidos al amparo de esta Ley.</w:t>
      </w:r>
    </w:p>
    <w:p w14:paraId="4947AFFE" w14:textId="77777777" w:rsidR="004E44E9" w:rsidRPr="00AE37C2" w:rsidRDefault="004E44E9" w:rsidP="004E44E9">
      <w:pPr>
        <w:pStyle w:val="ListParagraph"/>
        <w:spacing w:after="0" w:line="240" w:lineRule="auto"/>
        <w:ind w:left="1080"/>
        <w:contextualSpacing w:val="0"/>
        <w:jc w:val="both"/>
        <w:rPr>
          <w:rFonts w:ascii="Book Antiqua" w:hAnsi="Book Antiqua"/>
          <w:snapToGrid w:val="0"/>
          <w:sz w:val="24"/>
          <w:szCs w:val="24"/>
          <w:lang w:val="es-PR"/>
        </w:rPr>
      </w:pPr>
    </w:p>
    <w:p w14:paraId="42A7595C" w14:textId="3E32E3E2" w:rsidR="00AE37C2" w:rsidRPr="00AE37C2"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Sección </w:t>
      </w:r>
      <w:r>
        <w:rPr>
          <w:rFonts w:ascii="Book Antiqua" w:hAnsi="Book Antiqua"/>
          <w:snapToGrid w:val="0"/>
          <w:sz w:val="24"/>
          <w:szCs w:val="24"/>
          <w:lang w:val="es-PR"/>
        </w:rPr>
        <w:t>4</w:t>
      </w:r>
      <w:r w:rsidRPr="00AE37C2">
        <w:rPr>
          <w:rFonts w:ascii="Book Antiqua" w:hAnsi="Book Antiqua"/>
          <w:snapToGrid w:val="0"/>
          <w:sz w:val="24"/>
          <w:szCs w:val="24"/>
          <w:lang w:val="es-PR"/>
        </w:rPr>
        <w:t>.-Campaña educativa</w:t>
      </w:r>
    </w:p>
    <w:p w14:paraId="3C461DA7"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291BFC29" w14:textId="425B1BCB" w:rsidR="00AE37C2" w:rsidRPr="00AE37C2"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Previo a la efectividad de las disposiciones de esta Ley, será responsabilidad de las organizaciones de servicios de salud, los terceros administradores o intermediarios, los </w:t>
      </w:r>
      <w:proofErr w:type="spellStart"/>
      <w:r w:rsidRPr="00AE37C2">
        <w:rPr>
          <w:rFonts w:ascii="Book Antiqua" w:hAnsi="Book Antiqua"/>
          <w:i/>
          <w:iCs/>
          <w:snapToGrid w:val="0"/>
          <w:sz w:val="24"/>
          <w:szCs w:val="24"/>
          <w:lang w:val="es-PR"/>
        </w:rPr>
        <w:t>Healthcare</w:t>
      </w:r>
      <w:proofErr w:type="spellEnd"/>
      <w:r w:rsidRPr="00AE37C2">
        <w:rPr>
          <w:rFonts w:ascii="Book Antiqua" w:hAnsi="Book Antiqua"/>
          <w:i/>
          <w:iCs/>
          <w:snapToGrid w:val="0"/>
          <w:sz w:val="24"/>
          <w:szCs w:val="24"/>
          <w:lang w:val="es-PR"/>
        </w:rPr>
        <w:t xml:space="preserve"> </w:t>
      </w:r>
      <w:proofErr w:type="spellStart"/>
      <w:r w:rsidRPr="00AE37C2">
        <w:rPr>
          <w:rFonts w:ascii="Book Antiqua" w:hAnsi="Book Antiqua"/>
          <w:i/>
          <w:iCs/>
          <w:snapToGrid w:val="0"/>
          <w:sz w:val="24"/>
          <w:szCs w:val="24"/>
          <w:lang w:val="es-PR"/>
        </w:rPr>
        <w:t>Clearinghouses</w:t>
      </w:r>
      <w:proofErr w:type="spellEnd"/>
      <w:r w:rsidRPr="00AE37C2">
        <w:rPr>
          <w:rFonts w:ascii="Book Antiqua" w:hAnsi="Book Antiqua"/>
          <w:snapToGrid w:val="0"/>
          <w:sz w:val="24"/>
          <w:szCs w:val="24"/>
          <w:lang w:val="es-PR"/>
        </w:rPr>
        <w:t xml:space="preserve"> y los aseguradores de salud e incapacidad, orientar al asegurado, beneficiario o suscriptor y a los proveedores de servicios de salud sobre la coordinación de beneficios. </w:t>
      </w:r>
      <w:r w:rsidR="003F28DE">
        <w:rPr>
          <w:rFonts w:ascii="Book Antiqua" w:hAnsi="Book Antiqua"/>
          <w:snapToGrid w:val="0"/>
          <w:sz w:val="24"/>
          <w:szCs w:val="24"/>
          <w:lang w:val="es-PR"/>
        </w:rPr>
        <w:t>Estas campañas educativas deberán realizarse de manera continua y periódica bajo la supervisión de la Oficina del Comisionado de Seguros.</w:t>
      </w:r>
    </w:p>
    <w:p w14:paraId="4F3F816B"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6DA4CB8C" w14:textId="77777777" w:rsidR="004E44E9"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Sección </w:t>
      </w:r>
      <w:r w:rsidR="0076672F">
        <w:rPr>
          <w:rFonts w:ascii="Book Antiqua" w:hAnsi="Book Antiqua"/>
          <w:snapToGrid w:val="0"/>
          <w:sz w:val="24"/>
          <w:szCs w:val="24"/>
          <w:lang w:val="es-PR"/>
        </w:rPr>
        <w:t>5</w:t>
      </w:r>
      <w:r w:rsidRPr="00AE37C2">
        <w:rPr>
          <w:rFonts w:ascii="Book Antiqua" w:hAnsi="Book Antiqua"/>
          <w:snapToGrid w:val="0"/>
          <w:sz w:val="24"/>
          <w:szCs w:val="24"/>
          <w:lang w:val="es-PR"/>
        </w:rPr>
        <w:t>.-Vigencia</w:t>
      </w:r>
    </w:p>
    <w:p w14:paraId="3772E38F" w14:textId="77777777" w:rsidR="004E44E9" w:rsidRDefault="004E44E9" w:rsidP="004E44E9">
      <w:pPr>
        <w:spacing w:after="0" w:line="240" w:lineRule="auto"/>
        <w:ind w:firstLine="720"/>
        <w:jc w:val="both"/>
        <w:rPr>
          <w:rFonts w:ascii="Book Antiqua" w:hAnsi="Book Antiqua"/>
          <w:snapToGrid w:val="0"/>
          <w:sz w:val="24"/>
          <w:szCs w:val="24"/>
          <w:lang w:val="es-PR"/>
        </w:rPr>
      </w:pPr>
    </w:p>
    <w:p w14:paraId="2FF53907" w14:textId="6621BD95" w:rsidR="00AE37C2" w:rsidRPr="004E44E9" w:rsidRDefault="00AE37C2" w:rsidP="004E44E9">
      <w:pPr>
        <w:spacing w:after="0" w:line="24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 Ley comenzará a regir inmediatamente luego de su aprobación. No obstante, se le brinda un término no mayor de noventa (90) días una vez aprobada esta Ley, para la preparación y redacción del Reglamento requerido al amparo de la Sección </w:t>
      </w:r>
      <w:r>
        <w:rPr>
          <w:rFonts w:ascii="Book Antiqua" w:hAnsi="Book Antiqua"/>
          <w:snapToGrid w:val="0"/>
          <w:sz w:val="24"/>
          <w:szCs w:val="24"/>
          <w:lang w:val="es-PR"/>
        </w:rPr>
        <w:t>3</w:t>
      </w:r>
      <w:r w:rsidRPr="00AE37C2">
        <w:rPr>
          <w:rFonts w:ascii="Book Antiqua" w:hAnsi="Book Antiqua"/>
          <w:snapToGrid w:val="0"/>
          <w:sz w:val="24"/>
          <w:szCs w:val="24"/>
          <w:lang w:val="es-PR"/>
        </w:rPr>
        <w:t xml:space="preserve"> de esta Ley.</w:t>
      </w:r>
    </w:p>
    <w:sectPr w:rsidR="00AE37C2" w:rsidRPr="004E44E9" w:rsidSect="004E44E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4E20E" w14:textId="77777777" w:rsidR="006956E8" w:rsidRDefault="006956E8">
      <w:pPr>
        <w:spacing w:after="0" w:line="240" w:lineRule="auto"/>
      </w:pPr>
      <w:r>
        <w:separator/>
      </w:r>
    </w:p>
  </w:endnote>
  <w:endnote w:type="continuationSeparator" w:id="0">
    <w:p w14:paraId="1FAE0B2E" w14:textId="77777777" w:rsidR="006956E8" w:rsidRDefault="00695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FBD7F" w14:textId="77777777" w:rsidR="006956E8" w:rsidRDefault="006956E8">
      <w:pPr>
        <w:spacing w:after="0" w:line="240" w:lineRule="auto"/>
      </w:pPr>
      <w:r>
        <w:separator/>
      </w:r>
    </w:p>
  </w:footnote>
  <w:footnote w:type="continuationSeparator" w:id="0">
    <w:p w14:paraId="4D5894F8" w14:textId="77777777" w:rsidR="006956E8" w:rsidRDefault="006956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862E8"/>
    <w:multiLevelType w:val="hybridMultilevel"/>
    <w:tmpl w:val="33A4976A"/>
    <w:lvl w:ilvl="0" w:tplc="31BECCF0">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2F5E88"/>
    <w:multiLevelType w:val="hybridMultilevel"/>
    <w:tmpl w:val="71623E0C"/>
    <w:lvl w:ilvl="0" w:tplc="16C0131A">
      <w:start w:val="1"/>
      <w:numFmt w:val="lowerLetter"/>
      <w:lvlText w:val="%1)"/>
      <w:lvlJc w:val="left"/>
      <w:pPr>
        <w:ind w:left="1080" w:hanging="360"/>
      </w:pPr>
      <w:rPr>
        <w:rFonts w:hint="default"/>
        <w:caps/>
        <w:strike w:val="0"/>
        <w:dstrike w:val="0"/>
        <w:vanish w:val="0"/>
        <w:u w:val="none"/>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967AF8"/>
    <w:multiLevelType w:val="hybridMultilevel"/>
    <w:tmpl w:val="E8AA70C4"/>
    <w:lvl w:ilvl="0" w:tplc="6D3AE7B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60CB29E0"/>
    <w:multiLevelType w:val="hybridMultilevel"/>
    <w:tmpl w:val="4A10B5DE"/>
    <w:lvl w:ilvl="0" w:tplc="BF56F11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6013091">
    <w:abstractNumId w:val="2"/>
  </w:num>
  <w:num w:numId="2" w16cid:durableId="152374767">
    <w:abstractNumId w:val="1"/>
  </w:num>
  <w:num w:numId="3" w16cid:durableId="1017269063">
    <w:abstractNumId w:val="0"/>
  </w:num>
  <w:num w:numId="4" w16cid:durableId="114184900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4C8C"/>
    <w:rsid w:val="00015EC7"/>
    <w:rsid w:val="000166FC"/>
    <w:rsid w:val="0001699E"/>
    <w:rsid w:val="00022408"/>
    <w:rsid w:val="00023BBB"/>
    <w:rsid w:val="000247FD"/>
    <w:rsid w:val="0002488F"/>
    <w:rsid w:val="000309A8"/>
    <w:rsid w:val="00036963"/>
    <w:rsid w:val="00041565"/>
    <w:rsid w:val="000416C4"/>
    <w:rsid w:val="0004204C"/>
    <w:rsid w:val="00043570"/>
    <w:rsid w:val="00045698"/>
    <w:rsid w:val="0004671D"/>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B2711"/>
    <w:rsid w:val="000B3766"/>
    <w:rsid w:val="000B5078"/>
    <w:rsid w:val="000B53A8"/>
    <w:rsid w:val="000B7029"/>
    <w:rsid w:val="000B71DA"/>
    <w:rsid w:val="000C1E99"/>
    <w:rsid w:val="000C5B8A"/>
    <w:rsid w:val="000C7440"/>
    <w:rsid w:val="000C7AC3"/>
    <w:rsid w:val="000D3BBD"/>
    <w:rsid w:val="000D488D"/>
    <w:rsid w:val="000D7F76"/>
    <w:rsid w:val="000E11B3"/>
    <w:rsid w:val="000E39FD"/>
    <w:rsid w:val="000E5904"/>
    <w:rsid w:val="000F0502"/>
    <w:rsid w:val="000F283C"/>
    <w:rsid w:val="000F7CF2"/>
    <w:rsid w:val="00100201"/>
    <w:rsid w:val="00101030"/>
    <w:rsid w:val="0010385A"/>
    <w:rsid w:val="00104B15"/>
    <w:rsid w:val="001061E0"/>
    <w:rsid w:val="001116B0"/>
    <w:rsid w:val="001121EB"/>
    <w:rsid w:val="00114D74"/>
    <w:rsid w:val="00120811"/>
    <w:rsid w:val="00124B55"/>
    <w:rsid w:val="001256B8"/>
    <w:rsid w:val="00126A6A"/>
    <w:rsid w:val="0013412A"/>
    <w:rsid w:val="00134EFF"/>
    <w:rsid w:val="001350F1"/>
    <w:rsid w:val="001404D5"/>
    <w:rsid w:val="001423F3"/>
    <w:rsid w:val="00146A50"/>
    <w:rsid w:val="00150D2F"/>
    <w:rsid w:val="00153BFA"/>
    <w:rsid w:val="001547D4"/>
    <w:rsid w:val="00154D1F"/>
    <w:rsid w:val="00154D4A"/>
    <w:rsid w:val="00155750"/>
    <w:rsid w:val="001565E1"/>
    <w:rsid w:val="00156677"/>
    <w:rsid w:val="00160EC7"/>
    <w:rsid w:val="0016159F"/>
    <w:rsid w:val="00162DA9"/>
    <w:rsid w:val="001652D9"/>
    <w:rsid w:val="00165962"/>
    <w:rsid w:val="00170DDC"/>
    <w:rsid w:val="00170F44"/>
    <w:rsid w:val="00171CD1"/>
    <w:rsid w:val="00174295"/>
    <w:rsid w:val="0017650B"/>
    <w:rsid w:val="00176B0E"/>
    <w:rsid w:val="00176DFC"/>
    <w:rsid w:val="001772FF"/>
    <w:rsid w:val="0017795C"/>
    <w:rsid w:val="001836B8"/>
    <w:rsid w:val="00184433"/>
    <w:rsid w:val="0018634E"/>
    <w:rsid w:val="00186A92"/>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D4447"/>
    <w:rsid w:val="001D4EA7"/>
    <w:rsid w:val="001D55CB"/>
    <w:rsid w:val="001D589B"/>
    <w:rsid w:val="001D71A0"/>
    <w:rsid w:val="001E2D83"/>
    <w:rsid w:val="001E407F"/>
    <w:rsid w:val="001E52AF"/>
    <w:rsid w:val="001E6476"/>
    <w:rsid w:val="001F3F54"/>
    <w:rsid w:val="001F3F64"/>
    <w:rsid w:val="001F3FBD"/>
    <w:rsid w:val="001F6957"/>
    <w:rsid w:val="001F7830"/>
    <w:rsid w:val="001F78D3"/>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1FAE"/>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5888"/>
    <w:rsid w:val="002B63DC"/>
    <w:rsid w:val="002C1EA3"/>
    <w:rsid w:val="002C1F4F"/>
    <w:rsid w:val="002C27E2"/>
    <w:rsid w:val="002C29AB"/>
    <w:rsid w:val="002C3313"/>
    <w:rsid w:val="002C35CF"/>
    <w:rsid w:val="002C48A3"/>
    <w:rsid w:val="002C4F8D"/>
    <w:rsid w:val="002D3A31"/>
    <w:rsid w:val="002D5314"/>
    <w:rsid w:val="002D6150"/>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09CC"/>
    <w:rsid w:val="00321028"/>
    <w:rsid w:val="00323611"/>
    <w:rsid w:val="00323ABE"/>
    <w:rsid w:val="00324E71"/>
    <w:rsid w:val="00326EDE"/>
    <w:rsid w:val="00332B24"/>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B0"/>
    <w:rsid w:val="00361BD6"/>
    <w:rsid w:val="00361C6D"/>
    <w:rsid w:val="00362685"/>
    <w:rsid w:val="00370260"/>
    <w:rsid w:val="0037270F"/>
    <w:rsid w:val="003754B9"/>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1240"/>
    <w:rsid w:val="003C22FC"/>
    <w:rsid w:val="003C5B64"/>
    <w:rsid w:val="003D20D8"/>
    <w:rsid w:val="003D2771"/>
    <w:rsid w:val="003D3B9D"/>
    <w:rsid w:val="003D451A"/>
    <w:rsid w:val="003D466D"/>
    <w:rsid w:val="003D57CE"/>
    <w:rsid w:val="003D5F65"/>
    <w:rsid w:val="003E0C83"/>
    <w:rsid w:val="003E0D45"/>
    <w:rsid w:val="003E45EF"/>
    <w:rsid w:val="003E653D"/>
    <w:rsid w:val="003E6D7E"/>
    <w:rsid w:val="003F1FA0"/>
    <w:rsid w:val="003F28DE"/>
    <w:rsid w:val="003F2F88"/>
    <w:rsid w:val="003F52DC"/>
    <w:rsid w:val="004002EC"/>
    <w:rsid w:val="004014B5"/>
    <w:rsid w:val="004116A0"/>
    <w:rsid w:val="004132C7"/>
    <w:rsid w:val="0041522E"/>
    <w:rsid w:val="00417290"/>
    <w:rsid w:val="004176FA"/>
    <w:rsid w:val="00421B53"/>
    <w:rsid w:val="00423A36"/>
    <w:rsid w:val="00425774"/>
    <w:rsid w:val="00425B3C"/>
    <w:rsid w:val="004273BC"/>
    <w:rsid w:val="004317E8"/>
    <w:rsid w:val="00432725"/>
    <w:rsid w:val="004344C2"/>
    <w:rsid w:val="004346BE"/>
    <w:rsid w:val="00434860"/>
    <w:rsid w:val="00434B38"/>
    <w:rsid w:val="004354CF"/>
    <w:rsid w:val="0043690C"/>
    <w:rsid w:val="00440773"/>
    <w:rsid w:val="00440A67"/>
    <w:rsid w:val="00443BF5"/>
    <w:rsid w:val="004459A1"/>
    <w:rsid w:val="00446AB2"/>
    <w:rsid w:val="004519D4"/>
    <w:rsid w:val="004538F6"/>
    <w:rsid w:val="00456874"/>
    <w:rsid w:val="00464EA1"/>
    <w:rsid w:val="00465377"/>
    <w:rsid w:val="004673DD"/>
    <w:rsid w:val="00467549"/>
    <w:rsid w:val="00467C3A"/>
    <w:rsid w:val="00470928"/>
    <w:rsid w:val="00471A0E"/>
    <w:rsid w:val="00472B41"/>
    <w:rsid w:val="00481C65"/>
    <w:rsid w:val="00483516"/>
    <w:rsid w:val="004840BA"/>
    <w:rsid w:val="00484938"/>
    <w:rsid w:val="00485C6B"/>
    <w:rsid w:val="00485CD8"/>
    <w:rsid w:val="00486A66"/>
    <w:rsid w:val="00487EDA"/>
    <w:rsid w:val="00490B9D"/>
    <w:rsid w:val="00491583"/>
    <w:rsid w:val="004933CA"/>
    <w:rsid w:val="0049598A"/>
    <w:rsid w:val="00496626"/>
    <w:rsid w:val="004A1361"/>
    <w:rsid w:val="004A5153"/>
    <w:rsid w:val="004A5D84"/>
    <w:rsid w:val="004A5E5A"/>
    <w:rsid w:val="004B079A"/>
    <w:rsid w:val="004B1296"/>
    <w:rsid w:val="004B133F"/>
    <w:rsid w:val="004B1CEA"/>
    <w:rsid w:val="004B2B08"/>
    <w:rsid w:val="004B2FC1"/>
    <w:rsid w:val="004B41F0"/>
    <w:rsid w:val="004B6AAC"/>
    <w:rsid w:val="004B74E0"/>
    <w:rsid w:val="004C0EA2"/>
    <w:rsid w:val="004C1940"/>
    <w:rsid w:val="004C272B"/>
    <w:rsid w:val="004C4E4D"/>
    <w:rsid w:val="004C6514"/>
    <w:rsid w:val="004C6939"/>
    <w:rsid w:val="004C79B1"/>
    <w:rsid w:val="004C7A1D"/>
    <w:rsid w:val="004D0C6A"/>
    <w:rsid w:val="004D0F55"/>
    <w:rsid w:val="004D1347"/>
    <w:rsid w:val="004D1B55"/>
    <w:rsid w:val="004D5EB3"/>
    <w:rsid w:val="004D7458"/>
    <w:rsid w:val="004E0843"/>
    <w:rsid w:val="004E331B"/>
    <w:rsid w:val="004E44E9"/>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36D9"/>
    <w:rsid w:val="005448BA"/>
    <w:rsid w:val="00544B00"/>
    <w:rsid w:val="00545228"/>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674CF"/>
    <w:rsid w:val="00571584"/>
    <w:rsid w:val="00573BB7"/>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B14"/>
    <w:rsid w:val="005B1092"/>
    <w:rsid w:val="005B301C"/>
    <w:rsid w:val="005B5818"/>
    <w:rsid w:val="005B76D5"/>
    <w:rsid w:val="005C0C49"/>
    <w:rsid w:val="005C12FB"/>
    <w:rsid w:val="005C7F16"/>
    <w:rsid w:val="005D2B74"/>
    <w:rsid w:val="005D2DD8"/>
    <w:rsid w:val="005D7888"/>
    <w:rsid w:val="005E4765"/>
    <w:rsid w:val="005E4C52"/>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63007"/>
    <w:rsid w:val="00664692"/>
    <w:rsid w:val="00664A64"/>
    <w:rsid w:val="00664C5B"/>
    <w:rsid w:val="0066680C"/>
    <w:rsid w:val="006702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251"/>
    <w:rsid w:val="006951AD"/>
    <w:rsid w:val="006956E8"/>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C8C"/>
    <w:rsid w:val="006C6BFF"/>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3E11"/>
    <w:rsid w:val="006F48A5"/>
    <w:rsid w:val="006F4B4F"/>
    <w:rsid w:val="006F5F53"/>
    <w:rsid w:val="007037D6"/>
    <w:rsid w:val="0070452C"/>
    <w:rsid w:val="00704D25"/>
    <w:rsid w:val="0070510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5B39"/>
    <w:rsid w:val="007402F5"/>
    <w:rsid w:val="00756703"/>
    <w:rsid w:val="00756F5C"/>
    <w:rsid w:val="007606AC"/>
    <w:rsid w:val="00760CB2"/>
    <w:rsid w:val="00760D29"/>
    <w:rsid w:val="007615FA"/>
    <w:rsid w:val="007616BA"/>
    <w:rsid w:val="007639D7"/>
    <w:rsid w:val="007648B1"/>
    <w:rsid w:val="00765125"/>
    <w:rsid w:val="0076672F"/>
    <w:rsid w:val="00766DC4"/>
    <w:rsid w:val="00775E62"/>
    <w:rsid w:val="00782924"/>
    <w:rsid w:val="00783FA5"/>
    <w:rsid w:val="0078410F"/>
    <w:rsid w:val="007851FB"/>
    <w:rsid w:val="007857C8"/>
    <w:rsid w:val="00785EF5"/>
    <w:rsid w:val="007863FB"/>
    <w:rsid w:val="0078687B"/>
    <w:rsid w:val="00793574"/>
    <w:rsid w:val="0079387C"/>
    <w:rsid w:val="00793CDA"/>
    <w:rsid w:val="00793D09"/>
    <w:rsid w:val="007A180E"/>
    <w:rsid w:val="007A7DDE"/>
    <w:rsid w:val="007B13F1"/>
    <w:rsid w:val="007B17A6"/>
    <w:rsid w:val="007B3CB7"/>
    <w:rsid w:val="007B5315"/>
    <w:rsid w:val="007B6A2C"/>
    <w:rsid w:val="007B7211"/>
    <w:rsid w:val="007C0CA4"/>
    <w:rsid w:val="007C15D8"/>
    <w:rsid w:val="007C3B08"/>
    <w:rsid w:val="007C47BC"/>
    <w:rsid w:val="007C58A3"/>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1A05"/>
    <w:rsid w:val="00832EA0"/>
    <w:rsid w:val="00833414"/>
    <w:rsid w:val="00833F12"/>
    <w:rsid w:val="00836EBB"/>
    <w:rsid w:val="00841AB6"/>
    <w:rsid w:val="00844475"/>
    <w:rsid w:val="00844BB9"/>
    <w:rsid w:val="008473C7"/>
    <w:rsid w:val="00847565"/>
    <w:rsid w:val="0085051C"/>
    <w:rsid w:val="00850555"/>
    <w:rsid w:val="008507B9"/>
    <w:rsid w:val="00850E50"/>
    <w:rsid w:val="00851E58"/>
    <w:rsid w:val="00854E4A"/>
    <w:rsid w:val="00856042"/>
    <w:rsid w:val="00856552"/>
    <w:rsid w:val="00856A46"/>
    <w:rsid w:val="00856C66"/>
    <w:rsid w:val="0085745F"/>
    <w:rsid w:val="00860DA9"/>
    <w:rsid w:val="00863B85"/>
    <w:rsid w:val="008678A3"/>
    <w:rsid w:val="00871392"/>
    <w:rsid w:val="00875F2A"/>
    <w:rsid w:val="008768D7"/>
    <w:rsid w:val="0088235F"/>
    <w:rsid w:val="00882B32"/>
    <w:rsid w:val="00883432"/>
    <w:rsid w:val="008846F1"/>
    <w:rsid w:val="00886484"/>
    <w:rsid w:val="0088718B"/>
    <w:rsid w:val="00887625"/>
    <w:rsid w:val="00895B6E"/>
    <w:rsid w:val="008B00AA"/>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2652"/>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63C5"/>
    <w:rsid w:val="00967B0C"/>
    <w:rsid w:val="00967B26"/>
    <w:rsid w:val="00973FDC"/>
    <w:rsid w:val="00974841"/>
    <w:rsid w:val="00975EFD"/>
    <w:rsid w:val="00976A9D"/>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1F99"/>
    <w:rsid w:val="009B2A06"/>
    <w:rsid w:val="009B3421"/>
    <w:rsid w:val="009B34F4"/>
    <w:rsid w:val="009B3BB5"/>
    <w:rsid w:val="009B5551"/>
    <w:rsid w:val="009C2E44"/>
    <w:rsid w:val="009C4C27"/>
    <w:rsid w:val="009C7AFE"/>
    <w:rsid w:val="009D0886"/>
    <w:rsid w:val="009D2899"/>
    <w:rsid w:val="009D68FF"/>
    <w:rsid w:val="009D6906"/>
    <w:rsid w:val="009E0BE3"/>
    <w:rsid w:val="009E3665"/>
    <w:rsid w:val="009F52FC"/>
    <w:rsid w:val="009F62E0"/>
    <w:rsid w:val="009F7AB1"/>
    <w:rsid w:val="00A013DF"/>
    <w:rsid w:val="00A02CC4"/>
    <w:rsid w:val="00A0795C"/>
    <w:rsid w:val="00A07C1D"/>
    <w:rsid w:val="00A10A3D"/>
    <w:rsid w:val="00A11FFC"/>
    <w:rsid w:val="00A131B2"/>
    <w:rsid w:val="00A14FA1"/>
    <w:rsid w:val="00A158ED"/>
    <w:rsid w:val="00A15AE6"/>
    <w:rsid w:val="00A16422"/>
    <w:rsid w:val="00A202EB"/>
    <w:rsid w:val="00A232C0"/>
    <w:rsid w:val="00A262D7"/>
    <w:rsid w:val="00A27BEC"/>
    <w:rsid w:val="00A27E76"/>
    <w:rsid w:val="00A32DB5"/>
    <w:rsid w:val="00A32ECB"/>
    <w:rsid w:val="00A32F65"/>
    <w:rsid w:val="00A337C3"/>
    <w:rsid w:val="00A37040"/>
    <w:rsid w:val="00A37C3B"/>
    <w:rsid w:val="00A423D5"/>
    <w:rsid w:val="00A45641"/>
    <w:rsid w:val="00A4569D"/>
    <w:rsid w:val="00A46DA7"/>
    <w:rsid w:val="00A508CF"/>
    <w:rsid w:val="00A52CC5"/>
    <w:rsid w:val="00A5358D"/>
    <w:rsid w:val="00A55243"/>
    <w:rsid w:val="00A5633E"/>
    <w:rsid w:val="00A56746"/>
    <w:rsid w:val="00A61892"/>
    <w:rsid w:val="00A639ED"/>
    <w:rsid w:val="00A64C53"/>
    <w:rsid w:val="00A6761E"/>
    <w:rsid w:val="00A678B7"/>
    <w:rsid w:val="00A72EFB"/>
    <w:rsid w:val="00A732CB"/>
    <w:rsid w:val="00A75B4A"/>
    <w:rsid w:val="00A764C1"/>
    <w:rsid w:val="00A76816"/>
    <w:rsid w:val="00A77881"/>
    <w:rsid w:val="00A77C53"/>
    <w:rsid w:val="00A80F2C"/>
    <w:rsid w:val="00A83EC2"/>
    <w:rsid w:val="00A84647"/>
    <w:rsid w:val="00A8519D"/>
    <w:rsid w:val="00A85C8E"/>
    <w:rsid w:val="00A85D44"/>
    <w:rsid w:val="00A91B6F"/>
    <w:rsid w:val="00A925AB"/>
    <w:rsid w:val="00A9268D"/>
    <w:rsid w:val="00A94BA5"/>
    <w:rsid w:val="00A955D8"/>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37C2"/>
    <w:rsid w:val="00AE6595"/>
    <w:rsid w:val="00AE6CD5"/>
    <w:rsid w:val="00AE799A"/>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485B"/>
    <w:rsid w:val="00B251F5"/>
    <w:rsid w:val="00B3103A"/>
    <w:rsid w:val="00B3327B"/>
    <w:rsid w:val="00B34E1A"/>
    <w:rsid w:val="00B37AD2"/>
    <w:rsid w:val="00B412E2"/>
    <w:rsid w:val="00B42F53"/>
    <w:rsid w:val="00B5098D"/>
    <w:rsid w:val="00B52624"/>
    <w:rsid w:val="00B54B5D"/>
    <w:rsid w:val="00B54C63"/>
    <w:rsid w:val="00B55836"/>
    <w:rsid w:val="00B56342"/>
    <w:rsid w:val="00B601D1"/>
    <w:rsid w:val="00B60CD6"/>
    <w:rsid w:val="00B60E1A"/>
    <w:rsid w:val="00B63578"/>
    <w:rsid w:val="00B64A91"/>
    <w:rsid w:val="00B65118"/>
    <w:rsid w:val="00B65863"/>
    <w:rsid w:val="00B70356"/>
    <w:rsid w:val="00B758F2"/>
    <w:rsid w:val="00B75FA7"/>
    <w:rsid w:val="00B778B9"/>
    <w:rsid w:val="00B77EC1"/>
    <w:rsid w:val="00B90719"/>
    <w:rsid w:val="00B9110A"/>
    <w:rsid w:val="00B947FC"/>
    <w:rsid w:val="00B9634A"/>
    <w:rsid w:val="00BA0A39"/>
    <w:rsid w:val="00BA1034"/>
    <w:rsid w:val="00BA1EBB"/>
    <w:rsid w:val="00BA21C1"/>
    <w:rsid w:val="00BA26AE"/>
    <w:rsid w:val="00BA78B7"/>
    <w:rsid w:val="00BB085C"/>
    <w:rsid w:val="00BB1359"/>
    <w:rsid w:val="00BB2798"/>
    <w:rsid w:val="00BB507D"/>
    <w:rsid w:val="00BC05EB"/>
    <w:rsid w:val="00BC2B58"/>
    <w:rsid w:val="00BC4D21"/>
    <w:rsid w:val="00BC6D3E"/>
    <w:rsid w:val="00BC71B0"/>
    <w:rsid w:val="00BD21ED"/>
    <w:rsid w:val="00BD6408"/>
    <w:rsid w:val="00BD64A5"/>
    <w:rsid w:val="00BE1491"/>
    <w:rsid w:val="00BE34A6"/>
    <w:rsid w:val="00BE3B95"/>
    <w:rsid w:val="00BE769E"/>
    <w:rsid w:val="00BE7BD6"/>
    <w:rsid w:val="00BF02D1"/>
    <w:rsid w:val="00BF0ECA"/>
    <w:rsid w:val="00BF2279"/>
    <w:rsid w:val="00BF2AD6"/>
    <w:rsid w:val="00BF77AA"/>
    <w:rsid w:val="00BF781B"/>
    <w:rsid w:val="00C007B0"/>
    <w:rsid w:val="00C01F6A"/>
    <w:rsid w:val="00C02EE3"/>
    <w:rsid w:val="00C0463C"/>
    <w:rsid w:val="00C064A3"/>
    <w:rsid w:val="00C06CF3"/>
    <w:rsid w:val="00C074BE"/>
    <w:rsid w:val="00C10A42"/>
    <w:rsid w:val="00C12B74"/>
    <w:rsid w:val="00C12EF1"/>
    <w:rsid w:val="00C17D75"/>
    <w:rsid w:val="00C21209"/>
    <w:rsid w:val="00C2254B"/>
    <w:rsid w:val="00C248B3"/>
    <w:rsid w:val="00C249C5"/>
    <w:rsid w:val="00C25A2A"/>
    <w:rsid w:val="00C264A8"/>
    <w:rsid w:val="00C27A0B"/>
    <w:rsid w:val="00C3317F"/>
    <w:rsid w:val="00C33B5E"/>
    <w:rsid w:val="00C35921"/>
    <w:rsid w:val="00C36022"/>
    <w:rsid w:val="00C362B6"/>
    <w:rsid w:val="00C4007F"/>
    <w:rsid w:val="00C4018E"/>
    <w:rsid w:val="00C40733"/>
    <w:rsid w:val="00C437C5"/>
    <w:rsid w:val="00C43D0F"/>
    <w:rsid w:val="00C449F2"/>
    <w:rsid w:val="00C47FE6"/>
    <w:rsid w:val="00C51B5C"/>
    <w:rsid w:val="00C6128A"/>
    <w:rsid w:val="00C61EEA"/>
    <w:rsid w:val="00C62FB2"/>
    <w:rsid w:val="00C6418B"/>
    <w:rsid w:val="00C64561"/>
    <w:rsid w:val="00C6526A"/>
    <w:rsid w:val="00C730E7"/>
    <w:rsid w:val="00C735AD"/>
    <w:rsid w:val="00C779D9"/>
    <w:rsid w:val="00C8136A"/>
    <w:rsid w:val="00C816EB"/>
    <w:rsid w:val="00C82E6E"/>
    <w:rsid w:val="00C8325E"/>
    <w:rsid w:val="00C84F01"/>
    <w:rsid w:val="00C8684D"/>
    <w:rsid w:val="00C87ED9"/>
    <w:rsid w:val="00C97170"/>
    <w:rsid w:val="00CA64E3"/>
    <w:rsid w:val="00CB0189"/>
    <w:rsid w:val="00CB0283"/>
    <w:rsid w:val="00CB2384"/>
    <w:rsid w:val="00CB2CE1"/>
    <w:rsid w:val="00CB368C"/>
    <w:rsid w:val="00CB569B"/>
    <w:rsid w:val="00CB7BA5"/>
    <w:rsid w:val="00CC22D4"/>
    <w:rsid w:val="00CC245A"/>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70F7"/>
    <w:rsid w:val="00D676CF"/>
    <w:rsid w:val="00D7484E"/>
    <w:rsid w:val="00D75BBF"/>
    <w:rsid w:val="00D77120"/>
    <w:rsid w:val="00D80C9F"/>
    <w:rsid w:val="00D83F97"/>
    <w:rsid w:val="00D84725"/>
    <w:rsid w:val="00D84B6A"/>
    <w:rsid w:val="00D86155"/>
    <w:rsid w:val="00D862C4"/>
    <w:rsid w:val="00D870A0"/>
    <w:rsid w:val="00D9186C"/>
    <w:rsid w:val="00D93673"/>
    <w:rsid w:val="00D941E6"/>
    <w:rsid w:val="00D94201"/>
    <w:rsid w:val="00DA1204"/>
    <w:rsid w:val="00DA23D6"/>
    <w:rsid w:val="00DA3A4C"/>
    <w:rsid w:val="00DA3A60"/>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1583"/>
    <w:rsid w:val="00DE164B"/>
    <w:rsid w:val="00DE1DF5"/>
    <w:rsid w:val="00DE5B5C"/>
    <w:rsid w:val="00DE5C66"/>
    <w:rsid w:val="00DF0157"/>
    <w:rsid w:val="00DF04A5"/>
    <w:rsid w:val="00DF69D0"/>
    <w:rsid w:val="00DF762A"/>
    <w:rsid w:val="00E01EB8"/>
    <w:rsid w:val="00E02206"/>
    <w:rsid w:val="00E03E25"/>
    <w:rsid w:val="00E07576"/>
    <w:rsid w:val="00E07D72"/>
    <w:rsid w:val="00E14868"/>
    <w:rsid w:val="00E16118"/>
    <w:rsid w:val="00E16EFE"/>
    <w:rsid w:val="00E21DEC"/>
    <w:rsid w:val="00E2242D"/>
    <w:rsid w:val="00E245C3"/>
    <w:rsid w:val="00E24A60"/>
    <w:rsid w:val="00E301D6"/>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4C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61A9"/>
    <w:rsid w:val="00E879AC"/>
    <w:rsid w:val="00E902D5"/>
    <w:rsid w:val="00E92210"/>
    <w:rsid w:val="00E9532D"/>
    <w:rsid w:val="00E95853"/>
    <w:rsid w:val="00E9653A"/>
    <w:rsid w:val="00EA11B6"/>
    <w:rsid w:val="00EA1AE2"/>
    <w:rsid w:val="00EA1EBC"/>
    <w:rsid w:val="00EA2B52"/>
    <w:rsid w:val="00EA4A89"/>
    <w:rsid w:val="00EA5B2D"/>
    <w:rsid w:val="00EB5C54"/>
    <w:rsid w:val="00EB7D41"/>
    <w:rsid w:val="00EC083F"/>
    <w:rsid w:val="00EC09D2"/>
    <w:rsid w:val="00EC20FE"/>
    <w:rsid w:val="00EC258B"/>
    <w:rsid w:val="00EC543B"/>
    <w:rsid w:val="00EC5AB4"/>
    <w:rsid w:val="00EC76D3"/>
    <w:rsid w:val="00ED0D17"/>
    <w:rsid w:val="00ED4301"/>
    <w:rsid w:val="00ED4761"/>
    <w:rsid w:val="00ED5595"/>
    <w:rsid w:val="00EE22DA"/>
    <w:rsid w:val="00EE6AE3"/>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1F48"/>
    <w:rsid w:val="00F528C8"/>
    <w:rsid w:val="00F53ED1"/>
    <w:rsid w:val="00F548D7"/>
    <w:rsid w:val="00F568B3"/>
    <w:rsid w:val="00F57A5C"/>
    <w:rsid w:val="00F6090C"/>
    <w:rsid w:val="00F60CDB"/>
    <w:rsid w:val="00F60EE5"/>
    <w:rsid w:val="00F61F3A"/>
    <w:rsid w:val="00F62B5F"/>
    <w:rsid w:val="00F62C2A"/>
    <w:rsid w:val="00F63D18"/>
    <w:rsid w:val="00F649A5"/>
    <w:rsid w:val="00F72AB2"/>
    <w:rsid w:val="00F7336D"/>
    <w:rsid w:val="00F7368C"/>
    <w:rsid w:val="00F73828"/>
    <w:rsid w:val="00F73835"/>
    <w:rsid w:val="00F74294"/>
    <w:rsid w:val="00F751D6"/>
    <w:rsid w:val="00F751ED"/>
    <w:rsid w:val="00F763F9"/>
    <w:rsid w:val="00F766CE"/>
    <w:rsid w:val="00F80CFE"/>
    <w:rsid w:val="00F80DCF"/>
    <w:rsid w:val="00F820EE"/>
    <w:rsid w:val="00F825A4"/>
    <w:rsid w:val="00F8499D"/>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CBD"/>
    <w:rsid w:val="00FB7CD0"/>
    <w:rsid w:val="00FC0ED0"/>
    <w:rsid w:val="00FC15DB"/>
    <w:rsid w:val="00FC1EE9"/>
    <w:rsid w:val="00FC34F7"/>
    <w:rsid w:val="00FC55D5"/>
    <w:rsid w:val="00FD0429"/>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34"/>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BodyText">
    <w:name w:val="Body Text"/>
    <w:basedOn w:val="Normal"/>
    <w:link w:val="BodyTextChar"/>
    <w:rsid w:val="00AE37C2"/>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480" w:lineRule="auto"/>
      <w:ind w:right="360"/>
      <w:jc w:val="both"/>
    </w:pPr>
    <w:rPr>
      <w:rFonts w:ascii="Times New Roman" w:eastAsia="Times New Roman" w:hAnsi="Times New Roman" w:cs="Times New Roman"/>
      <w:snapToGrid w:val="0"/>
      <w:spacing w:val="-3"/>
      <w:sz w:val="24"/>
      <w:szCs w:val="20"/>
      <w:lang w:val="es-ES_tradnl"/>
    </w:rPr>
  </w:style>
  <w:style w:type="character" w:customStyle="1" w:styleId="BodyTextChar">
    <w:name w:val="Body Text Char"/>
    <w:basedOn w:val="DefaultParagraphFont"/>
    <w:link w:val="BodyText"/>
    <w:rsid w:val="00AE37C2"/>
    <w:rPr>
      <w:rFonts w:ascii="Times New Roman" w:eastAsia="Times New Roman" w:hAnsi="Times New Roman" w:cs="Times New Roman"/>
      <w:snapToGrid w:val="0"/>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1986</Words>
  <Characters>11322</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edfigueroa</dc:creator>
  <cp:keywords/>
  <dc:description/>
  <cp:lastModifiedBy>Kristal Rivera Sanchez</cp:lastModifiedBy>
  <cp:revision>2</cp:revision>
  <cp:lastPrinted>2026-06-23T21:52:00Z</cp:lastPrinted>
  <dcterms:created xsi:type="dcterms:W3CDTF">2026-06-26T18:37:00Z</dcterms:created>
  <dcterms:modified xsi:type="dcterms:W3CDTF">2026-06-26T18:37:00Z</dcterms:modified>
</cp:coreProperties>
</file>