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0A9D4" w14:textId="48A5F80C" w:rsidR="00F66B8D" w:rsidRPr="00EE7AB6" w:rsidRDefault="008A2EAD" w:rsidP="00F66B8D">
      <w:pPr>
        <w:jc w:val="center"/>
        <w:rPr>
          <w:rFonts w:ascii="Book Antiqua" w:hAnsi="Book Antiqua"/>
          <w:color w:val="000000" w:themeColor="text1"/>
          <w:sz w:val="28"/>
          <w:lang w:val="es-ES_tradnl"/>
        </w:rPr>
      </w:pPr>
      <w:r>
        <w:rPr>
          <w:rFonts w:ascii="Book Antiqua" w:hAnsi="Book Antiqua"/>
          <w:color w:val="000000" w:themeColor="text1"/>
          <w:sz w:val="28"/>
          <w:lang w:val="es-ES_tradnl"/>
        </w:rPr>
        <w:t>GOBIERNO DE PUERTO RICO</w:t>
      </w:r>
    </w:p>
    <w:p w14:paraId="6C056D37" w14:textId="77777777" w:rsidR="00F66B8D" w:rsidRDefault="00F66B8D" w:rsidP="00F66B8D">
      <w:pPr>
        <w:rPr>
          <w:rFonts w:ascii="Book Antiqua" w:hAnsi="Book Antiqua"/>
          <w:color w:val="000000" w:themeColor="text1"/>
          <w:lang w:val="es-ES_tradnl"/>
        </w:rPr>
      </w:pPr>
    </w:p>
    <w:p w14:paraId="5B9BBDA9" w14:textId="03082704" w:rsidR="008A2EAD" w:rsidRPr="00EE7AB6" w:rsidRDefault="008A2EAD" w:rsidP="00F66B8D">
      <w:pPr>
        <w:rPr>
          <w:rFonts w:ascii="Book Antiqua" w:hAnsi="Book Antiqua"/>
          <w:color w:val="000000" w:themeColor="text1"/>
          <w:lang w:val="es-ES_tradnl"/>
        </w:rPr>
      </w:pPr>
      <w:r w:rsidRPr="008A2EAD">
        <w:rPr>
          <w:noProof/>
        </w:rPr>
        <w:drawing>
          <wp:inline distT="0" distB="0" distL="0" distR="0" wp14:anchorId="2E118D0B" wp14:editId="5ADEE9FA">
            <wp:extent cx="5943600" cy="381000"/>
            <wp:effectExtent l="0" t="0" r="0" b="0"/>
            <wp:docPr id="16307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1000"/>
                    </a:xfrm>
                    <a:prstGeom prst="rect">
                      <a:avLst/>
                    </a:prstGeom>
                    <a:noFill/>
                    <a:ln>
                      <a:noFill/>
                    </a:ln>
                  </pic:spPr>
                </pic:pic>
              </a:graphicData>
            </a:graphic>
          </wp:inline>
        </w:drawing>
      </w:r>
    </w:p>
    <w:p w14:paraId="64CBA5F6" w14:textId="77777777" w:rsidR="008A2EAD" w:rsidRPr="0051458B" w:rsidRDefault="008A2EAD" w:rsidP="00F66B8D">
      <w:pPr>
        <w:jc w:val="center"/>
        <w:rPr>
          <w:rFonts w:ascii="Book Antiqua" w:hAnsi="Book Antiqua"/>
          <w:b/>
          <w:color w:val="000000" w:themeColor="text1"/>
          <w:szCs w:val="24"/>
          <w:lang w:val="es-ES_tradnl"/>
        </w:rPr>
      </w:pPr>
    </w:p>
    <w:p w14:paraId="273BCC18" w14:textId="06D2EC9B" w:rsidR="00F66B8D" w:rsidRPr="00EE7AB6" w:rsidRDefault="00F66B8D" w:rsidP="00F66B8D">
      <w:pPr>
        <w:jc w:val="center"/>
        <w:rPr>
          <w:rFonts w:ascii="Book Antiqua" w:hAnsi="Book Antiqua"/>
          <w:b/>
          <w:color w:val="000000" w:themeColor="text1"/>
          <w:sz w:val="36"/>
          <w:lang w:val="es-ES_tradnl"/>
        </w:rPr>
      </w:pPr>
      <w:r w:rsidRPr="00EE7AB6">
        <w:rPr>
          <w:rFonts w:ascii="Book Antiqua" w:hAnsi="Book Antiqua"/>
          <w:b/>
          <w:color w:val="000000" w:themeColor="text1"/>
          <w:sz w:val="36"/>
          <w:lang w:val="es-ES_tradnl"/>
        </w:rPr>
        <w:t>CÁMARA DE REPRESENTANTES</w:t>
      </w:r>
    </w:p>
    <w:p w14:paraId="3C118AF6" w14:textId="77777777" w:rsidR="00F66B8D" w:rsidRPr="00EE7AB6" w:rsidRDefault="00F66B8D" w:rsidP="00F66B8D">
      <w:pPr>
        <w:jc w:val="center"/>
        <w:rPr>
          <w:rFonts w:ascii="Book Antiqua" w:hAnsi="Book Antiqua"/>
          <w:b/>
          <w:color w:val="000000" w:themeColor="text1"/>
          <w:szCs w:val="24"/>
          <w:lang w:val="es-ES_tradnl"/>
        </w:rPr>
      </w:pPr>
    </w:p>
    <w:p w14:paraId="080CDBD5" w14:textId="12695303" w:rsidR="00F66B8D" w:rsidRPr="00EE7AB6" w:rsidRDefault="00F66B8D" w:rsidP="00F66B8D">
      <w:pPr>
        <w:jc w:val="center"/>
        <w:rPr>
          <w:rFonts w:ascii="Book Antiqua" w:hAnsi="Book Antiqua"/>
          <w:b/>
          <w:color w:val="000000" w:themeColor="text1"/>
          <w:sz w:val="52"/>
          <w:lang w:val="es-ES_tradnl"/>
        </w:rPr>
      </w:pPr>
      <w:r w:rsidRPr="00EE7AB6">
        <w:rPr>
          <w:rFonts w:ascii="Book Antiqua" w:hAnsi="Book Antiqua"/>
          <w:b/>
          <w:color w:val="000000" w:themeColor="text1"/>
          <w:sz w:val="52"/>
          <w:lang w:val="es-ES_tradnl"/>
        </w:rPr>
        <w:t>R.</w:t>
      </w:r>
      <w:r w:rsidR="007A1DB7" w:rsidRPr="00EE7AB6">
        <w:rPr>
          <w:rFonts w:ascii="Book Antiqua" w:hAnsi="Book Antiqua"/>
          <w:b/>
          <w:color w:val="000000" w:themeColor="text1"/>
          <w:sz w:val="52"/>
          <w:lang w:val="es-ES_tradnl"/>
        </w:rPr>
        <w:t xml:space="preserve"> </w:t>
      </w:r>
      <w:r w:rsidR="00D512E9" w:rsidRPr="00EE7AB6">
        <w:rPr>
          <w:rFonts w:ascii="Book Antiqua" w:hAnsi="Book Antiqua"/>
          <w:b/>
          <w:color w:val="000000" w:themeColor="text1"/>
          <w:sz w:val="52"/>
          <w:lang w:val="es-ES_tradnl"/>
        </w:rPr>
        <w:t xml:space="preserve">C. </w:t>
      </w:r>
      <w:r w:rsidRPr="00EE7AB6">
        <w:rPr>
          <w:rFonts w:ascii="Book Antiqua" w:hAnsi="Book Antiqua"/>
          <w:b/>
          <w:color w:val="000000" w:themeColor="text1"/>
          <w:sz w:val="52"/>
          <w:lang w:val="es-ES_tradnl"/>
        </w:rPr>
        <w:t xml:space="preserve">de la C. </w:t>
      </w:r>
      <w:r w:rsidR="001E59D3">
        <w:rPr>
          <w:rFonts w:ascii="Book Antiqua" w:hAnsi="Book Antiqua"/>
          <w:b/>
          <w:color w:val="000000" w:themeColor="text1"/>
          <w:sz w:val="52"/>
          <w:lang w:val="es-ES_tradnl"/>
        </w:rPr>
        <w:t>69</w:t>
      </w:r>
    </w:p>
    <w:p w14:paraId="705A3366" w14:textId="77777777" w:rsidR="00F66B8D" w:rsidRPr="00EE7AB6" w:rsidRDefault="00F66B8D" w:rsidP="00F66B8D">
      <w:pPr>
        <w:jc w:val="center"/>
        <w:rPr>
          <w:rFonts w:ascii="Book Antiqua" w:hAnsi="Book Antiqua"/>
          <w:color w:val="000000" w:themeColor="text1"/>
          <w:lang w:val="es-ES_tradnl"/>
        </w:rPr>
      </w:pPr>
    </w:p>
    <w:p w14:paraId="4F72B2A9" w14:textId="09BCA05D" w:rsidR="00F66B8D" w:rsidRPr="00EE7AB6" w:rsidRDefault="001E59D3" w:rsidP="00F66B8D">
      <w:pPr>
        <w:jc w:val="center"/>
        <w:rPr>
          <w:rFonts w:ascii="Book Antiqua" w:hAnsi="Book Antiqua"/>
          <w:color w:val="000000" w:themeColor="text1"/>
          <w:lang w:val="es-ES_tradnl"/>
        </w:rPr>
      </w:pPr>
      <w:r>
        <w:rPr>
          <w:rFonts w:ascii="Book Antiqua" w:hAnsi="Book Antiqua"/>
          <w:color w:val="000000" w:themeColor="text1"/>
          <w:lang w:val="es-ES_tradnl"/>
        </w:rPr>
        <w:t>25</w:t>
      </w:r>
      <w:r w:rsidR="008E60E0">
        <w:rPr>
          <w:rFonts w:ascii="Book Antiqua" w:hAnsi="Book Antiqua"/>
          <w:color w:val="000000" w:themeColor="text1"/>
          <w:lang w:val="es-ES_tradnl"/>
        </w:rPr>
        <w:t xml:space="preserve"> </w:t>
      </w:r>
      <w:r w:rsidR="00F66B8D" w:rsidRPr="00EE7AB6">
        <w:rPr>
          <w:rFonts w:ascii="Book Antiqua" w:hAnsi="Book Antiqua"/>
          <w:color w:val="000000" w:themeColor="text1"/>
          <w:lang w:val="es-ES_tradnl"/>
        </w:rPr>
        <w:t xml:space="preserve">DE </w:t>
      </w:r>
      <w:r w:rsidR="002B24F5">
        <w:rPr>
          <w:rFonts w:ascii="Book Antiqua" w:hAnsi="Book Antiqua"/>
          <w:color w:val="000000" w:themeColor="text1"/>
          <w:lang w:val="es-ES_tradnl"/>
        </w:rPr>
        <w:t>FEBRERO</w:t>
      </w:r>
      <w:r w:rsidR="00AD149E">
        <w:rPr>
          <w:rFonts w:ascii="Book Antiqua" w:hAnsi="Book Antiqua"/>
          <w:color w:val="000000" w:themeColor="text1"/>
          <w:lang w:val="es-ES_tradnl"/>
        </w:rPr>
        <w:t xml:space="preserve"> </w:t>
      </w:r>
      <w:r w:rsidR="00F66B8D" w:rsidRPr="00EE7AB6">
        <w:rPr>
          <w:rFonts w:ascii="Book Antiqua" w:hAnsi="Book Antiqua"/>
          <w:color w:val="000000" w:themeColor="text1"/>
          <w:lang w:val="es-ES_tradnl"/>
        </w:rPr>
        <w:t>DE 202</w:t>
      </w:r>
      <w:r w:rsidR="008A2EAD">
        <w:rPr>
          <w:rFonts w:ascii="Book Antiqua" w:hAnsi="Book Antiqua"/>
          <w:color w:val="000000" w:themeColor="text1"/>
          <w:lang w:val="es-ES_tradnl"/>
        </w:rPr>
        <w:t>5</w:t>
      </w:r>
    </w:p>
    <w:p w14:paraId="7E3CD8BB" w14:textId="77777777" w:rsidR="00F66B8D" w:rsidRPr="00EE7AB6" w:rsidRDefault="00F66B8D" w:rsidP="00F66B8D">
      <w:pPr>
        <w:jc w:val="center"/>
        <w:rPr>
          <w:rFonts w:ascii="Book Antiqua" w:hAnsi="Book Antiqua"/>
          <w:color w:val="000000" w:themeColor="text1"/>
          <w:lang w:val="es-ES_tradnl"/>
        </w:rPr>
      </w:pPr>
    </w:p>
    <w:p w14:paraId="7F5367E1" w14:textId="11DCF861" w:rsidR="00F66B8D" w:rsidRPr="00EE7AB6" w:rsidRDefault="00F66B8D" w:rsidP="00F66B8D">
      <w:pPr>
        <w:jc w:val="center"/>
        <w:rPr>
          <w:rFonts w:ascii="Book Antiqua" w:hAnsi="Book Antiqua"/>
          <w:color w:val="000000" w:themeColor="text1"/>
          <w:lang w:val="es-ES_tradnl"/>
        </w:rPr>
      </w:pPr>
      <w:r w:rsidRPr="00EE7AB6">
        <w:rPr>
          <w:rFonts w:ascii="Book Antiqua" w:hAnsi="Book Antiqua"/>
          <w:color w:val="000000" w:themeColor="text1"/>
          <w:lang w:val="es-ES_tradnl"/>
        </w:rPr>
        <w:t xml:space="preserve">Presentada por el representante </w:t>
      </w:r>
      <w:r w:rsidR="003344E6">
        <w:rPr>
          <w:rFonts w:ascii="Book Antiqua" w:hAnsi="Book Antiqua"/>
          <w:i/>
          <w:color w:val="000000" w:themeColor="text1"/>
          <w:lang w:val="es-ES_tradnl"/>
        </w:rPr>
        <w:t>Hernández Concepción</w:t>
      </w:r>
    </w:p>
    <w:p w14:paraId="3DC51CF2" w14:textId="77777777" w:rsidR="00F66B8D" w:rsidRPr="00EE7AB6" w:rsidRDefault="00F66B8D" w:rsidP="00F66B8D">
      <w:pPr>
        <w:jc w:val="center"/>
        <w:rPr>
          <w:rFonts w:ascii="Book Antiqua" w:hAnsi="Book Antiqua"/>
          <w:color w:val="000000" w:themeColor="text1"/>
          <w:lang w:val="es-ES_tradnl"/>
        </w:rPr>
      </w:pPr>
    </w:p>
    <w:p w14:paraId="4DF453A5" w14:textId="4363F908" w:rsidR="00F66B8D" w:rsidRPr="00EE7AB6" w:rsidRDefault="00F66B8D" w:rsidP="00F66B8D">
      <w:pPr>
        <w:jc w:val="center"/>
        <w:rPr>
          <w:rFonts w:ascii="Book Antiqua" w:hAnsi="Book Antiqua"/>
          <w:color w:val="000000" w:themeColor="text1"/>
          <w:lang w:val="es-ES_tradnl"/>
        </w:rPr>
      </w:pPr>
      <w:r w:rsidRPr="00EE7AB6">
        <w:rPr>
          <w:rFonts w:ascii="Book Antiqua" w:hAnsi="Book Antiqua"/>
          <w:color w:val="000000" w:themeColor="text1"/>
          <w:lang w:val="es-ES_tradnl"/>
        </w:rPr>
        <w:t>Referida a</w:t>
      </w:r>
      <w:r w:rsidR="008F2FC7">
        <w:rPr>
          <w:rFonts w:ascii="Book Antiqua" w:hAnsi="Book Antiqua"/>
          <w:color w:val="000000" w:themeColor="text1"/>
          <w:lang w:val="es-ES_tradnl"/>
        </w:rPr>
        <w:t xml:space="preserve"> </w:t>
      </w:r>
      <w:r w:rsidR="00575D87">
        <w:rPr>
          <w:rFonts w:ascii="Book Antiqua" w:hAnsi="Book Antiqua"/>
          <w:color w:val="000000" w:themeColor="text1"/>
          <w:lang w:val="es-ES_tradnl"/>
        </w:rPr>
        <w:t>la Comisión de Salud</w:t>
      </w:r>
    </w:p>
    <w:p w14:paraId="3139B1B7" w14:textId="77777777" w:rsidR="00F66B8D" w:rsidRPr="00EE7AB6" w:rsidRDefault="00F66B8D" w:rsidP="00F66B8D">
      <w:pPr>
        <w:jc w:val="both"/>
        <w:rPr>
          <w:rFonts w:ascii="Book Antiqua" w:hAnsi="Book Antiqua"/>
          <w:color w:val="000000" w:themeColor="text1"/>
          <w:lang w:val="es-ES_tradnl"/>
        </w:rPr>
      </w:pPr>
    </w:p>
    <w:p w14:paraId="0D638BFB" w14:textId="217A52C8" w:rsidR="00F66B8D" w:rsidRPr="00EE7AB6" w:rsidRDefault="00F66B8D" w:rsidP="00F66B8D">
      <w:pPr>
        <w:jc w:val="center"/>
        <w:rPr>
          <w:rFonts w:ascii="Book Antiqua" w:hAnsi="Book Antiqua"/>
          <w:b/>
          <w:color w:val="000000" w:themeColor="text1"/>
          <w:sz w:val="28"/>
          <w:lang w:val="es-ES_tradnl"/>
        </w:rPr>
      </w:pPr>
      <w:r w:rsidRPr="00EE7AB6">
        <w:rPr>
          <w:rFonts w:ascii="Book Antiqua" w:hAnsi="Book Antiqua"/>
          <w:b/>
          <w:color w:val="000000" w:themeColor="text1"/>
          <w:sz w:val="28"/>
          <w:lang w:val="es-ES_tradnl"/>
        </w:rPr>
        <w:t xml:space="preserve">RESOLUCIÓN </w:t>
      </w:r>
      <w:r w:rsidR="00D512E9" w:rsidRPr="00EE7AB6">
        <w:rPr>
          <w:rFonts w:ascii="Book Antiqua" w:hAnsi="Book Antiqua"/>
          <w:b/>
          <w:color w:val="000000" w:themeColor="text1"/>
          <w:sz w:val="28"/>
          <w:lang w:val="es-ES_tradnl"/>
        </w:rPr>
        <w:t>CONJUNTA</w:t>
      </w:r>
    </w:p>
    <w:p w14:paraId="3EFDCF23" w14:textId="77777777" w:rsidR="00F66B8D" w:rsidRPr="00EE7AB6" w:rsidRDefault="00F66B8D" w:rsidP="00F66B8D">
      <w:pPr>
        <w:jc w:val="both"/>
        <w:rPr>
          <w:rFonts w:ascii="Book Antiqua" w:hAnsi="Book Antiqua"/>
          <w:color w:val="000000" w:themeColor="text1"/>
          <w:lang w:val="es-ES_tradnl"/>
        </w:rPr>
      </w:pPr>
    </w:p>
    <w:p w14:paraId="5C567A33" w14:textId="30D73DA4" w:rsidR="00501793" w:rsidRDefault="00296AAC" w:rsidP="00986F2D">
      <w:pPr>
        <w:ind w:left="567" w:hanging="567"/>
        <w:jc w:val="both"/>
        <w:rPr>
          <w:rFonts w:ascii="Book Antiqua" w:hAnsi="Book Antiqua"/>
          <w:color w:val="000000" w:themeColor="text1"/>
          <w:lang w:val="es-419"/>
        </w:rPr>
      </w:pPr>
      <w:r w:rsidRPr="00296AAC">
        <w:rPr>
          <w:rFonts w:ascii="Book Antiqua" w:hAnsi="Book Antiqua"/>
          <w:color w:val="000000" w:themeColor="text1"/>
          <w:lang w:val="es-419"/>
        </w:rPr>
        <w:t xml:space="preserve">Para </w:t>
      </w:r>
      <w:bookmarkStart w:id="0" w:name="_Hlk191326880"/>
      <w:r w:rsidRPr="00296AAC">
        <w:rPr>
          <w:rFonts w:ascii="Book Antiqua" w:hAnsi="Book Antiqua"/>
          <w:color w:val="000000" w:themeColor="text1"/>
          <w:lang w:val="es-419"/>
        </w:rPr>
        <w:t>ordenar al Departamento de Salud la creación de oficinas satélites encargadas de emitir la certificación de verificación de credenciales e historial delictivo, conforme a la Ley 300-1999, según enmendada, con el fin de proveer este servicio a nivel regional y facilitar su acceso para los ciudadanos.</w:t>
      </w:r>
      <w:bookmarkEnd w:id="0"/>
    </w:p>
    <w:p w14:paraId="08D98AF1" w14:textId="77777777" w:rsidR="00296AAC" w:rsidRPr="00296AAC" w:rsidRDefault="00296AAC" w:rsidP="00986F2D">
      <w:pPr>
        <w:ind w:left="567" w:hanging="567"/>
        <w:jc w:val="both"/>
        <w:rPr>
          <w:rFonts w:ascii="Book Antiqua" w:hAnsi="Book Antiqua"/>
          <w:color w:val="000000" w:themeColor="text1"/>
          <w:lang w:val="es-419"/>
        </w:rPr>
      </w:pPr>
    </w:p>
    <w:p w14:paraId="1F51F317" w14:textId="108CFAD1" w:rsidR="00F66B8D" w:rsidRPr="00EE7AB6" w:rsidRDefault="00F66B8D" w:rsidP="00E5209E">
      <w:pPr>
        <w:jc w:val="center"/>
        <w:rPr>
          <w:rFonts w:ascii="Book Antiqua" w:hAnsi="Book Antiqua"/>
          <w:color w:val="000000" w:themeColor="text1"/>
          <w:lang w:val="es-ES_tradnl"/>
        </w:rPr>
      </w:pPr>
      <w:r w:rsidRPr="00EE7AB6">
        <w:rPr>
          <w:rFonts w:ascii="Book Antiqua" w:hAnsi="Book Antiqua"/>
          <w:color w:val="000000" w:themeColor="text1"/>
          <w:lang w:val="es-ES_tradnl"/>
        </w:rPr>
        <w:t>EXPOSICIÓN DE MOTIVOS</w:t>
      </w:r>
    </w:p>
    <w:p w14:paraId="28994218" w14:textId="77777777" w:rsidR="0051458B"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023C049B" w14:textId="77777777" w:rsidR="00296AAC" w:rsidRPr="001E59D3"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ES"/>
        </w:rPr>
      </w:pPr>
      <w:r w:rsidRPr="001E59D3">
        <w:rPr>
          <w:rFonts w:ascii="Book Antiqua" w:hAnsi="Book Antiqua"/>
          <w:color w:val="000000" w:themeColor="text1"/>
          <w:lang w:val="es-ES"/>
        </w:rPr>
        <w:t>La Ley Núm. 300-1999, según enmendada, conocida como la "Ley de Verificación de Credenciales e Historial Delictivo de Proveedores a Niños, Personas con Impedimentos y Profesionales de la Salud", fue promulgada con el propósito fundamental de establecer un sistema eficaz para la verificación de antecedentes penales y credenciales de aquellos que proveen servicios a sectores vulnerables de nuestra sociedad, tales como menores de edad, personas con impedimentos y pacientes en el ámbito de la salud.</w:t>
      </w:r>
    </w:p>
    <w:p w14:paraId="3FC1F746" w14:textId="77777777" w:rsidR="00296AAC" w:rsidRPr="001E59D3"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ES"/>
        </w:rPr>
      </w:pPr>
    </w:p>
    <w:p w14:paraId="5389593E" w14:textId="59E7BBB6" w:rsidR="00296AAC" w:rsidRPr="00FD2BFD"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419"/>
        </w:rPr>
      </w:pPr>
      <w:r w:rsidRPr="001E59D3">
        <w:rPr>
          <w:rFonts w:ascii="Book Antiqua" w:hAnsi="Book Antiqua"/>
          <w:color w:val="000000" w:themeColor="text1"/>
          <w:lang w:val="es-ES"/>
        </w:rPr>
        <w:t>A lo largo de los años, a pesar de la buena intención de la ley y su importancia para la protección de estos grupos, las barreras logísticas y geográficas han afectado el acceso de los ciudadanos a las certificaciones requeridas. En especial, los ciudadanos que viven en áreas con dificultades de acceso físico o zonas con alta demanda de servicios se ven desbordados por los tiempos de espera y la necesidad de desplazarse a</w:t>
      </w:r>
      <w:r w:rsidR="00FD2BFD" w:rsidRPr="00FD2BFD">
        <w:rPr>
          <w:rFonts w:ascii="Book Antiqua" w:hAnsi="Book Antiqua"/>
          <w:color w:val="000000" w:themeColor="text1"/>
          <w:lang w:val="es-419"/>
        </w:rPr>
        <w:t xml:space="preserve"> </w:t>
      </w:r>
      <w:r w:rsidR="00FD2BFD">
        <w:rPr>
          <w:rFonts w:ascii="Book Antiqua" w:hAnsi="Book Antiqua"/>
          <w:color w:val="000000" w:themeColor="text1"/>
          <w:lang w:val="es-419"/>
        </w:rPr>
        <w:t>una</w:t>
      </w:r>
      <w:r w:rsidRPr="001E59D3">
        <w:rPr>
          <w:rFonts w:ascii="Book Antiqua" w:hAnsi="Book Antiqua"/>
          <w:color w:val="000000" w:themeColor="text1"/>
          <w:lang w:val="es-ES"/>
        </w:rPr>
        <w:t xml:space="preserve"> oficina centralizada para cumplir con los trámites establecidos.</w:t>
      </w:r>
    </w:p>
    <w:p w14:paraId="75135362" w14:textId="77777777" w:rsidR="00296AAC" w:rsidRPr="00296AAC"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419"/>
        </w:rPr>
      </w:pPr>
    </w:p>
    <w:p w14:paraId="57317C70" w14:textId="77777777" w:rsidR="00296AAC" w:rsidRPr="001E59D3"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ES"/>
        </w:rPr>
      </w:pPr>
      <w:r w:rsidRPr="001E59D3">
        <w:rPr>
          <w:rFonts w:ascii="Book Antiqua" w:hAnsi="Book Antiqua"/>
          <w:color w:val="000000" w:themeColor="text1"/>
          <w:lang w:val="es-ES"/>
        </w:rPr>
        <w:t xml:space="preserve">El proceso de verificación y la emisión de las certificaciones correspondientes, como se establece en la Ley Núm. 300-1999, es fundamental para asegurar que las personas que </w:t>
      </w:r>
      <w:r w:rsidRPr="001E59D3">
        <w:rPr>
          <w:rFonts w:ascii="Book Antiqua" w:hAnsi="Book Antiqua"/>
          <w:color w:val="000000" w:themeColor="text1"/>
          <w:lang w:val="es-ES"/>
        </w:rPr>
        <w:lastRenderedPageBreak/>
        <w:t>brindan estos servicios no tengan antecedentes delictivos que pongan en riesgo el bienestar de los sectores vulnerables. Sin embargo, el acceso a estos servicios sigue siendo limitado, ya que las instalaciones que ofrecen la certificación no están distribuidas de manera eficiente para satisfacer las necesidades de toda la población.</w:t>
      </w:r>
    </w:p>
    <w:p w14:paraId="48DB853B" w14:textId="77777777" w:rsidR="00296AAC" w:rsidRPr="001E59D3"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ES"/>
        </w:rPr>
      </w:pPr>
    </w:p>
    <w:p w14:paraId="207FA829" w14:textId="77777777" w:rsidR="00296AAC" w:rsidRPr="001E59D3"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ES"/>
        </w:rPr>
      </w:pPr>
      <w:r w:rsidRPr="001E59D3">
        <w:rPr>
          <w:rFonts w:ascii="Book Antiqua" w:hAnsi="Book Antiqua"/>
          <w:color w:val="000000" w:themeColor="text1"/>
          <w:lang w:val="es-ES"/>
        </w:rPr>
        <w:t>Con el fin de mejorar el acceso a este proceso de verificación, se propone la creación de oficinas satélites encargadas de emitir la certificación de verificación de credenciales e historial delictivo, conforme a la Ley 300-1999, según enmendada. Estas oficinas satélites estarán ubicadas en distintas regiones del país, permitiendo a los ciudadanos recibir los servicios de manera más accesible y eficiente, eliminando la necesidad de viajar largas distancias o enfrentar largos tiempos de espera.</w:t>
      </w:r>
    </w:p>
    <w:p w14:paraId="40343585" w14:textId="77777777" w:rsidR="00296AAC" w:rsidRPr="001E59D3"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ES"/>
        </w:rPr>
      </w:pPr>
    </w:p>
    <w:p w14:paraId="5C62EDB5" w14:textId="77777777" w:rsidR="00296AAC" w:rsidRPr="001E59D3"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ES"/>
        </w:rPr>
      </w:pPr>
      <w:r w:rsidRPr="001E59D3">
        <w:rPr>
          <w:rFonts w:ascii="Book Antiqua" w:hAnsi="Book Antiqua"/>
          <w:color w:val="000000" w:themeColor="text1"/>
          <w:lang w:val="es-ES"/>
        </w:rPr>
        <w:t>La creación de estas oficinas no solo mejorará la accesibilidad de la certificación para los ciudadanos, sino que también optimizará el uso de los recursos del Departamento de Salud, reduciendo los costos administrativos, los tiempos de espera y aumentando la eficiencia operativa. Este modelo descentralizado garantizará que todos los ciudadanos, sin importar su ubicación, tengan acceso a los servicios establecidos en la Ley Núm. 300-1999, promoviendo la equidad en el acceso a los servicios de salud y la seguridad pública.</w:t>
      </w:r>
    </w:p>
    <w:p w14:paraId="3D949D14" w14:textId="77777777" w:rsidR="00296AAC" w:rsidRPr="001E59D3"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ES"/>
        </w:rPr>
      </w:pPr>
    </w:p>
    <w:p w14:paraId="5A46172A" w14:textId="77777777" w:rsidR="00296AAC" w:rsidRPr="001E59D3" w:rsidRDefault="00296AAC" w:rsidP="00296AAC">
      <w:pPr>
        <w:pStyle w:val="NormalWeb"/>
        <w:shd w:val="clear" w:color="auto" w:fill="FFFFFF"/>
        <w:spacing w:before="0" w:beforeAutospacing="0" w:after="0" w:afterAutospacing="0"/>
        <w:ind w:firstLine="567"/>
        <w:jc w:val="both"/>
        <w:rPr>
          <w:rFonts w:ascii="Book Antiqua" w:hAnsi="Book Antiqua"/>
          <w:color w:val="000000" w:themeColor="text1"/>
          <w:lang w:val="es-ES"/>
        </w:rPr>
      </w:pPr>
      <w:r w:rsidRPr="001E59D3">
        <w:rPr>
          <w:rFonts w:ascii="Book Antiqua" w:hAnsi="Book Antiqua"/>
          <w:color w:val="000000" w:themeColor="text1"/>
          <w:lang w:val="es-ES"/>
        </w:rPr>
        <w:t>Por todo lo anterior, se considera fundamental ordenar al Departamento de Salud la creación de oficinas satélites encargadas de emitir la certificación de verificación de credenciales e historial delictivo, con el fin de proveer este servicio a nivel regional y facilitar su acceso para los ciudadanos.</w:t>
      </w:r>
    </w:p>
    <w:p w14:paraId="16CAE985" w14:textId="77777777" w:rsidR="0051458B" w:rsidRPr="00A767BC"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4BAA5FBF" w14:textId="2D063D0F" w:rsidR="00F66B8D" w:rsidRPr="00EE7AB6" w:rsidRDefault="00F66B8D" w:rsidP="00F66B8D">
      <w:pPr>
        <w:spacing w:line="480" w:lineRule="auto"/>
        <w:rPr>
          <w:rFonts w:ascii="Book Antiqua" w:hAnsi="Book Antiqua"/>
          <w:i/>
          <w:color w:val="000000" w:themeColor="text1"/>
          <w:lang w:val="es-ES_tradnl"/>
        </w:rPr>
      </w:pPr>
      <w:r w:rsidRPr="00EE7AB6">
        <w:rPr>
          <w:rFonts w:ascii="Book Antiqua" w:hAnsi="Book Antiqua"/>
          <w:i/>
          <w:color w:val="000000" w:themeColor="text1"/>
          <w:lang w:val="es-ES_tradnl"/>
        </w:rPr>
        <w:t xml:space="preserve">RESUÉLVESE POR LA </w:t>
      </w:r>
      <w:r w:rsidR="000A47DB" w:rsidRPr="00EE7AB6">
        <w:rPr>
          <w:rFonts w:ascii="Book Antiqua" w:hAnsi="Book Antiqua"/>
          <w:i/>
          <w:color w:val="000000" w:themeColor="text1"/>
          <w:lang w:val="es-ES_tradnl"/>
        </w:rPr>
        <w:t>ASAMBLEA LEGISLATIVA</w:t>
      </w:r>
      <w:r w:rsidRPr="00EE7AB6">
        <w:rPr>
          <w:rFonts w:ascii="Book Antiqua" w:hAnsi="Book Antiqua"/>
          <w:i/>
          <w:color w:val="000000" w:themeColor="text1"/>
          <w:lang w:val="es-ES_tradnl"/>
        </w:rPr>
        <w:t xml:space="preserve"> DE PUERTO RICO:</w:t>
      </w:r>
    </w:p>
    <w:p w14:paraId="6227FF25" w14:textId="77777777" w:rsidR="00F66B8D" w:rsidRPr="00EE7AB6" w:rsidRDefault="00F66B8D" w:rsidP="00F66B8D">
      <w:pPr>
        <w:spacing w:line="480" w:lineRule="auto"/>
        <w:jc w:val="both"/>
        <w:rPr>
          <w:rFonts w:ascii="Book Antiqua" w:hAnsi="Book Antiqua"/>
          <w:color w:val="000000" w:themeColor="text1"/>
          <w:lang w:val="es-ES_tradnl"/>
        </w:rPr>
        <w:sectPr w:rsidR="00F66B8D" w:rsidRPr="00EE7AB6" w:rsidSect="00F66B8D">
          <w:headerReference w:type="default" r:id="rId8"/>
          <w:pgSz w:w="12240" w:h="15840" w:code="1"/>
          <w:pgMar w:top="1440" w:right="1440" w:bottom="1440" w:left="1440" w:header="720" w:footer="720" w:gutter="0"/>
          <w:cols w:space="720"/>
          <w:titlePg/>
        </w:sectPr>
      </w:pPr>
    </w:p>
    <w:p w14:paraId="708775E0" w14:textId="195129EE" w:rsidR="008E3B8C" w:rsidRPr="008E3B8C" w:rsidRDefault="008E3B8C" w:rsidP="008E3B8C">
      <w:pPr>
        <w:spacing w:line="480" w:lineRule="auto"/>
        <w:ind w:firstLine="567"/>
        <w:jc w:val="both"/>
        <w:rPr>
          <w:rFonts w:ascii="Book Antiqua" w:hAnsi="Book Antiqua"/>
          <w:color w:val="000000" w:themeColor="text1"/>
          <w:lang w:val="es-ES"/>
        </w:rPr>
      </w:pPr>
      <w:r w:rsidRPr="008E3B8C">
        <w:rPr>
          <w:rFonts w:ascii="Book Antiqua" w:hAnsi="Book Antiqua"/>
          <w:color w:val="000000" w:themeColor="text1"/>
          <w:lang w:val="es-ES"/>
        </w:rPr>
        <w:t xml:space="preserve">Sección 1.- </w:t>
      </w:r>
      <w:r w:rsidR="00296AAC">
        <w:rPr>
          <w:rFonts w:ascii="Book Antiqua" w:hAnsi="Book Antiqua"/>
          <w:color w:val="000000" w:themeColor="text1"/>
          <w:lang w:val="es-ES"/>
        </w:rPr>
        <w:t xml:space="preserve">Se </w:t>
      </w:r>
      <w:r w:rsidR="00296AAC" w:rsidRPr="00296AAC">
        <w:rPr>
          <w:rFonts w:ascii="Book Antiqua" w:hAnsi="Book Antiqua"/>
          <w:color w:val="000000" w:themeColor="text1"/>
          <w:lang w:val="es-419"/>
        </w:rPr>
        <w:t>ordena al Departamento de Salud la creación de oficinas satélites encargadas de emitir la certificación de verificación de credenciales e historial delictivo, conforme a la Ley 300-1999, según enmendada, con el fin de proveer este servicio a nivel regional y facilitar su acceso para los ciudadanos.</w:t>
      </w:r>
    </w:p>
    <w:p w14:paraId="17C20A43" w14:textId="3964526D" w:rsidR="008E3B8C" w:rsidRPr="008E3B8C" w:rsidRDefault="008E3B8C" w:rsidP="008E3B8C">
      <w:pPr>
        <w:spacing w:line="480" w:lineRule="auto"/>
        <w:ind w:firstLine="567"/>
        <w:jc w:val="both"/>
        <w:rPr>
          <w:rFonts w:ascii="Book Antiqua" w:hAnsi="Book Antiqua"/>
          <w:color w:val="000000" w:themeColor="text1"/>
          <w:lang w:val="es-PR"/>
        </w:rPr>
      </w:pPr>
      <w:r w:rsidRPr="008E3B8C">
        <w:rPr>
          <w:rFonts w:ascii="Book Antiqua" w:hAnsi="Book Antiqua"/>
          <w:color w:val="000000" w:themeColor="text1"/>
          <w:lang w:val="es-PR"/>
        </w:rPr>
        <w:t xml:space="preserve">Sección </w:t>
      </w:r>
      <w:r>
        <w:rPr>
          <w:rFonts w:ascii="Book Antiqua" w:hAnsi="Book Antiqua"/>
          <w:color w:val="000000" w:themeColor="text1"/>
          <w:lang w:val="es-PR"/>
        </w:rPr>
        <w:t>2</w:t>
      </w:r>
      <w:r w:rsidRPr="008E3B8C">
        <w:rPr>
          <w:rFonts w:ascii="Book Antiqua" w:hAnsi="Book Antiqua"/>
          <w:color w:val="000000" w:themeColor="text1"/>
          <w:lang w:val="es-PR"/>
        </w:rPr>
        <w:t>.- El</w:t>
      </w:r>
      <w:r w:rsidRPr="008E3B8C">
        <w:rPr>
          <w:rFonts w:ascii="Book Antiqua" w:hAnsi="Book Antiqua"/>
          <w:color w:val="000000" w:themeColor="text1"/>
          <w:lang w:val="es-ES_tradnl"/>
        </w:rPr>
        <w:t xml:space="preserve"> Departamento de </w:t>
      </w:r>
      <w:r>
        <w:rPr>
          <w:rFonts w:ascii="Book Antiqua" w:hAnsi="Book Antiqua"/>
          <w:color w:val="000000" w:themeColor="text1"/>
          <w:lang w:val="es-ES_tradnl"/>
        </w:rPr>
        <w:t>Salud</w:t>
      </w:r>
      <w:r w:rsidRPr="008E3B8C">
        <w:rPr>
          <w:rFonts w:ascii="Book Antiqua" w:hAnsi="Book Antiqua"/>
          <w:color w:val="000000" w:themeColor="text1"/>
          <w:lang w:val="es-ES_tradnl"/>
        </w:rPr>
        <w:t xml:space="preserve"> cuenta con </w:t>
      </w:r>
      <w:r w:rsidR="004C0A29">
        <w:rPr>
          <w:rFonts w:ascii="Book Antiqua" w:hAnsi="Book Antiqua"/>
          <w:color w:val="000000" w:themeColor="text1"/>
          <w:lang w:val="es-ES_tradnl"/>
        </w:rPr>
        <w:t>ciento ochenta</w:t>
      </w:r>
      <w:r w:rsidRPr="008E3B8C">
        <w:rPr>
          <w:rFonts w:ascii="Book Antiqua" w:hAnsi="Book Antiqua"/>
          <w:color w:val="000000" w:themeColor="text1"/>
          <w:lang w:val="es-ES_tradnl"/>
        </w:rPr>
        <w:t xml:space="preserve"> (</w:t>
      </w:r>
      <w:r w:rsidR="004C0A29">
        <w:rPr>
          <w:rFonts w:ascii="Book Antiqua" w:hAnsi="Book Antiqua"/>
          <w:color w:val="000000" w:themeColor="text1"/>
          <w:lang w:val="es-ES_tradnl"/>
        </w:rPr>
        <w:t>180</w:t>
      </w:r>
      <w:r w:rsidRPr="008E3B8C">
        <w:rPr>
          <w:rFonts w:ascii="Book Antiqua" w:hAnsi="Book Antiqua"/>
          <w:color w:val="000000" w:themeColor="text1"/>
          <w:lang w:val="es-ES_tradnl"/>
        </w:rPr>
        <w:t>) días, después de la aprobación de esta medida, para establecer los procedimientos y cumplir con las disposiciones que se ordenan en la Sección 1 de esta Resolución Conjunta.</w:t>
      </w:r>
    </w:p>
    <w:p w14:paraId="0A1077CC" w14:textId="0199A75E" w:rsidR="008E3B8C" w:rsidRPr="008E3B8C" w:rsidRDefault="008E3B8C" w:rsidP="008E3B8C">
      <w:pPr>
        <w:spacing w:line="480" w:lineRule="auto"/>
        <w:ind w:firstLine="567"/>
        <w:jc w:val="both"/>
        <w:rPr>
          <w:rFonts w:ascii="Book Antiqua" w:hAnsi="Book Antiqua"/>
          <w:color w:val="000000" w:themeColor="text1"/>
          <w:lang w:val="es-ES"/>
        </w:rPr>
      </w:pPr>
      <w:r w:rsidRPr="008E3B8C">
        <w:rPr>
          <w:rFonts w:ascii="Book Antiqua" w:hAnsi="Book Antiqua"/>
          <w:color w:val="000000" w:themeColor="text1"/>
          <w:lang w:val="es-PR"/>
        </w:rPr>
        <w:t xml:space="preserve">Sección </w:t>
      </w:r>
      <w:r>
        <w:rPr>
          <w:rFonts w:ascii="Book Antiqua" w:hAnsi="Book Antiqua"/>
          <w:color w:val="000000" w:themeColor="text1"/>
          <w:lang w:val="es-PR"/>
        </w:rPr>
        <w:t>3</w:t>
      </w:r>
      <w:r w:rsidRPr="008E3B8C">
        <w:rPr>
          <w:rFonts w:ascii="Book Antiqua" w:hAnsi="Book Antiqua"/>
          <w:color w:val="000000" w:themeColor="text1"/>
          <w:lang w:val="es-PR"/>
        </w:rPr>
        <w:t xml:space="preserve">.- Se ordena al Departamento de </w:t>
      </w:r>
      <w:r>
        <w:rPr>
          <w:rFonts w:ascii="Book Antiqua" w:hAnsi="Book Antiqua"/>
          <w:color w:val="000000" w:themeColor="text1"/>
          <w:lang w:val="es-PR"/>
        </w:rPr>
        <w:t>Salud</w:t>
      </w:r>
      <w:r w:rsidRPr="008E3B8C">
        <w:rPr>
          <w:rFonts w:ascii="Book Antiqua" w:hAnsi="Book Antiqua"/>
          <w:color w:val="000000" w:themeColor="text1"/>
          <w:lang w:val="es-PR"/>
        </w:rPr>
        <w:t xml:space="preserve"> a</w:t>
      </w:r>
      <w:r w:rsidRPr="008E3B8C">
        <w:rPr>
          <w:rFonts w:ascii="Book Antiqua" w:hAnsi="Book Antiqua"/>
          <w:color w:val="000000" w:themeColor="text1"/>
          <w:lang w:val="es-ES_tradnl"/>
        </w:rPr>
        <w:t xml:space="preserve"> informar a la Asamblea Legislativa, a través de la Secretaría de cada Cuerpo, sobre las gestiones llevadas a cabo </w:t>
      </w:r>
      <w:r w:rsidRPr="008E3B8C">
        <w:rPr>
          <w:rFonts w:ascii="Book Antiqua" w:hAnsi="Book Antiqua"/>
          <w:color w:val="000000" w:themeColor="text1"/>
          <w:lang w:val="es-ES_tradnl"/>
        </w:rPr>
        <w:lastRenderedPageBreak/>
        <w:t xml:space="preserve">para cumplir con los propósitos de esta Resolución Conjunta, en un término no mayor de diez (10) días laborables, a partir del transcurso del periodo establecido en la Sección </w:t>
      </w:r>
      <w:r>
        <w:rPr>
          <w:rFonts w:ascii="Book Antiqua" w:hAnsi="Book Antiqua"/>
          <w:color w:val="000000" w:themeColor="text1"/>
          <w:lang w:val="es-ES_tradnl"/>
        </w:rPr>
        <w:t>2</w:t>
      </w:r>
      <w:r w:rsidRPr="008E3B8C">
        <w:rPr>
          <w:rFonts w:ascii="Book Antiqua" w:hAnsi="Book Antiqua"/>
          <w:color w:val="000000" w:themeColor="text1"/>
          <w:lang w:val="es-ES_tradnl"/>
        </w:rPr>
        <w:t xml:space="preserve"> que antecede.</w:t>
      </w:r>
    </w:p>
    <w:p w14:paraId="5E4CCB98" w14:textId="1D12272C" w:rsidR="008F3C48" w:rsidRPr="00EE7AB6" w:rsidRDefault="008E3B8C" w:rsidP="008E3B8C">
      <w:pPr>
        <w:spacing w:line="480" w:lineRule="auto"/>
        <w:ind w:firstLine="567"/>
        <w:jc w:val="both"/>
        <w:rPr>
          <w:rFonts w:ascii="Book Antiqua" w:hAnsi="Book Antiqua"/>
          <w:color w:val="000000" w:themeColor="text1"/>
          <w:szCs w:val="24"/>
          <w:lang w:val="es-ES_tradnl"/>
        </w:rPr>
      </w:pPr>
      <w:r w:rsidRPr="008E3B8C">
        <w:rPr>
          <w:rFonts w:ascii="Book Antiqua" w:hAnsi="Book Antiqua"/>
          <w:color w:val="000000" w:themeColor="text1"/>
          <w:lang w:val="es-ES"/>
        </w:rPr>
        <w:t xml:space="preserve">Sección </w:t>
      </w:r>
      <w:r>
        <w:rPr>
          <w:rFonts w:ascii="Book Antiqua" w:hAnsi="Book Antiqua"/>
          <w:color w:val="000000" w:themeColor="text1"/>
          <w:lang w:val="es-ES"/>
        </w:rPr>
        <w:t>4</w:t>
      </w:r>
      <w:r w:rsidRPr="008E3B8C">
        <w:rPr>
          <w:rFonts w:ascii="Book Antiqua" w:hAnsi="Book Antiqua"/>
          <w:color w:val="000000" w:themeColor="text1"/>
          <w:lang w:val="es-ES"/>
        </w:rPr>
        <w:t xml:space="preserve">.- </w:t>
      </w:r>
      <w:r w:rsidRPr="008E3B8C">
        <w:rPr>
          <w:rFonts w:ascii="Book Antiqua" w:hAnsi="Book Antiqua"/>
          <w:color w:val="000000" w:themeColor="text1"/>
          <w:lang w:val="es-PR"/>
        </w:rPr>
        <w:t>Esta Resolución Conjunta entrará en vigor inmediatamente después de su aprobación.</w:t>
      </w:r>
      <w:r w:rsidR="008F3C48" w:rsidRPr="00EE7AB6">
        <w:rPr>
          <w:rFonts w:ascii="Book Antiqua" w:hAnsi="Book Antiqua"/>
          <w:color w:val="000000" w:themeColor="text1"/>
          <w:szCs w:val="24"/>
          <w:lang w:val="es-ES_tradnl"/>
        </w:rPr>
        <w:t xml:space="preserve"> </w:t>
      </w:r>
    </w:p>
    <w:sectPr w:rsidR="008F3C48" w:rsidRPr="00EE7AB6" w:rsidSect="00383A4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DFAFE" w14:textId="77777777" w:rsidR="00094450" w:rsidRDefault="00094450" w:rsidP="00F66B8D">
      <w:r>
        <w:separator/>
      </w:r>
    </w:p>
  </w:endnote>
  <w:endnote w:type="continuationSeparator" w:id="0">
    <w:p w14:paraId="4B0834CD" w14:textId="77777777" w:rsidR="00094450" w:rsidRDefault="00094450" w:rsidP="00F66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5D5EF" w14:textId="77777777" w:rsidR="00094450" w:rsidRDefault="00094450" w:rsidP="00F66B8D">
      <w:r>
        <w:separator/>
      </w:r>
    </w:p>
  </w:footnote>
  <w:footnote w:type="continuationSeparator" w:id="0">
    <w:p w14:paraId="6517F8A3" w14:textId="77777777" w:rsidR="00094450" w:rsidRDefault="00094450" w:rsidP="00F66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B400D" w14:textId="77777777" w:rsidR="00F66B8D" w:rsidRDefault="00F66B8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D"/>
    <w:rsid w:val="000033D2"/>
    <w:rsid w:val="000036D6"/>
    <w:rsid w:val="000154FE"/>
    <w:rsid w:val="00017793"/>
    <w:rsid w:val="00022433"/>
    <w:rsid w:val="00023ADA"/>
    <w:rsid w:val="00023DCE"/>
    <w:rsid w:val="00025EDD"/>
    <w:rsid w:val="000308BE"/>
    <w:rsid w:val="00031FB6"/>
    <w:rsid w:val="00033B16"/>
    <w:rsid w:val="00037D01"/>
    <w:rsid w:val="00045BBF"/>
    <w:rsid w:val="000544C6"/>
    <w:rsid w:val="00060B83"/>
    <w:rsid w:val="00081A7C"/>
    <w:rsid w:val="000843CD"/>
    <w:rsid w:val="00087602"/>
    <w:rsid w:val="0009005B"/>
    <w:rsid w:val="000902AD"/>
    <w:rsid w:val="00092906"/>
    <w:rsid w:val="00094450"/>
    <w:rsid w:val="000A47DB"/>
    <w:rsid w:val="000B3204"/>
    <w:rsid w:val="000B7077"/>
    <w:rsid w:val="000B7981"/>
    <w:rsid w:val="000C0ADB"/>
    <w:rsid w:val="000C617A"/>
    <w:rsid w:val="000D092A"/>
    <w:rsid w:val="000D360C"/>
    <w:rsid w:val="000D42C8"/>
    <w:rsid w:val="000D48BC"/>
    <w:rsid w:val="000E3A32"/>
    <w:rsid w:val="000F0112"/>
    <w:rsid w:val="000F6522"/>
    <w:rsid w:val="000F7852"/>
    <w:rsid w:val="00100F73"/>
    <w:rsid w:val="001109CE"/>
    <w:rsid w:val="001225CD"/>
    <w:rsid w:val="00133415"/>
    <w:rsid w:val="00137186"/>
    <w:rsid w:val="001450C6"/>
    <w:rsid w:val="00153A6E"/>
    <w:rsid w:val="00170D02"/>
    <w:rsid w:val="001721C1"/>
    <w:rsid w:val="00172A7B"/>
    <w:rsid w:val="00174E03"/>
    <w:rsid w:val="001A6231"/>
    <w:rsid w:val="001B58F6"/>
    <w:rsid w:val="001B6832"/>
    <w:rsid w:val="001C05E4"/>
    <w:rsid w:val="001C21DA"/>
    <w:rsid w:val="001C771C"/>
    <w:rsid w:val="001D435B"/>
    <w:rsid w:val="001D68B7"/>
    <w:rsid w:val="001E59D3"/>
    <w:rsid w:val="001F238E"/>
    <w:rsid w:val="00205811"/>
    <w:rsid w:val="002070C6"/>
    <w:rsid w:val="00211538"/>
    <w:rsid w:val="002115D5"/>
    <w:rsid w:val="00211BE9"/>
    <w:rsid w:val="00215286"/>
    <w:rsid w:val="00221444"/>
    <w:rsid w:val="00223994"/>
    <w:rsid w:val="00223DA7"/>
    <w:rsid w:val="00227F71"/>
    <w:rsid w:val="002354CC"/>
    <w:rsid w:val="00243D82"/>
    <w:rsid w:val="00244936"/>
    <w:rsid w:val="0025328C"/>
    <w:rsid w:val="00254F44"/>
    <w:rsid w:val="00261D1D"/>
    <w:rsid w:val="00266D5B"/>
    <w:rsid w:val="002746B6"/>
    <w:rsid w:val="00276AB3"/>
    <w:rsid w:val="0028041A"/>
    <w:rsid w:val="0028588C"/>
    <w:rsid w:val="00285C9D"/>
    <w:rsid w:val="00290EEC"/>
    <w:rsid w:val="00295DB9"/>
    <w:rsid w:val="0029635B"/>
    <w:rsid w:val="00296AAC"/>
    <w:rsid w:val="002A695A"/>
    <w:rsid w:val="002A6F6E"/>
    <w:rsid w:val="002B1C28"/>
    <w:rsid w:val="002B24F5"/>
    <w:rsid w:val="002B2C66"/>
    <w:rsid w:val="002B2CD3"/>
    <w:rsid w:val="002B4B8E"/>
    <w:rsid w:val="002B5D9D"/>
    <w:rsid w:val="002C3C2B"/>
    <w:rsid w:val="002D0D2E"/>
    <w:rsid w:val="002D1FEB"/>
    <w:rsid w:val="002E2B21"/>
    <w:rsid w:val="002E4075"/>
    <w:rsid w:val="002F1E01"/>
    <w:rsid w:val="002F3E69"/>
    <w:rsid w:val="00301C9E"/>
    <w:rsid w:val="00302A2F"/>
    <w:rsid w:val="00305D9C"/>
    <w:rsid w:val="0030694C"/>
    <w:rsid w:val="00307BA4"/>
    <w:rsid w:val="00311BC4"/>
    <w:rsid w:val="00333866"/>
    <w:rsid w:val="003344E6"/>
    <w:rsid w:val="003362BB"/>
    <w:rsid w:val="003364F3"/>
    <w:rsid w:val="003417E4"/>
    <w:rsid w:val="00343E95"/>
    <w:rsid w:val="003502A9"/>
    <w:rsid w:val="00350DDC"/>
    <w:rsid w:val="0035368B"/>
    <w:rsid w:val="00360847"/>
    <w:rsid w:val="00367778"/>
    <w:rsid w:val="0037380E"/>
    <w:rsid w:val="00373D02"/>
    <w:rsid w:val="003814C5"/>
    <w:rsid w:val="0038272A"/>
    <w:rsid w:val="00384FF5"/>
    <w:rsid w:val="00385514"/>
    <w:rsid w:val="0039246F"/>
    <w:rsid w:val="00393504"/>
    <w:rsid w:val="00393525"/>
    <w:rsid w:val="0039398B"/>
    <w:rsid w:val="00393E42"/>
    <w:rsid w:val="00393FEE"/>
    <w:rsid w:val="00395B85"/>
    <w:rsid w:val="003967AD"/>
    <w:rsid w:val="00397001"/>
    <w:rsid w:val="003A0E07"/>
    <w:rsid w:val="003A2022"/>
    <w:rsid w:val="003A3656"/>
    <w:rsid w:val="003A4FFB"/>
    <w:rsid w:val="003B11E0"/>
    <w:rsid w:val="003B611D"/>
    <w:rsid w:val="003E110F"/>
    <w:rsid w:val="003E1865"/>
    <w:rsid w:val="003E1FBD"/>
    <w:rsid w:val="003E2592"/>
    <w:rsid w:val="003E283A"/>
    <w:rsid w:val="003F02E6"/>
    <w:rsid w:val="003F0A2E"/>
    <w:rsid w:val="003F3E9F"/>
    <w:rsid w:val="003F72AC"/>
    <w:rsid w:val="0040001B"/>
    <w:rsid w:val="00405E2D"/>
    <w:rsid w:val="00412671"/>
    <w:rsid w:val="00413417"/>
    <w:rsid w:val="004145C7"/>
    <w:rsid w:val="004233D9"/>
    <w:rsid w:val="00423C81"/>
    <w:rsid w:val="004251F4"/>
    <w:rsid w:val="0042682F"/>
    <w:rsid w:val="00432901"/>
    <w:rsid w:val="004343BE"/>
    <w:rsid w:val="00435841"/>
    <w:rsid w:val="00444003"/>
    <w:rsid w:val="00445A82"/>
    <w:rsid w:val="0044717E"/>
    <w:rsid w:val="00452808"/>
    <w:rsid w:val="00462356"/>
    <w:rsid w:val="00476866"/>
    <w:rsid w:val="0048061E"/>
    <w:rsid w:val="00490183"/>
    <w:rsid w:val="00495D38"/>
    <w:rsid w:val="004B4C11"/>
    <w:rsid w:val="004B7BCC"/>
    <w:rsid w:val="004C0A29"/>
    <w:rsid w:val="004C5A03"/>
    <w:rsid w:val="004D1BD8"/>
    <w:rsid w:val="004D4C11"/>
    <w:rsid w:val="004D6AFF"/>
    <w:rsid w:val="004E1592"/>
    <w:rsid w:val="004E4A9C"/>
    <w:rsid w:val="004F5950"/>
    <w:rsid w:val="004F65B6"/>
    <w:rsid w:val="0050113F"/>
    <w:rsid w:val="00501793"/>
    <w:rsid w:val="00502CC9"/>
    <w:rsid w:val="0051458B"/>
    <w:rsid w:val="00517DC4"/>
    <w:rsid w:val="00524333"/>
    <w:rsid w:val="005274D7"/>
    <w:rsid w:val="0053371E"/>
    <w:rsid w:val="0053499E"/>
    <w:rsid w:val="00537A12"/>
    <w:rsid w:val="005448BA"/>
    <w:rsid w:val="00546061"/>
    <w:rsid w:val="0054792D"/>
    <w:rsid w:val="005528D4"/>
    <w:rsid w:val="00553271"/>
    <w:rsid w:val="005550DA"/>
    <w:rsid w:val="0056475A"/>
    <w:rsid w:val="00564D44"/>
    <w:rsid w:val="00571DA3"/>
    <w:rsid w:val="005728A2"/>
    <w:rsid w:val="00573C38"/>
    <w:rsid w:val="00575D87"/>
    <w:rsid w:val="00581FBF"/>
    <w:rsid w:val="0058420B"/>
    <w:rsid w:val="005848F3"/>
    <w:rsid w:val="005853E7"/>
    <w:rsid w:val="005857AB"/>
    <w:rsid w:val="00586212"/>
    <w:rsid w:val="005A2DD4"/>
    <w:rsid w:val="005A5914"/>
    <w:rsid w:val="005A69D5"/>
    <w:rsid w:val="005B1BE3"/>
    <w:rsid w:val="005B61FF"/>
    <w:rsid w:val="005C42BF"/>
    <w:rsid w:val="005D050A"/>
    <w:rsid w:val="005D7AB4"/>
    <w:rsid w:val="005E0C81"/>
    <w:rsid w:val="005F189D"/>
    <w:rsid w:val="006001EC"/>
    <w:rsid w:val="00606E40"/>
    <w:rsid w:val="0061425A"/>
    <w:rsid w:val="00617A54"/>
    <w:rsid w:val="00633BF5"/>
    <w:rsid w:val="00634090"/>
    <w:rsid w:val="006344CD"/>
    <w:rsid w:val="00635DF8"/>
    <w:rsid w:val="00637464"/>
    <w:rsid w:val="0064349F"/>
    <w:rsid w:val="0065003C"/>
    <w:rsid w:val="006508E7"/>
    <w:rsid w:val="00661415"/>
    <w:rsid w:val="00667E29"/>
    <w:rsid w:val="00672EEE"/>
    <w:rsid w:val="006732B8"/>
    <w:rsid w:val="00674F36"/>
    <w:rsid w:val="00680F0C"/>
    <w:rsid w:val="00683AC9"/>
    <w:rsid w:val="00696263"/>
    <w:rsid w:val="00696483"/>
    <w:rsid w:val="006A143C"/>
    <w:rsid w:val="006A1857"/>
    <w:rsid w:val="006A359B"/>
    <w:rsid w:val="006B03DB"/>
    <w:rsid w:val="006B0E2A"/>
    <w:rsid w:val="006C3B42"/>
    <w:rsid w:val="006D5E82"/>
    <w:rsid w:val="006E71E6"/>
    <w:rsid w:val="006F14DC"/>
    <w:rsid w:val="006F156B"/>
    <w:rsid w:val="006F1F04"/>
    <w:rsid w:val="006F3043"/>
    <w:rsid w:val="006F482D"/>
    <w:rsid w:val="00703A9D"/>
    <w:rsid w:val="00705BC1"/>
    <w:rsid w:val="00711C46"/>
    <w:rsid w:val="007200B6"/>
    <w:rsid w:val="00720FD6"/>
    <w:rsid w:val="00724D27"/>
    <w:rsid w:val="00757C14"/>
    <w:rsid w:val="007600D5"/>
    <w:rsid w:val="00770736"/>
    <w:rsid w:val="00770A9D"/>
    <w:rsid w:val="00783A07"/>
    <w:rsid w:val="00786030"/>
    <w:rsid w:val="00786846"/>
    <w:rsid w:val="007A0654"/>
    <w:rsid w:val="007A1DB7"/>
    <w:rsid w:val="007A3550"/>
    <w:rsid w:val="007A76F5"/>
    <w:rsid w:val="007B4AB6"/>
    <w:rsid w:val="007B6B16"/>
    <w:rsid w:val="007C5A49"/>
    <w:rsid w:val="007C5CA8"/>
    <w:rsid w:val="007C756A"/>
    <w:rsid w:val="007E2D03"/>
    <w:rsid w:val="007E72C9"/>
    <w:rsid w:val="007E737E"/>
    <w:rsid w:val="007F0075"/>
    <w:rsid w:val="007F3251"/>
    <w:rsid w:val="007F59C3"/>
    <w:rsid w:val="007F749A"/>
    <w:rsid w:val="00801FEC"/>
    <w:rsid w:val="00802DC1"/>
    <w:rsid w:val="008039FC"/>
    <w:rsid w:val="0081126D"/>
    <w:rsid w:val="00814586"/>
    <w:rsid w:val="00817AFE"/>
    <w:rsid w:val="00823625"/>
    <w:rsid w:val="00824E43"/>
    <w:rsid w:val="00826441"/>
    <w:rsid w:val="008274AD"/>
    <w:rsid w:val="00830EBC"/>
    <w:rsid w:val="008315FB"/>
    <w:rsid w:val="00844B1F"/>
    <w:rsid w:val="0084736D"/>
    <w:rsid w:val="00856AA7"/>
    <w:rsid w:val="00861459"/>
    <w:rsid w:val="00866D59"/>
    <w:rsid w:val="008913A8"/>
    <w:rsid w:val="00892F88"/>
    <w:rsid w:val="00893219"/>
    <w:rsid w:val="008943E6"/>
    <w:rsid w:val="0089489A"/>
    <w:rsid w:val="0089651C"/>
    <w:rsid w:val="008A2569"/>
    <w:rsid w:val="008A2EAD"/>
    <w:rsid w:val="008B301F"/>
    <w:rsid w:val="008C1FBE"/>
    <w:rsid w:val="008D0CA0"/>
    <w:rsid w:val="008D22E7"/>
    <w:rsid w:val="008D5CAB"/>
    <w:rsid w:val="008E3B8C"/>
    <w:rsid w:val="008E5B70"/>
    <w:rsid w:val="008E5F06"/>
    <w:rsid w:val="008E60E0"/>
    <w:rsid w:val="008E6ED1"/>
    <w:rsid w:val="008F0044"/>
    <w:rsid w:val="008F2135"/>
    <w:rsid w:val="008F2FC7"/>
    <w:rsid w:val="008F395F"/>
    <w:rsid w:val="008F3C48"/>
    <w:rsid w:val="008F7CD5"/>
    <w:rsid w:val="009009EA"/>
    <w:rsid w:val="009034E4"/>
    <w:rsid w:val="009054E8"/>
    <w:rsid w:val="00913F63"/>
    <w:rsid w:val="009143F6"/>
    <w:rsid w:val="009227FE"/>
    <w:rsid w:val="00925FE4"/>
    <w:rsid w:val="00926046"/>
    <w:rsid w:val="009262BC"/>
    <w:rsid w:val="009266C2"/>
    <w:rsid w:val="009268BE"/>
    <w:rsid w:val="00935EA0"/>
    <w:rsid w:val="009408C6"/>
    <w:rsid w:val="00943692"/>
    <w:rsid w:val="00966F6F"/>
    <w:rsid w:val="00974500"/>
    <w:rsid w:val="00976034"/>
    <w:rsid w:val="00977372"/>
    <w:rsid w:val="00983E07"/>
    <w:rsid w:val="00986F2D"/>
    <w:rsid w:val="00992341"/>
    <w:rsid w:val="0099318C"/>
    <w:rsid w:val="00995231"/>
    <w:rsid w:val="009957AF"/>
    <w:rsid w:val="009A1038"/>
    <w:rsid w:val="009A39EC"/>
    <w:rsid w:val="009A7DD8"/>
    <w:rsid w:val="009B1270"/>
    <w:rsid w:val="009B4BC7"/>
    <w:rsid w:val="009C23F5"/>
    <w:rsid w:val="009C5BDD"/>
    <w:rsid w:val="009C7021"/>
    <w:rsid w:val="009C7845"/>
    <w:rsid w:val="009D0258"/>
    <w:rsid w:val="009E4C17"/>
    <w:rsid w:val="009F17A2"/>
    <w:rsid w:val="009F36FD"/>
    <w:rsid w:val="009F6AE8"/>
    <w:rsid w:val="00A04F9D"/>
    <w:rsid w:val="00A14D5B"/>
    <w:rsid w:val="00A21626"/>
    <w:rsid w:val="00A23865"/>
    <w:rsid w:val="00A244D2"/>
    <w:rsid w:val="00A33951"/>
    <w:rsid w:val="00A440AD"/>
    <w:rsid w:val="00A448AC"/>
    <w:rsid w:val="00A45574"/>
    <w:rsid w:val="00A5038E"/>
    <w:rsid w:val="00A50DF8"/>
    <w:rsid w:val="00A65509"/>
    <w:rsid w:val="00A760B1"/>
    <w:rsid w:val="00A767BC"/>
    <w:rsid w:val="00A803CD"/>
    <w:rsid w:val="00A8221E"/>
    <w:rsid w:val="00A9117E"/>
    <w:rsid w:val="00A92631"/>
    <w:rsid w:val="00AA264A"/>
    <w:rsid w:val="00AA3887"/>
    <w:rsid w:val="00AA77C5"/>
    <w:rsid w:val="00AB2015"/>
    <w:rsid w:val="00AB335C"/>
    <w:rsid w:val="00AB48EF"/>
    <w:rsid w:val="00AC0F25"/>
    <w:rsid w:val="00AC1AAA"/>
    <w:rsid w:val="00AC257B"/>
    <w:rsid w:val="00AC56BF"/>
    <w:rsid w:val="00AC7C48"/>
    <w:rsid w:val="00AD0D10"/>
    <w:rsid w:val="00AD149E"/>
    <w:rsid w:val="00AD191C"/>
    <w:rsid w:val="00AD1BA9"/>
    <w:rsid w:val="00AD3F3A"/>
    <w:rsid w:val="00AE45A1"/>
    <w:rsid w:val="00AF4DFF"/>
    <w:rsid w:val="00AF60B9"/>
    <w:rsid w:val="00B02ECB"/>
    <w:rsid w:val="00B121F4"/>
    <w:rsid w:val="00B1236A"/>
    <w:rsid w:val="00B135DE"/>
    <w:rsid w:val="00B15088"/>
    <w:rsid w:val="00B21651"/>
    <w:rsid w:val="00B23B0E"/>
    <w:rsid w:val="00B24E7C"/>
    <w:rsid w:val="00B267C4"/>
    <w:rsid w:val="00B339FB"/>
    <w:rsid w:val="00B425C8"/>
    <w:rsid w:val="00B42FD7"/>
    <w:rsid w:val="00B5150A"/>
    <w:rsid w:val="00B53EEA"/>
    <w:rsid w:val="00B55E4D"/>
    <w:rsid w:val="00B61262"/>
    <w:rsid w:val="00B616E0"/>
    <w:rsid w:val="00B70D68"/>
    <w:rsid w:val="00B73A1C"/>
    <w:rsid w:val="00B74028"/>
    <w:rsid w:val="00B81963"/>
    <w:rsid w:val="00B82648"/>
    <w:rsid w:val="00BA7E95"/>
    <w:rsid w:val="00BB0C7C"/>
    <w:rsid w:val="00BB76D6"/>
    <w:rsid w:val="00BB76DF"/>
    <w:rsid w:val="00BC0A38"/>
    <w:rsid w:val="00BC41CE"/>
    <w:rsid w:val="00BC4B17"/>
    <w:rsid w:val="00BC5455"/>
    <w:rsid w:val="00BC5EEE"/>
    <w:rsid w:val="00BD047A"/>
    <w:rsid w:val="00BD7098"/>
    <w:rsid w:val="00BE7011"/>
    <w:rsid w:val="00BF3331"/>
    <w:rsid w:val="00BF3DDA"/>
    <w:rsid w:val="00BF7C32"/>
    <w:rsid w:val="00C06534"/>
    <w:rsid w:val="00C15988"/>
    <w:rsid w:val="00C17312"/>
    <w:rsid w:val="00C17A33"/>
    <w:rsid w:val="00C20EE6"/>
    <w:rsid w:val="00C26FCF"/>
    <w:rsid w:val="00C37D7F"/>
    <w:rsid w:val="00C40531"/>
    <w:rsid w:val="00C46E00"/>
    <w:rsid w:val="00C506AC"/>
    <w:rsid w:val="00C526C9"/>
    <w:rsid w:val="00C55246"/>
    <w:rsid w:val="00C57FA9"/>
    <w:rsid w:val="00C62441"/>
    <w:rsid w:val="00C63E18"/>
    <w:rsid w:val="00C64B53"/>
    <w:rsid w:val="00C664B1"/>
    <w:rsid w:val="00C71F38"/>
    <w:rsid w:val="00C8033C"/>
    <w:rsid w:val="00C8527B"/>
    <w:rsid w:val="00C85E19"/>
    <w:rsid w:val="00C87163"/>
    <w:rsid w:val="00C90E8A"/>
    <w:rsid w:val="00CA1486"/>
    <w:rsid w:val="00CA2A40"/>
    <w:rsid w:val="00CA2C20"/>
    <w:rsid w:val="00CA3307"/>
    <w:rsid w:val="00CA5986"/>
    <w:rsid w:val="00CB3146"/>
    <w:rsid w:val="00CC530E"/>
    <w:rsid w:val="00CD02C2"/>
    <w:rsid w:val="00CE2E89"/>
    <w:rsid w:val="00CF312A"/>
    <w:rsid w:val="00CF530D"/>
    <w:rsid w:val="00D026D3"/>
    <w:rsid w:val="00D03960"/>
    <w:rsid w:val="00D0565B"/>
    <w:rsid w:val="00D070DF"/>
    <w:rsid w:val="00D11865"/>
    <w:rsid w:val="00D14B7B"/>
    <w:rsid w:val="00D16565"/>
    <w:rsid w:val="00D22C11"/>
    <w:rsid w:val="00D244A4"/>
    <w:rsid w:val="00D249E0"/>
    <w:rsid w:val="00D2564A"/>
    <w:rsid w:val="00D2792C"/>
    <w:rsid w:val="00D31646"/>
    <w:rsid w:val="00D35F2C"/>
    <w:rsid w:val="00D40C69"/>
    <w:rsid w:val="00D421C1"/>
    <w:rsid w:val="00D512E9"/>
    <w:rsid w:val="00D637FC"/>
    <w:rsid w:val="00D652A0"/>
    <w:rsid w:val="00D70CF5"/>
    <w:rsid w:val="00D74687"/>
    <w:rsid w:val="00D76E58"/>
    <w:rsid w:val="00D80B10"/>
    <w:rsid w:val="00DB131E"/>
    <w:rsid w:val="00DB1E27"/>
    <w:rsid w:val="00DB25C7"/>
    <w:rsid w:val="00DB5FE0"/>
    <w:rsid w:val="00DD606C"/>
    <w:rsid w:val="00DE3F6F"/>
    <w:rsid w:val="00DE75E4"/>
    <w:rsid w:val="00DF1DA5"/>
    <w:rsid w:val="00DF2653"/>
    <w:rsid w:val="00DF770F"/>
    <w:rsid w:val="00E01518"/>
    <w:rsid w:val="00E02C51"/>
    <w:rsid w:val="00E04646"/>
    <w:rsid w:val="00E048CB"/>
    <w:rsid w:val="00E07576"/>
    <w:rsid w:val="00E1385D"/>
    <w:rsid w:val="00E151A3"/>
    <w:rsid w:val="00E25C2E"/>
    <w:rsid w:val="00E27A47"/>
    <w:rsid w:val="00E30A11"/>
    <w:rsid w:val="00E30C28"/>
    <w:rsid w:val="00E34D39"/>
    <w:rsid w:val="00E4305B"/>
    <w:rsid w:val="00E439A0"/>
    <w:rsid w:val="00E4565B"/>
    <w:rsid w:val="00E5209E"/>
    <w:rsid w:val="00E56C1F"/>
    <w:rsid w:val="00E64BE8"/>
    <w:rsid w:val="00E67BE6"/>
    <w:rsid w:val="00E7138E"/>
    <w:rsid w:val="00E730FA"/>
    <w:rsid w:val="00E779D1"/>
    <w:rsid w:val="00E81D7E"/>
    <w:rsid w:val="00E82755"/>
    <w:rsid w:val="00E87DCB"/>
    <w:rsid w:val="00E95A5B"/>
    <w:rsid w:val="00E97B2A"/>
    <w:rsid w:val="00EA523B"/>
    <w:rsid w:val="00EB19C1"/>
    <w:rsid w:val="00EC1E0D"/>
    <w:rsid w:val="00EC3B8F"/>
    <w:rsid w:val="00ED199A"/>
    <w:rsid w:val="00EE5BD3"/>
    <w:rsid w:val="00EE7AB6"/>
    <w:rsid w:val="00EF7876"/>
    <w:rsid w:val="00F14C5F"/>
    <w:rsid w:val="00F32C79"/>
    <w:rsid w:val="00F34F20"/>
    <w:rsid w:val="00F40139"/>
    <w:rsid w:val="00F451A8"/>
    <w:rsid w:val="00F46FA9"/>
    <w:rsid w:val="00F52729"/>
    <w:rsid w:val="00F5411E"/>
    <w:rsid w:val="00F564FD"/>
    <w:rsid w:val="00F65A10"/>
    <w:rsid w:val="00F66B8D"/>
    <w:rsid w:val="00F705EB"/>
    <w:rsid w:val="00F7472E"/>
    <w:rsid w:val="00F76DBB"/>
    <w:rsid w:val="00F77563"/>
    <w:rsid w:val="00F806A5"/>
    <w:rsid w:val="00FA0CC2"/>
    <w:rsid w:val="00FA5FC1"/>
    <w:rsid w:val="00FB1541"/>
    <w:rsid w:val="00FB4DA8"/>
    <w:rsid w:val="00FB5FA3"/>
    <w:rsid w:val="00FB6D79"/>
    <w:rsid w:val="00FB7D00"/>
    <w:rsid w:val="00FC3F78"/>
    <w:rsid w:val="00FC7DF4"/>
    <w:rsid w:val="00FD2BFD"/>
    <w:rsid w:val="00FD42B8"/>
    <w:rsid w:val="00FD744F"/>
    <w:rsid w:val="00FE2D95"/>
    <w:rsid w:val="00FE73BF"/>
    <w:rsid w:val="00FF1611"/>
    <w:rsid w:val="00FF5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4265"/>
  <w15:chartTrackingRefBased/>
  <w15:docId w15:val="{82097C39-E1D4-A741-846D-E3F59F97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D"/>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66B8D"/>
    <w:pPr>
      <w:tabs>
        <w:tab w:val="left" w:pos="648"/>
        <w:tab w:val="right" w:pos="7776"/>
        <w:tab w:val="left" w:pos="7848"/>
      </w:tabs>
    </w:pPr>
  </w:style>
  <w:style w:type="paragraph" w:styleId="Header">
    <w:name w:val="header"/>
    <w:basedOn w:val="Normal"/>
    <w:link w:val="HeaderChar"/>
    <w:rsid w:val="00F66B8D"/>
    <w:pPr>
      <w:tabs>
        <w:tab w:val="center" w:pos="4320"/>
        <w:tab w:val="right" w:pos="8640"/>
      </w:tabs>
    </w:pPr>
  </w:style>
  <w:style w:type="character" w:customStyle="1" w:styleId="HeaderChar">
    <w:name w:val="Header Char"/>
    <w:basedOn w:val="DefaultParagraphFont"/>
    <w:link w:val="Header"/>
    <w:rsid w:val="00F66B8D"/>
    <w:rPr>
      <w:rFonts w:ascii="Times New Roman" w:eastAsia="Times New Roman" w:hAnsi="Times New Roman" w:cs="Times New Roman"/>
      <w:szCs w:val="20"/>
      <w:lang w:val="en-US"/>
    </w:rPr>
  </w:style>
  <w:style w:type="character" w:styleId="PageNumber">
    <w:name w:val="page number"/>
    <w:basedOn w:val="DefaultParagraphFont"/>
    <w:rsid w:val="00F66B8D"/>
  </w:style>
  <w:style w:type="paragraph" w:styleId="NormalWeb">
    <w:name w:val="Normal (Web)"/>
    <w:basedOn w:val="Normal"/>
    <w:uiPriority w:val="99"/>
    <w:unhideWhenUsed/>
    <w:rsid w:val="00F66B8D"/>
    <w:pPr>
      <w:spacing w:before="100" w:beforeAutospacing="1" w:after="100" w:afterAutospacing="1"/>
    </w:pPr>
    <w:rPr>
      <w:szCs w:val="24"/>
    </w:rPr>
  </w:style>
  <w:style w:type="paragraph" w:styleId="BodyTextIndent2">
    <w:name w:val="Body Text Indent 2"/>
    <w:basedOn w:val="Normal"/>
    <w:link w:val="BodyTextIndent2Char"/>
    <w:uiPriority w:val="99"/>
    <w:unhideWhenUsed/>
    <w:rsid w:val="00F66B8D"/>
    <w:pPr>
      <w:spacing w:after="120" w:line="480" w:lineRule="auto"/>
      <w:ind w:left="283"/>
    </w:pPr>
  </w:style>
  <w:style w:type="character" w:customStyle="1" w:styleId="BodyTextIndent2Char">
    <w:name w:val="Body Text Indent 2 Char"/>
    <w:basedOn w:val="DefaultParagraphFont"/>
    <w:link w:val="BodyTextIndent2"/>
    <w:uiPriority w:val="99"/>
    <w:rsid w:val="00F66B8D"/>
    <w:rPr>
      <w:rFonts w:ascii="Times New Roman" w:eastAsia="Times New Roman" w:hAnsi="Times New Roman" w:cs="Times New Roman"/>
      <w:szCs w:val="20"/>
      <w:lang w:val="en-US"/>
    </w:rPr>
  </w:style>
  <w:style w:type="paragraph" w:styleId="FootnoteText">
    <w:name w:val="footnote text"/>
    <w:basedOn w:val="Normal"/>
    <w:link w:val="FootnoteTextChar"/>
    <w:uiPriority w:val="99"/>
    <w:unhideWhenUsed/>
    <w:rsid w:val="00F66B8D"/>
    <w:rPr>
      <w:szCs w:val="24"/>
    </w:rPr>
  </w:style>
  <w:style w:type="character" w:customStyle="1" w:styleId="FootnoteTextChar">
    <w:name w:val="Footnote Text Char"/>
    <w:basedOn w:val="DefaultParagraphFont"/>
    <w:link w:val="FootnoteText"/>
    <w:uiPriority w:val="99"/>
    <w:rsid w:val="00F66B8D"/>
    <w:rPr>
      <w:rFonts w:ascii="Times New Roman" w:eastAsia="Times New Roman" w:hAnsi="Times New Roman" w:cs="Times New Roman"/>
      <w:lang w:val="en-US"/>
    </w:rPr>
  </w:style>
  <w:style w:type="character" w:styleId="FootnoteReference">
    <w:name w:val="footnote reference"/>
    <w:basedOn w:val="DefaultParagraphFont"/>
    <w:uiPriority w:val="99"/>
    <w:unhideWhenUsed/>
    <w:rsid w:val="00F66B8D"/>
    <w:rPr>
      <w:vertAlign w:val="superscript"/>
    </w:rPr>
  </w:style>
  <w:style w:type="character" w:styleId="LineNumber">
    <w:name w:val="line number"/>
    <w:basedOn w:val="DefaultParagraphFont"/>
    <w:uiPriority w:val="99"/>
    <w:semiHidden/>
    <w:unhideWhenUsed/>
    <w:rsid w:val="00F66B8D"/>
  </w:style>
  <w:style w:type="character" w:styleId="Hyperlink">
    <w:name w:val="Hyperlink"/>
    <w:basedOn w:val="DefaultParagraphFont"/>
    <w:uiPriority w:val="99"/>
    <w:unhideWhenUsed/>
    <w:rsid w:val="00FB7D00"/>
    <w:rPr>
      <w:color w:val="0563C1" w:themeColor="hyperlink"/>
      <w:u w:val="single"/>
    </w:rPr>
  </w:style>
  <w:style w:type="character" w:styleId="UnresolvedMention">
    <w:name w:val="Unresolved Mention"/>
    <w:basedOn w:val="DefaultParagraphFont"/>
    <w:uiPriority w:val="99"/>
    <w:semiHidden/>
    <w:unhideWhenUsed/>
    <w:rsid w:val="00FB7D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2055">
      <w:bodyDiv w:val="1"/>
      <w:marLeft w:val="0"/>
      <w:marRight w:val="0"/>
      <w:marTop w:val="0"/>
      <w:marBottom w:val="0"/>
      <w:divBdr>
        <w:top w:val="none" w:sz="0" w:space="0" w:color="auto"/>
        <w:left w:val="none" w:sz="0" w:space="0" w:color="auto"/>
        <w:bottom w:val="none" w:sz="0" w:space="0" w:color="auto"/>
        <w:right w:val="none" w:sz="0" w:space="0" w:color="auto"/>
      </w:divBdr>
    </w:div>
    <w:div w:id="25062111">
      <w:bodyDiv w:val="1"/>
      <w:marLeft w:val="0"/>
      <w:marRight w:val="0"/>
      <w:marTop w:val="0"/>
      <w:marBottom w:val="0"/>
      <w:divBdr>
        <w:top w:val="none" w:sz="0" w:space="0" w:color="auto"/>
        <w:left w:val="none" w:sz="0" w:space="0" w:color="auto"/>
        <w:bottom w:val="none" w:sz="0" w:space="0" w:color="auto"/>
        <w:right w:val="none" w:sz="0" w:space="0" w:color="auto"/>
      </w:divBdr>
    </w:div>
    <w:div w:id="302660544">
      <w:bodyDiv w:val="1"/>
      <w:marLeft w:val="0"/>
      <w:marRight w:val="0"/>
      <w:marTop w:val="0"/>
      <w:marBottom w:val="0"/>
      <w:divBdr>
        <w:top w:val="none" w:sz="0" w:space="0" w:color="auto"/>
        <w:left w:val="none" w:sz="0" w:space="0" w:color="auto"/>
        <w:bottom w:val="none" w:sz="0" w:space="0" w:color="auto"/>
        <w:right w:val="none" w:sz="0" w:space="0" w:color="auto"/>
      </w:divBdr>
      <w:divsChild>
        <w:div w:id="1600406253">
          <w:marLeft w:val="0"/>
          <w:marRight w:val="0"/>
          <w:marTop w:val="0"/>
          <w:marBottom w:val="0"/>
          <w:divBdr>
            <w:top w:val="none" w:sz="0" w:space="0" w:color="auto"/>
            <w:left w:val="none" w:sz="0" w:space="0" w:color="auto"/>
            <w:bottom w:val="none" w:sz="0" w:space="0" w:color="auto"/>
            <w:right w:val="none" w:sz="0" w:space="0" w:color="auto"/>
          </w:divBdr>
          <w:divsChild>
            <w:div w:id="698971006">
              <w:marLeft w:val="0"/>
              <w:marRight w:val="0"/>
              <w:marTop w:val="0"/>
              <w:marBottom w:val="0"/>
              <w:divBdr>
                <w:top w:val="none" w:sz="0" w:space="0" w:color="auto"/>
                <w:left w:val="none" w:sz="0" w:space="0" w:color="auto"/>
                <w:bottom w:val="none" w:sz="0" w:space="0" w:color="auto"/>
                <w:right w:val="none" w:sz="0" w:space="0" w:color="auto"/>
              </w:divBdr>
              <w:divsChild>
                <w:div w:id="87885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98105">
      <w:bodyDiv w:val="1"/>
      <w:marLeft w:val="0"/>
      <w:marRight w:val="0"/>
      <w:marTop w:val="0"/>
      <w:marBottom w:val="0"/>
      <w:divBdr>
        <w:top w:val="none" w:sz="0" w:space="0" w:color="auto"/>
        <w:left w:val="none" w:sz="0" w:space="0" w:color="auto"/>
        <w:bottom w:val="none" w:sz="0" w:space="0" w:color="auto"/>
        <w:right w:val="none" w:sz="0" w:space="0" w:color="auto"/>
      </w:divBdr>
    </w:div>
    <w:div w:id="656106875">
      <w:bodyDiv w:val="1"/>
      <w:marLeft w:val="0"/>
      <w:marRight w:val="0"/>
      <w:marTop w:val="0"/>
      <w:marBottom w:val="0"/>
      <w:divBdr>
        <w:top w:val="none" w:sz="0" w:space="0" w:color="auto"/>
        <w:left w:val="none" w:sz="0" w:space="0" w:color="auto"/>
        <w:bottom w:val="none" w:sz="0" w:space="0" w:color="auto"/>
        <w:right w:val="none" w:sz="0" w:space="0" w:color="auto"/>
      </w:divBdr>
    </w:div>
    <w:div w:id="1175996350">
      <w:bodyDiv w:val="1"/>
      <w:marLeft w:val="0"/>
      <w:marRight w:val="0"/>
      <w:marTop w:val="0"/>
      <w:marBottom w:val="0"/>
      <w:divBdr>
        <w:top w:val="none" w:sz="0" w:space="0" w:color="auto"/>
        <w:left w:val="none" w:sz="0" w:space="0" w:color="auto"/>
        <w:bottom w:val="none" w:sz="0" w:space="0" w:color="auto"/>
        <w:right w:val="none" w:sz="0" w:space="0" w:color="auto"/>
      </w:divBdr>
    </w:div>
    <w:div w:id="1427460394">
      <w:bodyDiv w:val="1"/>
      <w:marLeft w:val="0"/>
      <w:marRight w:val="0"/>
      <w:marTop w:val="0"/>
      <w:marBottom w:val="0"/>
      <w:divBdr>
        <w:top w:val="none" w:sz="0" w:space="0" w:color="auto"/>
        <w:left w:val="none" w:sz="0" w:space="0" w:color="auto"/>
        <w:bottom w:val="none" w:sz="0" w:space="0" w:color="auto"/>
        <w:right w:val="none" w:sz="0" w:space="0" w:color="auto"/>
      </w:divBdr>
      <w:divsChild>
        <w:div w:id="1812551301">
          <w:marLeft w:val="0"/>
          <w:marRight w:val="0"/>
          <w:marTop w:val="0"/>
          <w:marBottom w:val="0"/>
          <w:divBdr>
            <w:top w:val="none" w:sz="0" w:space="0" w:color="auto"/>
            <w:left w:val="none" w:sz="0" w:space="0" w:color="auto"/>
            <w:bottom w:val="none" w:sz="0" w:space="0" w:color="auto"/>
            <w:right w:val="none" w:sz="0" w:space="0" w:color="auto"/>
          </w:divBdr>
          <w:divsChild>
            <w:div w:id="827788855">
              <w:marLeft w:val="0"/>
              <w:marRight w:val="0"/>
              <w:marTop w:val="0"/>
              <w:marBottom w:val="0"/>
              <w:divBdr>
                <w:top w:val="none" w:sz="0" w:space="0" w:color="auto"/>
                <w:left w:val="none" w:sz="0" w:space="0" w:color="auto"/>
                <w:bottom w:val="none" w:sz="0" w:space="0" w:color="auto"/>
                <w:right w:val="none" w:sz="0" w:space="0" w:color="auto"/>
              </w:divBdr>
              <w:divsChild>
                <w:div w:id="2750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835907">
      <w:bodyDiv w:val="1"/>
      <w:marLeft w:val="0"/>
      <w:marRight w:val="0"/>
      <w:marTop w:val="0"/>
      <w:marBottom w:val="0"/>
      <w:divBdr>
        <w:top w:val="none" w:sz="0" w:space="0" w:color="auto"/>
        <w:left w:val="none" w:sz="0" w:space="0" w:color="auto"/>
        <w:bottom w:val="none" w:sz="0" w:space="0" w:color="auto"/>
        <w:right w:val="none" w:sz="0" w:space="0" w:color="auto"/>
      </w:divBdr>
    </w:div>
    <w:div w:id="213944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73660-70BB-4941-9027-DA86DDE2C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662</Words>
  <Characters>3778</Characters>
  <Application>Microsoft Office Word</Application>
  <DocSecurity>0</DocSecurity>
  <Lines>31</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Josue O. Jimenez Lopez</dc:creator>
  <cp:keywords/>
  <dc:description/>
  <cp:lastModifiedBy>Gladys J. Burgos Torres</cp:lastModifiedBy>
  <cp:revision>3</cp:revision>
  <cp:lastPrinted>2025-01-23T14:19:00Z</cp:lastPrinted>
  <dcterms:created xsi:type="dcterms:W3CDTF">2025-02-25T12:54:00Z</dcterms:created>
  <dcterms:modified xsi:type="dcterms:W3CDTF">2025-02-25T15:45:00Z</dcterms:modified>
</cp:coreProperties>
</file>