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55829AD6"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Pr="00226859">
        <w:rPr>
          <w:rFonts w:ascii="Book Antiqua" w:hAnsi="Book Antiqua"/>
          <w:lang w:val="es-ES_tradnl"/>
        </w:rPr>
        <w:t>1</w:t>
      </w:r>
      <w:r w:rsidR="006705DD" w:rsidRPr="00226859">
        <w:rPr>
          <w:rFonts w:ascii="Book Antiqua" w:hAnsi="Book Antiqua"/>
          <w:color w:val="000000"/>
          <w:vertAlign w:val="superscript"/>
          <w:lang w:val="es-ES_tradnl"/>
        </w:rPr>
        <w:t>ra.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5FAD9EA6"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 la C. </w:t>
      </w:r>
      <w:r w:rsidR="00623DA7">
        <w:rPr>
          <w:rFonts w:ascii="Book Antiqua" w:hAnsi="Book Antiqua"/>
          <w:b/>
          <w:sz w:val="52"/>
          <w:szCs w:val="52"/>
          <w:lang w:val="es-ES_tradnl"/>
        </w:rPr>
        <w:t>352</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528D74C3" w:rsidR="006705DD" w:rsidRPr="00226859" w:rsidRDefault="007F1A15" w:rsidP="00D94B25">
      <w:pPr>
        <w:jc w:val="center"/>
        <w:rPr>
          <w:rFonts w:ascii="Book Antiqua" w:hAnsi="Book Antiqua"/>
          <w:szCs w:val="24"/>
          <w:lang w:val="es-ES_tradnl"/>
        </w:rPr>
      </w:pPr>
      <w:r>
        <w:rPr>
          <w:rFonts w:ascii="Book Antiqua" w:hAnsi="Book Antiqua"/>
          <w:szCs w:val="24"/>
          <w:lang w:val="es-ES_tradnl"/>
        </w:rPr>
        <w:t>19</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623DA7">
        <w:rPr>
          <w:rFonts w:ascii="Book Antiqua" w:hAnsi="Book Antiqua"/>
          <w:szCs w:val="24"/>
          <w:lang w:val="es-ES_tradnl"/>
        </w:rPr>
        <w:t>junio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8D76AFD" w14:textId="77777777" w:rsidR="006705DD" w:rsidRPr="00226859" w:rsidRDefault="006705DD" w:rsidP="00D94B25">
      <w:pPr>
        <w:jc w:val="center"/>
        <w:rPr>
          <w:rFonts w:ascii="Book Antiqua" w:hAnsi="Book Antiqua"/>
          <w:sz w:val="20"/>
          <w:lang w:val="es-ES_tradnl"/>
        </w:rPr>
      </w:pP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226859" w:rsidRDefault="006705DD" w:rsidP="00D94B25">
      <w:pPr>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226859" w:rsidRDefault="006705DD" w:rsidP="00D94B25">
      <w:pPr>
        <w:jc w:val="both"/>
        <w:rPr>
          <w:rFonts w:ascii="Book Antiqua" w:hAnsi="Book Antiqua"/>
          <w:b/>
          <w:szCs w:val="24"/>
          <w:lang w:val="es-ES_tradnl"/>
        </w:rPr>
      </w:pPr>
    </w:p>
    <w:p w14:paraId="6BDAE9E3" w14:textId="4AC5809B" w:rsidR="006705DD" w:rsidRPr="000226BE" w:rsidRDefault="00A66646" w:rsidP="00840108">
      <w:pPr>
        <w:ind w:firstLine="720"/>
        <w:jc w:val="both"/>
        <w:rPr>
          <w:rFonts w:ascii="Book Antiqua" w:hAnsi="Book Antiqua"/>
          <w:szCs w:val="24"/>
          <w:lang w:val="es-PR"/>
        </w:rPr>
      </w:pPr>
      <w:r w:rsidRPr="000226BE">
        <w:rPr>
          <w:rFonts w:ascii="Book Antiqua" w:hAnsi="Book Antiqua"/>
          <w:szCs w:val="24"/>
          <w:lang w:val="es-PR"/>
        </w:rPr>
        <w:t>La Comisión</w:t>
      </w:r>
      <w:r w:rsidR="006705DD" w:rsidRPr="000226BE">
        <w:rPr>
          <w:rFonts w:ascii="Book Antiqua" w:hAnsi="Book Antiqua"/>
          <w:szCs w:val="24"/>
          <w:lang w:val="es-PR"/>
        </w:rPr>
        <w:t xml:space="preserve"> de </w:t>
      </w:r>
      <w:r w:rsidR="00A92F66" w:rsidRPr="000226BE">
        <w:rPr>
          <w:rFonts w:ascii="Book Antiqua" w:hAnsi="Book Antiqua"/>
          <w:szCs w:val="24"/>
          <w:lang w:val="es-PR"/>
        </w:rPr>
        <w:t>Gobiern</w:t>
      </w:r>
      <w:r w:rsidR="003547C3" w:rsidRPr="000226BE">
        <w:rPr>
          <w:rFonts w:ascii="Book Antiqua" w:hAnsi="Book Antiqua"/>
          <w:szCs w:val="24"/>
          <w:lang w:val="es-PR"/>
        </w:rPr>
        <w:t>o</w:t>
      </w:r>
      <w:r w:rsidR="000825B3" w:rsidRPr="000226BE">
        <w:rPr>
          <w:rFonts w:ascii="Book Antiqua" w:hAnsi="Book Antiqua"/>
          <w:szCs w:val="24"/>
          <w:lang w:val="es-PR"/>
        </w:rPr>
        <w:t xml:space="preserve"> </w:t>
      </w:r>
      <w:r w:rsidR="006705DD" w:rsidRPr="000226BE">
        <w:rPr>
          <w:rFonts w:ascii="Book Antiqua" w:hAnsi="Book Antiqua"/>
          <w:szCs w:val="24"/>
          <w:lang w:val="es-PR"/>
        </w:rPr>
        <w:t xml:space="preserve">de la Cámara de Representantes, previo estudio y consideración del Proyecto de la Cámara </w:t>
      </w:r>
      <w:r w:rsidR="00623DA7" w:rsidRPr="000226BE">
        <w:rPr>
          <w:rFonts w:ascii="Book Antiqua" w:hAnsi="Book Antiqua"/>
          <w:szCs w:val="24"/>
          <w:lang w:val="es-PR"/>
        </w:rPr>
        <w:t>352</w:t>
      </w:r>
      <w:r w:rsidR="006705DD" w:rsidRPr="000226BE">
        <w:rPr>
          <w:rFonts w:ascii="Book Antiqua" w:hAnsi="Book Antiqua"/>
          <w:szCs w:val="24"/>
          <w:lang w:val="es-PR"/>
        </w:rPr>
        <w:t>, tiene el honor de recomendar a</w:t>
      </w:r>
      <w:r w:rsidR="00B57E8E" w:rsidRPr="000226BE">
        <w:rPr>
          <w:rFonts w:ascii="Book Antiqua" w:hAnsi="Book Antiqua"/>
          <w:szCs w:val="24"/>
          <w:lang w:val="es-PR"/>
        </w:rPr>
        <w:t xml:space="preserve"> este Alto Cuerpo</w:t>
      </w:r>
      <w:r w:rsidR="006705DD" w:rsidRPr="000226BE">
        <w:rPr>
          <w:rFonts w:ascii="Book Antiqua" w:hAnsi="Book Antiqua"/>
          <w:szCs w:val="24"/>
          <w:lang w:val="es-PR"/>
        </w:rPr>
        <w:t xml:space="preserve"> su aprobación, con las enmiendas que se incluyen en el ent</w:t>
      </w:r>
      <w:r w:rsidR="00AE78CC">
        <w:rPr>
          <w:rFonts w:ascii="Book Antiqua" w:hAnsi="Book Antiqua"/>
          <w:szCs w:val="24"/>
          <w:lang w:val="es-PR"/>
        </w:rPr>
        <w:t>i</w:t>
      </w:r>
      <w:r w:rsidR="006705DD" w:rsidRPr="000226BE">
        <w:rPr>
          <w:rFonts w:ascii="Book Antiqua" w:hAnsi="Book Antiqua"/>
          <w:szCs w:val="24"/>
          <w:lang w:val="es-PR"/>
        </w:rPr>
        <w:t xml:space="preserve">rillado electrónico que acompaña este </w:t>
      </w:r>
      <w:r w:rsidR="000B4C88" w:rsidRPr="000226BE">
        <w:rPr>
          <w:rFonts w:ascii="Book Antiqua" w:hAnsi="Book Antiqua"/>
          <w:szCs w:val="24"/>
          <w:lang w:val="es-PR"/>
        </w:rPr>
        <w:t>I</w:t>
      </w:r>
      <w:r w:rsidR="006705DD" w:rsidRPr="000226BE">
        <w:rPr>
          <w:rFonts w:ascii="Book Antiqua" w:hAnsi="Book Antiqua"/>
          <w:szCs w:val="24"/>
          <w:lang w:val="es-PR"/>
        </w:rPr>
        <w:t>nforme.</w:t>
      </w:r>
    </w:p>
    <w:p w14:paraId="484BA339" w14:textId="77777777" w:rsidR="006705DD" w:rsidRPr="000226BE" w:rsidRDefault="006705DD" w:rsidP="00D94B25">
      <w:pPr>
        <w:jc w:val="both"/>
        <w:rPr>
          <w:rFonts w:ascii="Book Antiqua" w:hAnsi="Book Antiqua"/>
          <w:b/>
          <w:szCs w:val="24"/>
          <w:lang w:val="es-PR"/>
        </w:rPr>
      </w:pPr>
    </w:p>
    <w:p w14:paraId="18C1A1FE" w14:textId="77777777" w:rsidR="006705DD" w:rsidRPr="000226BE" w:rsidRDefault="006705DD" w:rsidP="00D94B25">
      <w:pPr>
        <w:jc w:val="center"/>
        <w:rPr>
          <w:rFonts w:ascii="Book Antiqua" w:hAnsi="Book Antiqua"/>
          <w:b/>
          <w:i/>
          <w:smallCaps/>
          <w:szCs w:val="24"/>
          <w:lang w:val="es-PR"/>
        </w:rPr>
      </w:pPr>
      <w:r w:rsidRPr="000226BE">
        <w:rPr>
          <w:rFonts w:ascii="Book Antiqua" w:hAnsi="Book Antiqua"/>
          <w:b/>
          <w:i/>
          <w:smallCaps/>
          <w:szCs w:val="24"/>
          <w:lang w:val="es-PR"/>
        </w:rPr>
        <w:t>Alcance de la Medida</w:t>
      </w:r>
    </w:p>
    <w:p w14:paraId="57705068" w14:textId="77777777" w:rsidR="006705DD" w:rsidRPr="000226BE" w:rsidRDefault="006705DD" w:rsidP="00D94B25">
      <w:pPr>
        <w:jc w:val="both"/>
        <w:rPr>
          <w:rFonts w:ascii="Book Antiqua" w:hAnsi="Book Antiqua"/>
          <w:b/>
          <w:i/>
          <w:smallCaps/>
          <w:szCs w:val="24"/>
          <w:lang w:val="es-PR"/>
        </w:rPr>
      </w:pPr>
    </w:p>
    <w:p w14:paraId="11B70B99" w14:textId="7E594F74" w:rsidR="009A6C91" w:rsidRPr="000226BE" w:rsidRDefault="006705DD" w:rsidP="009A6C91">
      <w:pPr>
        <w:pStyle w:val="ListParagraph"/>
        <w:ind w:left="0" w:firstLine="720"/>
        <w:jc w:val="both"/>
        <w:rPr>
          <w:rFonts w:ascii="Book Antiqua" w:hAnsi="Book Antiqua"/>
          <w:szCs w:val="24"/>
          <w:lang w:val="es-PR"/>
        </w:rPr>
      </w:pPr>
      <w:r w:rsidRPr="000226BE">
        <w:rPr>
          <w:rFonts w:ascii="Book Antiqua" w:hAnsi="Book Antiqua"/>
          <w:szCs w:val="24"/>
          <w:lang w:val="es-PR"/>
        </w:rPr>
        <w:t>El Proyecto de la Cámara</w:t>
      </w:r>
      <w:r w:rsidR="001423CC" w:rsidRPr="000226BE">
        <w:rPr>
          <w:rFonts w:ascii="Book Antiqua" w:hAnsi="Book Antiqua"/>
          <w:szCs w:val="24"/>
          <w:lang w:val="es-PR"/>
        </w:rPr>
        <w:t xml:space="preserve"> </w:t>
      </w:r>
      <w:r w:rsidR="00623DA7" w:rsidRPr="000226BE">
        <w:rPr>
          <w:rFonts w:ascii="Book Antiqua" w:hAnsi="Book Antiqua"/>
          <w:szCs w:val="24"/>
          <w:lang w:val="es-PR"/>
        </w:rPr>
        <w:t xml:space="preserve">352 persigue enmendar el Artículo 10.006 de la Ley 222-2011, según enmendada, conocida como “Ley para la Fiscalización del Financiamiento de Campañas Políticas en Puerto Rico” a los fines de eliminar la aplicación de dicho artículo </w:t>
      </w:r>
      <w:r w:rsidR="000226BE" w:rsidRPr="000226BE">
        <w:rPr>
          <w:rFonts w:ascii="Book Antiqua" w:hAnsi="Book Antiqua"/>
          <w:szCs w:val="24"/>
          <w:lang w:val="es-PR"/>
        </w:rPr>
        <w:t xml:space="preserve">al Poder </w:t>
      </w:r>
      <w:r w:rsidR="00623DA7" w:rsidRPr="000226BE">
        <w:rPr>
          <w:rFonts w:ascii="Book Antiqua" w:hAnsi="Book Antiqua"/>
          <w:szCs w:val="24"/>
          <w:lang w:val="es-PR"/>
        </w:rPr>
        <w:t>Judicial del Gobierno de Puerto Rico; para autorizar a la Oficina de Administración de los Tribunales y a la Oficina del Contralor Electoral a emitir reglamentación para cumplir con los propósitos de la presente ley; y para otros fines relacionados</w:t>
      </w:r>
      <w:r w:rsidR="009A6C91" w:rsidRPr="000226BE">
        <w:rPr>
          <w:rFonts w:ascii="Book Antiqua" w:hAnsi="Book Antiqua"/>
          <w:szCs w:val="24"/>
          <w:lang w:val="es-PR"/>
        </w:rPr>
        <w:t>.</w:t>
      </w:r>
    </w:p>
    <w:p w14:paraId="49627506" w14:textId="77777777" w:rsidR="008B01E9" w:rsidRPr="000226BE" w:rsidRDefault="008B01E9" w:rsidP="00644DC7">
      <w:pPr>
        <w:pStyle w:val="ListParagraph"/>
        <w:ind w:left="0" w:firstLine="720"/>
        <w:jc w:val="both"/>
        <w:rPr>
          <w:rFonts w:ascii="Book Antiqua" w:hAnsi="Book Antiqua"/>
          <w:szCs w:val="24"/>
          <w:highlight w:val="yellow"/>
          <w:lang w:val="es-PR"/>
        </w:rPr>
      </w:pPr>
    </w:p>
    <w:p w14:paraId="706DDB31" w14:textId="6A3A2AFB" w:rsidR="00840108" w:rsidRPr="00840108" w:rsidRDefault="00950CFC" w:rsidP="00840108">
      <w:pPr>
        <w:ind w:firstLine="720"/>
        <w:contextualSpacing/>
        <w:jc w:val="both"/>
        <w:rPr>
          <w:rFonts w:ascii="Book Antiqua" w:eastAsia="Book Antiqua" w:hAnsi="Book Antiqua" w:cs="Book Antiqua"/>
          <w:color w:val="000000" w:themeColor="text1"/>
          <w:lang w:val="es-PR"/>
        </w:rPr>
      </w:pPr>
      <w:r w:rsidRPr="000226BE">
        <w:rPr>
          <w:rFonts w:ascii="Book Antiqua" w:hAnsi="Book Antiqua"/>
          <w:szCs w:val="24"/>
          <w:lang w:val="es-PR"/>
        </w:rPr>
        <w:t>La</w:t>
      </w:r>
      <w:r w:rsidR="00644DC7" w:rsidRPr="000226BE">
        <w:rPr>
          <w:rFonts w:ascii="Book Antiqua" w:hAnsi="Book Antiqua"/>
          <w:szCs w:val="24"/>
          <w:lang w:val="es-PR"/>
        </w:rPr>
        <w:t xml:space="preserve"> Exposición de Motivos de la medida ante</w:t>
      </w:r>
      <w:r w:rsidR="00751430" w:rsidRPr="000226BE">
        <w:rPr>
          <w:rFonts w:ascii="Book Antiqua" w:hAnsi="Book Antiqua"/>
          <w:szCs w:val="24"/>
          <w:lang w:val="es-PR"/>
        </w:rPr>
        <w:t xml:space="preserve"> nuestra </w:t>
      </w:r>
      <w:r w:rsidR="00840108" w:rsidRPr="000226BE">
        <w:rPr>
          <w:rFonts w:ascii="Book Antiqua" w:hAnsi="Book Antiqua"/>
          <w:szCs w:val="24"/>
          <w:lang w:val="es-PR"/>
        </w:rPr>
        <w:t>indica que l</w:t>
      </w:r>
      <w:r w:rsidR="00840108" w:rsidRPr="00840108">
        <w:rPr>
          <w:rFonts w:ascii="Book Antiqua" w:eastAsia="Book Antiqua" w:hAnsi="Book Antiqua" w:cs="Book Antiqua"/>
          <w:color w:val="000000" w:themeColor="text1"/>
          <w:lang w:val="es-PR"/>
        </w:rPr>
        <w:t>a Ley 222-2011, conocida como “Ley para la Fiscalización del Financiamiento de Campañas Políticas en Puerto Rico”, según enmendad</w:t>
      </w:r>
      <w:r w:rsidR="00840108" w:rsidRPr="000226BE">
        <w:rPr>
          <w:rFonts w:ascii="Book Antiqua" w:eastAsia="Book Antiqua" w:hAnsi="Book Antiqua" w:cs="Book Antiqua"/>
          <w:color w:val="000000" w:themeColor="text1"/>
          <w:lang w:val="es-PR"/>
        </w:rPr>
        <w:t>a</w:t>
      </w:r>
      <w:r w:rsidR="00840108" w:rsidRPr="00840108">
        <w:rPr>
          <w:rFonts w:ascii="Book Antiqua" w:eastAsia="Book Antiqua" w:hAnsi="Book Antiqua" w:cs="Book Antiqua"/>
          <w:color w:val="000000" w:themeColor="text1"/>
          <w:lang w:val="es-PR"/>
        </w:rPr>
        <w:t xml:space="preserve">, tiene una disposición de sana administración pública que busca evitar el uso de fondos públicos para poder adelantar intereses político-partidistas. </w:t>
      </w:r>
    </w:p>
    <w:p w14:paraId="417EDA91" w14:textId="77777777" w:rsidR="00840108" w:rsidRPr="00840108" w:rsidRDefault="00840108" w:rsidP="00840108">
      <w:pPr>
        <w:ind w:firstLine="720"/>
        <w:contextualSpacing/>
        <w:jc w:val="both"/>
        <w:rPr>
          <w:rFonts w:ascii="Book Antiqua" w:eastAsia="Book Antiqua" w:hAnsi="Book Antiqua" w:cs="Book Antiqua"/>
          <w:color w:val="000000" w:themeColor="text1"/>
          <w:lang w:val="es-PR"/>
        </w:rPr>
      </w:pPr>
    </w:p>
    <w:p w14:paraId="46310268" w14:textId="0F873E36" w:rsidR="00840108" w:rsidRPr="00840108" w:rsidRDefault="00840108" w:rsidP="00840108">
      <w:pPr>
        <w:ind w:firstLine="720"/>
        <w:contextualSpacing/>
        <w:jc w:val="both"/>
        <w:rPr>
          <w:rFonts w:ascii="Book Antiqua" w:eastAsia="Book Antiqua" w:hAnsi="Book Antiqua" w:cs="Book Antiqua"/>
          <w:color w:val="000000" w:themeColor="text1"/>
          <w:lang w:val="es-PR"/>
        </w:rPr>
      </w:pPr>
      <w:r w:rsidRPr="00840108">
        <w:rPr>
          <w:rFonts w:ascii="Book Antiqua" w:eastAsia="Book Antiqua" w:hAnsi="Book Antiqua" w:cs="Book Antiqua"/>
          <w:color w:val="000000" w:themeColor="text1"/>
          <w:lang w:val="es-PR"/>
        </w:rPr>
        <w:t xml:space="preserve">Por otro lado, la Ley 201-2003, conocida como “Ley de la Judicatura del Estado Libre Asociado de Puerto Rico de 2003”, según enmendada, establece que facultad y responsabilidad del Tribunal Supremo de Puerto Rico establecer las Reglas de Administración para </w:t>
      </w:r>
      <w:r w:rsidR="000226BE" w:rsidRPr="000226BE">
        <w:rPr>
          <w:rFonts w:ascii="Book Antiqua" w:eastAsia="Book Antiqua" w:hAnsi="Book Antiqua" w:cs="Book Antiqua"/>
          <w:color w:val="000000" w:themeColor="text1"/>
          <w:lang w:val="es-PR"/>
        </w:rPr>
        <w:t>el Poder Judicial</w:t>
      </w:r>
      <w:r w:rsidRPr="000226BE">
        <w:rPr>
          <w:rFonts w:ascii="Book Antiqua" w:eastAsia="Book Antiqua" w:hAnsi="Book Antiqua" w:cs="Book Antiqua"/>
          <w:color w:val="000000" w:themeColor="text1"/>
          <w:lang w:val="es-PR"/>
        </w:rPr>
        <w:t>.  Estas</w:t>
      </w:r>
      <w:r w:rsidRPr="00840108">
        <w:rPr>
          <w:rFonts w:ascii="Book Antiqua" w:eastAsia="Book Antiqua" w:hAnsi="Book Antiqua" w:cs="Book Antiqua"/>
          <w:color w:val="000000" w:themeColor="text1"/>
          <w:lang w:val="es-PR"/>
        </w:rPr>
        <w:t xml:space="preserve"> reglas incluyen los Cánones de Ética Judicial </w:t>
      </w:r>
      <w:r w:rsidRPr="000226BE">
        <w:rPr>
          <w:rFonts w:ascii="Book Antiqua" w:eastAsia="Book Antiqua" w:hAnsi="Book Antiqua" w:cs="Book Antiqua"/>
          <w:color w:val="000000" w:themeColor="text1"/>
          <w:lang w:val="es-PR"/>
        </w:rPr>
        <w:lastRenderedPageBreak/>
        <w:t>que</w:t>
      </w:r>
      <w:r w:rsidRPr="00840108">
        <w:rPr>
          <w:rFonts w:ascii="Book Antiqua" w:eastAsia="Book Antiqua" w:hAnsi="Book Antiqua" w:cs="Book Antiqua"/>
          <w:color w:val="000000" w:themeColor="text1"/>
          <w:lang w:val="es-PR"/>
        </w:rPr>
        <w:t xml:space="preserve"> establecen las normas de conducta para las y los jueces que presiden sobre procedimientos en todo el Tribunal General de Justicia. Estos Cánones establecen claramente que las actividades políticas están prohibidas para las y los jueces durante todo el tiempo de su nombramiento. </w:t>
      </w:r>
      <w:r w:rsidRPr="000226BE">
        <w:rPr>
          <w:rFonts w:ascii="Book Antiqua" w:eastAsia="Book Antiqua" w:hAnsi="Book Antiqua" w:cs="Book Antiqua"/>
          <w:color w:val="000000" w:themeColor="text1"/>
          <w:lang w:val="es-PR"/>
        </w:rPr>
        <w:t xml:space="preserve"> Recalca </w:t>
      </w:r>
      <w:r w:rsidRPr="00840108">
        <w:rPr>
          <w:rFonts w:ascii="Book Antiqua" w:eastAsia="Book Antiqua" w:hAnsi="Book Antiqua" w:cs="Book Antiqua"/>
          <w:color w:val="000000" w:themeColor="text1"/>
          <w:lang w:val="es-PR"/>
        </w:rPr>
        <w:t xml:space="preserve">que la participación de toda la judicatura en cualquier actividad de índole político-partidista, incluyendo campañas políticas, está ya prohibida. </w:t>
      </w:r>
    </w:p>
    <w:p w14:paraId="61362858" w14:textId="77777777" w:rsidR="00840108" w:rsidRPr="00840108" w:rsidRDefault="00840108" w:rsidP="00840108">
      <w:pPr>
        <w:ind w:firstLine="720"/>
        <w:contextualSpacing/>
        <w:jc w:val="both"/>
        <w:rPr>
          <w:rFonts w:ascii="Book Antiqua" w:eastAsia="Book Antiqua" w:hAnsi="Book Antiqua" w:cs="Book Antiqua"/>
          <w:color w:val="000000" w:themeColor="text1"/>
          <w:lang w:val="es-PR"/>
        </w:rPr>
      </w:pPr>
    </w:p>
    <w:p w14:paraId="338D2E47" w14:textId="035EE2F8" w:rsidR="007468CC" w:rsidRPr="000226BE" w:rsidRDefault="007468CC" w:rsidP="00840108">
      <w:pPr>
        <w:ind w:firstLine="720"/>
        <w:contextualSpacing/>
        <w:jc w:val="both"/>
        <w:rPr>
          <w:rFonts w:ascii="Book Antiqua" w:eastAsia="Book Antiqua" w:hAnsi="Book Antiqua" w:cs="Book Antiqua"/>
          <w:color w:val="000000" w:themeColor="text1"/>
          <w:lang w:val="es-PR"/>
        </w:rPr>
      </w:pPr>
      <w:r w:rsidRPr="000226BE">
        <w:rPr>
          <w:rFonts w:ascii="Book Antiqua" w:eastAsia="Book Antiqua" w:hAnsi="Book Antiqua" w:cs="Book Antiqua"/>
          <w:color w:val="000000" w:themeColor="text1"/>
          <w:lang w:val="es-PR"/>
        </w:rPr>
        <w:t>Explica que desde</w:t>
      </w:r>
      <w:r w:rsidR="00840108" w:rsidRPr="00840108">
        <w:rPr>
          <w:rFonts w:ascii="Book Antiqua" w:eastAsia="Book Antiqua" w:hAnsi="Book Antiqua" w:cs="Book Antiqua"/>
          <w:color w:val="000000" w:themeColor="text1"/>
          <w:lang w:val="es-PR"/>
        </w:rPr>
        <w:t xml:space="preserve"> esa perspectiva parece innecesaria la inclusión </w:t>
      </w:r>
      <w:r w:rsidR="000226BE" w:rsidRPr="000226BE">
        <w:rPr>
          <w:rFonts w:ascii="Book Antiqua" w:eastAsia="Book Antiqua" w:hAnsi="Book Antiqua" w:cs="Book Antiqua"/>
          <w:color w:val="000000" w:themeColor="text1"/>
          <w:lang w:val="es-PR"/>
        </w:rPr>
        <w:t xml:space="preserve">del Poder </w:t>
      </w:r>
      <w:r w:rsidR="00840108" w:rsidRPr="00840108">
        <w:rPr>
          <w:rFonts w:ascii="Book Antiqua" w:eastAsia="Book Antiqua" w:hAnsi="Book Antiqua" w:cs="Book Antiqua"/>
          <w:color w:val="000000" w:themeColor="text1"/>
          <w:lang w:val="es-PR"/>
        </w:rPr>
        <w:t xml:space="preserve">Judicial en la prohibición del Art. 10.006 de la citada Ley 222, la cual sí debe continuar aplicando al resto </w:t>
      </w:r>
      <w:r w:rsidRPr="000226BE">
        <w:rPr>
          <w:rFonts w:ascii="Book Antiqua" w:eastAsia="Book Antiqua" w:hAnsi="Book Antiqua" w:cs="Book Antiqua"/>
          <w:color w:val="000000" w:themeColor="text1"/>
          <w:lang w:val="es-PR"/>
        </w:rPr>
        <w:t>del</w:t>
      </w:r>
      <w:r w:rsidR="00840108" w:rsidRPr="00840108">
        <w:rPr>
          <w:rFonts w:ascii="Book Antiqua" w:eastAsia="Book Antiqua" w:hAnsi="Book Antiqua" w:cs="Book Antiqua"/>
          <w:color w:val="000000" w:themeColor="text1"/>
          <w:lang w:val="es-PR"/>
        </w:rPr>
        <w:t xml:space="preserve"> gobierno. Por lo tanto, con las enmiendas incluidas en </w:t>
      </w:r>
      <w:r w:rsidRPr="000226BE">
        <w:rPr>
          <w:rFonts w:ascii="Book Antiqua" w:eastAsia="Book Antiqua" w:hAnsi="Book Antiqua" w:cs="Book Antiqua"/>
          <w:color w:val="000000" w:themeColor="text1"/>
          <w:lang w:val="es-PR"/>
        </w:rPr>
        <w:t>la pieza legislativa</w:t>
      </w:r>
      <w:r w:rsidR="00840108" w:rsidRPr="00840108">
        <w:rPr>
          <w:rFonts w:ascii="Book Antiqua" w:eastAsia="Book Antiqua" w:hAnsi="Book Antiqua" w:cs="Book Antiqua"/>
          <w:color w:val="000000" w:themeColor="text1"/>
          <w:lang w:val="es-PR"/>
        </w:rPr>
        <w:t xml:space="preserve">, </w:t>
      </w:r>
      <w:r w:rsidRPr="000226BE">
        <w:rPr>
          <w:rFonts w:ascii="Book Antiqua" w:eastAsia="Book Antiqua" w:hAnsi="Book Antiqua" w:cs="Book Antiqua"/>
          <w:color w:val="000000" w:themeColor="text1"/>
          <w:lang w:val="es-PR"/>
        </w:rPr>
        <w:t xml:space="preserve">se mantiene </w:t>
      </w:r>
      <w:r w:rsidR="000226BE" w:rsidRPr="000226BE">
        <w:rPr>
          <w:rFonts w:ascii="Book Antiqua" w:eastAsia="Book Antiqua" w:hAnsi="Book Antiqua" w:cs="Book Antiqua"/>
          <w:color w:val="000000" w:themeColor="text1"/>
          <w:lang w:val="es-PR"/>
        </w:rPr>
        <w:t>al Poder Judicial</w:t>
      </w:r>
      <w:r w:rsidR="00840108" w:rsidRPr="00840108">
        <w:rPr>
          <w:rFonts w:ascii="Book Antiqua" w:eastAsia="Book Antiqua" w:hAnsi="Book Antiqua" w:cs="Book Antiqua"/>
          <w:color w:val="000000" w:themeColor="text1"/>
          <w:lang w:val="es-PR"/>
        </w:rPr>
        <w:t xml:space="preserve"> libre de toda influencia político-partidista, sin menoscabar su autonomía y eficiencia en la administración de la Justicia. </w:t>
      </w:r>
    </w:p>
    <w:p w14:paraId="7313C1AA" w14:textId="77777777" w:rsidR="007468CC" w:rsidRPr="000226BE" w:rsidRDefault="007468CC" w:rsidP="00840108">
      <w:pPr>
        <w:ind w:firstLine="720"/>
        <w:contextualSpacing/>
        <w:jc w:val="both"/>
        <w:rPr>
          <w:rFonts w:ascii="Book Antiqua" w:eastAsia="Book Antiqua" w:hAnsi="Book Antiqua" w:cs="Book Antiqua"/>
          <w:color w:val="000000" w:themeColor="text1"/>
          <w:lang w:val="es-PR"/>
        </w:rPr>
      </w:pPr>
    </w:p>
    <w:p w14:paraId="7973215C" w14:textId="47C00425" w:rsidR="003547C3" w:rsidRPr="000226BE" w:rsidRDefault="00840108" w:rsidP="007468CC">
      <w:pPr>
        <w:ind w:firstLine="720"/>
        <w:contextualSpacing/>
        <w:jc w:val="both"/>
        <w:rPr>
          <w:rFonts w:ascii="Book Antiqua" w:eastAsia="Book Antiqua" w:hAnsi="Book Antiqua" w:cs="Book Antiqua"/>
          <w:color w:val="000000" w:themeColor="text1"/>
          <w:lang w:val="es-PR"/>
        </w:rPr>
      </w:pPr>
      <w:r w:rsidRPr="00840108">
        <w:rPr>
          <w:rFonts w:ascii="Book Antiqua" w:eastAsia="Book Antiqua" w:hAnsi="Book Antiqua" w:cs="Book Antiqua"/>
          <w:color w:val="000000" w:themeColor="text1"/>
          <w:lang w:val="es-PR"/>
        </w:rPr>
        <w:t xml:space="preserve">Para </w:t>
      </w:r>
      <w:r w:rsidR="007468CC" w:rsidRPr="000226BE">
        <w:rPr>
          <w:rFonts w:ascii="Book Antiqua" w:eastAsia="Book Antiqua" w:hAnsi="Book Antiqua" w:cs="Book Antiqua"/>
          <w:color w:val="000000" w:themeColor="text1"/>
          <w:lang w:val="es-PR"/>
        </w:rPr>
        <w:t>asegurar</w:t>
      </w:r>
      <w:r w:rsidRPr="00840108">
        <w:rPr>
          <w:rFonts w:ascii="Book Antiqua" w:eastAsia="Book Antiqua" w:hAnsi="Book Antiqua" w:cs="Book Antiqua"/>
          <w:color w:val="000000" w:themeColor="text1"/>
          <w:lang w:val="es-PR"/>
        </w:rPr>
        <w:t xml:space="preserve"> que en el futuro no se menoscabe el propósito que generó el lenguaje original de la Ley 222</w:t>
      </w:r>
      <w:r w:rsidR="007468CC" w:rsidRPr="000226BE">
        <w:rPr>
          <w:rFonts w:ascii="Book Antiqua" w:eastAsia="Book Antiqua" w:hAnsi="Book Antiqua" w:cs="Book Antiqua"/>
          <w:color w:val="000000" w:themeColor="text1"/>
          <w:lang w:val="es-PR"/>
        </w:rPr>
        <w:t>-2011</w:t>
      </w:r>
      <w:r w:rsidRPr="00840108">
        <w:rPr>
          <w:rFonts w:ascii="Book Antiqua" w:eastAsia="Book Antiqua" w:hAnsi="Book Antiqua" w:cs="Book Antiqua"/>
          <w:color w:val="000000" w:themeColor="text1"/>
          <w:lang w:val="es-PR"/>
        </w:rPr>
        <w:t xml:space="preserve"> se faculta a la Oficina de Administración de</w:t>
      </w:r>
      <w:r w:rsidR="007468CC" w:rsidRPr="000226BE">
        <w:rPr>
          <w:rFonts w:ascii="Book Antiqua" w:eastAsia="Book Antiqua" w:hAnsi="Book Antiqua" w:cs="Book Antiqua"/>
          <w:color w:val="000000" w:themeColor="text1"/>
          <w:lang w:val="es-PR"/>
        </w:rPr>
        <w:t xml:space="preserve"> los</w:t>
      </w:r>
      <w:r w:rsidRPr="00840108">
        <w:rPr>
          <w:rFonts w:ascii="Book Antiqua" w:eastAsia="Book Antiqua" w:hAnsi="Book Antiqua" w:cs="Book Antiqua"/>
          <w:color w:val="000000" w:themeColor="text1"/>
          <w:lang w:val="es-PR"/>
        </w:rPr>
        <w:t xml:space="preserve"> Tribunales para que, si así lo entiende necesario el Tribunal Supremo de Puerto Rico, se promulgue cualquier norma administrativa que sea necesaria para garantizar en años de elecciones generales, ni el público ni persona alguna, pueda interpretar que los fondos públicos se usan o usarán para propósitos político-partidistas. </w:t>
      </w:r>
    </w:p>
    <w:p w14:paraId="1DE805E2" w14:textId="77777777" w:rsidR="00644DC7" w:rsidRPr="000226BE" w:rsidRDefault="00644DC7" w:rsidP="00644DC7">
      <w:pPr>
        <w:pStyle w:val="ListParagraph"/>
        <w:ind w:left="0" w:firstLine="720"/>
        <w:jc w:val="both"/>
        <w:rPr>
          <w:rFonts w:ascii="Book Antiqua" w:hAnsi="Book Antiqua"/>
          <w:szCs w:val="24"/>
          <w:lang w:val="es-PR"/>
        </w:rPr>
      </w:pPr>
    </w:p>
    <w:p w14:paraId="4D81F9BA" w14:textId="77777777" w:rsidR="006705DD" w:rsidRPr="000226BE" w:rsidRDefault="006705DD" w:rsidP="00D94B25">
      <w:pPr>
        <w:jc w:val="center"/>
        <w:rPr>
          <w:rFonts w:ascii="Book Antiqua" w:hAnsi="Book Antiqua"/>
          <w:b/>
          <w:i/>
          <w:smallCaps/>
          <w:szCs w:val="24"/>
          <w:lang w:val="es-PR"/>
        </w:rPr>
      </w:pPr>
      <w:r w:rsidRPr="000226BE">
        <w:rPr>
          <w:rFonts w:ascii="Book Antiqua" w:hAnsi="Book Antiqua"/>
          <w:b/>
          <w:i/>
          <w:smallCaps/>
          <w:szCs w:val="24"/>
          <w:lang w:val="es-PR"/>
        </w:rPr>
        <w:t>Análisis de la Medida</w:t>
      </w:r>
    </w:p>
    <w:p w14:paraId="0E563FA5" w14:textId="77777777" w:rsidR="006705DD" w:rsidRPr="000226BE" w:rsidRDefault="006705DD" w:rsidP="00D94B25">
      <w:pPr>
        <w:jc w:val="both"/>
        <w:rPr>
          <w:rFonts w:ascii="Book Antiqua" w:hAnsi="Book Antiqua"/>
          <w:szCs w:val="24"/>
          <w:lang w:val="es-PR"/>
        </w:rPr>
      </w:pPr>
    </w:p>
    <w:p w14:paraId="45EBD7D3" w14:textId="4FB85689" w:rsidR="00B24681" w:rsidRPr="000226BE" w:rsidRDefault="006705DD" w:rsidP="009D3D54">
      <w:pPr>
        <w:ind w:firstLine="720"/>
        <w:jc w:val="both"/>
        <w:rPr>
          <w:rFonts w:ascii="Book Antiqua" w:hAnsi="Book Antiqua"/>
          <w:szCs w:val="24"/>
          <w:lang w:val="es-PR"/>
        </w:rPr>
      </w:pPr>
      <w:r w:rsidRPr="000226BE">
        <w:rPr>
          <w:rFonts w:ascii="Book Antiqua" w:hAnsi="Book Antiqua"/>
          <w:szCs w:val="24"/>
          <w:lang w:val="es-PR"/>
        </w:rPr>
        <w:t xml:space="preserve">Como parte del análisis de la medida, </w:t>
      </w:r>
      <w:r w:rsidR="009D3D54" w:rsidRPr="000226BE">
        <w:rPr>
          <w:rFonts w:ascii="Book Antiqua" w:hAnsi="Book Antiqua"/>
          <w:szCs w:val="24"/>
          <w:lang w:val="es-PR"/>
        </w:rPr>
        <w:t>la Comisión</w:t>
      </w:r>
      <w:r w:rsidR="006154EE" w:rsidRPr="000226BE">
        <w:rPr>
          <w:rFonts w:ascii="Book Antiqua" w:hAnsi="Book Antiqua"/>
          <w:szCs w:val="24"/>
          <w:lang w:val="es-PR"/>
        </w:rPr>
        <w:t xml:space="preserve"> de Gobierno </w:t>
      </w:r>
      <w:r w:rsidR="009D3D54" w:rsidRPr="000226BE">
        <w:rPr>
          <w:rFonts w:ascii="Book Antiqua" w:hAnsi="Book Antiqua"/>
          <w:szCs w:val="24"/>
          <w:lang w:val="es-PR"/>
        </w:rPr>
        <w:t xml:space="preserve">examinó los memoriales explicativos sometidos por </w:t>
      </w:r>
      <w:r w:rsidR="003E5CBA" w:rsidRPr="000226BE">
        <w:rPr>
          <w:rFonts w:ascii="Book Antiqua" w:hAnsi="Book Antiqua"/>
          <w:szCs w:val="24"/>
          <w:lang w:val="es-PR"/>
        </w:rPr>
        <w:t xml:space="preserve">la Oficina de Administración de los Tribunales, </w:t>
      </w:r>
      <w:r w:rsidR="00D1299F" w:rsidRPr="000226BE">
        <w:rPr>
          <w:rFonts w:ascii="Book Antiqua" w:hAnsi="Book Antiqua"/>
          <w:szCs w:val="24"/>
          <w:lang w:val="es-PR"/>
        </w:rPr>
        <w:t xml:space="preserve">la </w:t>
      </w:r>
      <w:r w:rsidR="00F36112" w:rsidRPr="000226BE">
        <w:rPr>
          <w:rFonts w:ascii="Book Antiqua" w:hAnsi="Book Antiqua"/>
          <w:szCs w:val="24"/>
          <w:lang w:val="es-PR"/>
        </w:rPr>
        <w:t xml:space="preserve">Oficina del Contralor Electoral, </w:t>
      </w:r>
      <w:r w:rsidR="009D3D54" w:rsidRPr="000226BE">
        <w:rPr>
          <w:rFonts w:ascii="Book Antiqua" w:hAnsi="Book Antiqua"/>
          <w:szCs w:val="24"/>
          <w:lang w:val="es-PR"/>
        </w:rPr>
        <w:t>el Departamento de Justicia,</w:t>
      </w:r>
      <w:r w:rsidR="00842EA6" w:rsidRPr="000226BE">
        <w:rPr>
          <w:rFonts w:ascii="Book Antiqua" w:hAnsi="Book Antiqua"/>
          <w:szCs w:val="24"/>
          <w:lang w:val="es-PR"/>
        </w:rPr>
        <w:t xml:space="preserve"> </w:t>
      </w:r>
      <w:r w:rsidR="00D1299F" w:rsidRPr="000226BE">
        <w:rPr>
          <w:rFonts w:ascii="Book Antiqua" w:hAnsi="Book Antiqua"/>
          <w:szCs w:val="24"/>
          <w:lang w:val="es-PR"/>
        </w:rPr>
        <w:t xml:space="preserve">y la Oficina de Presupuesto de la Asamblea Legislativa. </w:t>
      </w:r>
      <w:r w:rsidR="006154EE" w:rsidRPr="000226BE">
        <w:rPr>
          <w:rFonts w:ascii="Book Antiqua" w:hAnsi="Book Antiqua"/>
          <w:szCs w:val="24"/>
          <w:lang w:val="es-PR"/>
        </w:rPr>
        <w:t xml:space="preserve"> </w:t>
      </w:r>
      <w:r w:rsidR="00B24681" w:rsidRPr="000226BE">
        <w:rPr>
          <w:rFonts w:ascii="Book Antiqua" w:hAnsi="Book Antiqua"/>
          <w:szCs w:val="24"/>
          <w:lang w:val="es-PR"/>
        </w:rPr>
        <w:t>A continuación, presenta</w:t>
      </w:r>
      <w:r w:rsidR="008C4B4A" w:rsidRPr="000226BE">
        <w:rPr>
          <w:rFonts w:ascii="Book Antiqua" w:hAnsi="Book Antiqua"/>
          <w:szCs w:val="24"/>
          <w:lang w:val="es-PR"/>
        </w:rPr>
        <w:t>mos</w:t>
      </w:r>
      <w:r w:rsidR="00B24681" w:rsidRPr="000226BE">
        <w:rPr>
          <w:rFonts w:ascii="Book Antiqua" w:hAnsi="Book Antiqua"/>
          <w:szCs w:val="24"/>
          <w:lang w:val="es-PR"/>
        </w:rPr>
        <w:t xml:space="preserve"> </w:t>
      </w:r>
      <w:r w:rsidR="00E52DCB" w:rsidRPr="000226BE">
        <w:rPr>
          <w:rFonts w:ascii="Book Antiqua" w:hAnsi="Book Antiqua"/>
          <w:szCs w:val="24"/>
          <w:lang w:val="es-PR"/>
        </w:rPr>
        <w:t>un resumen de</w:t>
      </w:r>
      <w:r w:rsidR="00B24681" w:rsidRPr="000226BE">
        <w:rPr>
          <w:rFonts w:ascii="Book Antiqua" w:hAnsi="Book Antiqua"/>
          <w:szCs w:val="24"/>
          <w:lang w:val="es-PR"/>
        </w:rPr>
        <w:t xml:space="preserve"> las expresiones de las agencias y oficinas antes mencionadas.</w:t>
      </w:r>
    </w:p>
    <w:p w14:paraId="7ACAAA0F" w14:textId="36630E2D" w:rsidR="00E52DCB" w:rsidRPr="000226BE" w:rsidRDefault="00E52DCB" w:rsidP="00E52DCB">
      <w:pPr>
        <w:jc w:val="both"/>
        <w:rPr>
          <w:rFonts w:ascii="Book Antiqua" w:hAnsi="Book Antiqua"/>
          <w:szCs w:val="24"/>
          <w:highlight w:val="yellow"/>
          <w:lang w:val="es-PR"/>
        </w:rPr>
      </w:pPr>
    </w:p>
    <w:p w14:paraId="0B712F9E" w14:textId="77777777" w:rsidR="003E5CBA" w:rsidRPr="000226BE" w:rsidRDefault="003E5CBA" w:rsidP="003E5CBA">
      <w:pPr>
        <w:jc w:val="both"/>
        <w:rPr>
          <w:rFonts w:ascii="Book Antiqua" w:hAnsi="Book Antiqua"/>
          <w:b/>
          <w:bCs/>
          <w:i/>
          <w:iCs/>
          <w:smallCaps/>
          <w:szCs w:val="24"/>
          <w:lang w:val="es-PR"/>
        </w:rPr>
      </w:pPr>
      <w:r w:rsidRPr="000226BE">
        <w:rPr>
          <w:rFonts w:ascii="Book Antiqua" w:hAnsi="Book Antiqua"/>
          <w:b/>
          <w:bCs/>
          <w:i/>
          <w:iCs/>
          <w:smallCaps/>
          <w:szCs w:val="24"/>
          <w:lang w:val="es-PR"/>
        </w:rPr>
        <w:t xml:space="preserve">Oficina de Administración de los Tribunales </w:t>
      </w:r>
    </w:p>
    <w:p w14:paraId="103C6E08" w14:textId="77777777" w:rsidR="003E5CBA" w:rsidRPr="000226BE" w:rsidRDefault="003E5CBA" w:rsidP="003E5CBA">
      <w:pPr>
        <w:jc w:val="both"/>
        <w:rPr>
          <w:rFonts w:ascii="Book Antiqua" w:hAnsi="Book Antiqua"/>
          <w:szCs w:val="24"/>
          <w:lang w:val="es-PR"/>
        </w:rPr>
      </w:pPr>
    </w:p>
    <w:p w14:paraId="7955F422" w14:textId="77777777" w:rsidR="003E5CBA" w:rsidRPr="000226BE" w:rsidRDefault="003E5CBA" w:rsidP="003E5CBA">
      <w:pPr>
        <w:jc w:val="both"/>
        <w:rPr>
          <w:rFonts w:ascii="Book Antiqua" w:hAnsi="Book Antiqua"/>
          <w:szCs w:val="24"/>
          <w:lang w:val="es-PR"/>
        </w:rPr>
      </w:pPr>
      <w:r w:rsidRPr="000226BE">
        <w:rPr>
          <w:rFonts w:ascii="Book Antiqua" w:hAnsi="Book Antiqua"/>
          <w:szCs w:val="24"/>
          <w:lang w:val="es-PR"/>
        </w:rPr>
        <w:tab/>
        <w:t xml:space="preserve">La Oficina de Administración de los Tribunales favorece la aprobación de la medida.  </w:t>
      </w:r>
    </w:p>
    <w:p w14:paraId="7183A446" w14:textId="77777777" w:rsidR="003E5CBA" w:rsidRPr="000226BE" w:rsidRDefault="003E5CBA" w:rsidP="003E5CBA">
      <w:pPr>
        <w:jc w:val="both"/>
        <w:rPr>
          <w:rFonts w:ascii="Book Antiqua" w:hAnsi="Book Antiqua"/>
          <w:szCs w:val="24"/>
          <w:lang w:val="es-PR"/>
        </w:rPr>
      </w:pPr>
    </w:p>
    <w:p w14:paraId="4BCCA270" w14:textId="720923E1" w:rsidR="003E5CBA" w:rsidRPr="000226BE" w:rsidRDefault="003E5CBA" w:rsidP="003E5CBA">
      <w:pPr>
        <w:jc w:val="both"/>
        <w:rPr>
          <w:rFonts w:ascii="Book Antiqua" w:hAnsi="Book Antiqua"/>
          <w:szCs w:val="24"/>
          <w:lang w:val="es-PR"/>
        </w:rPr>
      </w:pPr>
      <w:r w:rsidRPr="000226BE">
        <w:rPr>
          <w:rFonts w:ascii="Book Antiqua" w:hAnsi="Book Antiqua"/>
          <w:szCs w:val="24"/>
          <w:lang w:val="es-PR"/>
        </w:rPr>
        <w:tab/>
        <w:t xml:space="preserve">La OAT manifiesta que la prohibición consagrada en la Ley 222-2011 es garantizar la fiscalización adecuada de fondos públicos por la que se procure su uso, en este caso de la publicidad gubernamental, para fines públicos estrictos, y no para adelantar o promover causas electorales o partidistas.  Ello enmarcado en la Sección 9, Articulo VI de la Constitución que mandata que las propiedades y fondos públicos solo podrán disponerse para fines públicos y para el sostenimiento y funcionamiento de las instituciones del Estado y en todo caso por autoridad de ley.  Indica que como rama constitucional no política, que no concurre a elecciones para la designación de sus integrantes, los anuncios y demás dispositivos publicitarios del Poder Judicial no se atienen a los objetivos que anima la prohibición de la Ley 222-2011.  Coinciden con la </w:t>
      </w:r>
      <w:r w:rsidRPr="000226BE">
        <w:rPr>
          <w:rFonts w:ascii="Book Antiqua" w:hAnsi="Book Antiqua"/>
          <w:szCs w:val="24"/>
          <w:lang w:val="es-PR"/>
        </w:rPr>
        <w:lastRenderedPageBreak/>
        <w:t xml:space="preserve">Exposición de Motivos de la medida resulta innecesaria la inclusión </w:t>
      </w:r>
      <w:r w:rsidR="000226BE" w:rsidRPr="000226BE">
        <w:rPr>
          <w:rFonts w:ascii="Book Antiqua" w:hAnsi="Book Antiqua"/>
          <w:szCs w:val="24"/>
          <w:lang w:val="es-PR"/>
        </w:rPr>
        <w:t>del Poder</w:t>
      </w:r>
      <w:r w:rsidRPr="000226BE">
        <w:rPr>
          <w:rFonts w:ascii="Book Antiqua" w:hAnsi="Book Antiqua"/>
          <w:szCs w:val="24"/>
          <w:lang w:val="es-PR"/>
        </w:rPr>
        <w:t xml:space="preserve"> Judicial en la prohibición del Articulo 10.006 de dicha Ley. </w:t>
      </w:r>
    </w:p>
    <w:p w14:paraId="0480872C" w14:textId="77777777" w:rsidR="003E5CBA" w:rsidRPr="000226BE" w:rsidRDefault="003E5CBA" w:rsidP="003E5CBA">
      <w:pPr>
        <w:jc w:val="both"/>
        <w:rPr>
          <w:rFonts w:ascii="Book Antiqua" w:hAnsi="Book Antiqua"/>
          <w:szCs w:val="24"/>
          <w:lang w:val="es-PR"/>
        </w:rPr>
      </w:pPr>
    </w:p>
    <w:p w14:paraId="51CE465A" w14:textId="6E1BC65B" w:rsidR="003E5CBA" w:rsidRPr="000226BE" w:rsidRDefault="003E5CBA" w:rsidP="003E5CBA">
      <w:pPr>
        <w:jc w:val="both"/>
        <w:rPr>
          <w:rFonts w:ascii="Book Antiqua" w:hAnsi="Book Antiqua"/>
          <w:szCs w:val="24"/>
          <w:lang w:val="es-PR"/>
        </w:rPr>
      </w:pPr>
      <w:r w:rsidRPr="000226BE">
        <w:rPr>
          <w:rFonts w:ascii="Book Antiqua" w:hAnsi="Book Antiqua"/>
          <w:szCs w:val="24"/>
          <w:lang w:val="es-PR"/>
        </w:rPr>
        <w:tab/>
        <w:t xml:space="preserve">Explica que el Poder Judicial cuenta con dos categorías esenciales de anuncios e información que está llamada a desarrollar. Por un lado, están los anuncios de prensa que tienen que publicar por requerimiento de ley o por tratarse de procedimientos administrativas o asuntos de la competencia de la rama para los cuales la reglamentación interna aplicable exige divulgación pública.  El Poder Judicial está obligado a publicar anuncios como los edictos sobre saldos inactivos, avisos de la Junta Examinadora de Aspirantes al Ejercicio de la Abogacía y la Notaría relacionados a la reválida, los edictos sobre solicitud de reinstalación de abogados, entre otros.  </w:t>
      </w:r>
    </w:p>
    <w:p w14:paraId="716DBA57" w14:textId="77777777" w:rsidR="003E5CBA" w:rsidRPr="000226BE" w:rsidRDefault="003E5CBA" w:rsidP="003E5CBA">
      <w:pPr>
        <w:jc w:val="both"/>
        <w:rPr>
          <w:rFonts w:ascii="Book Antiqua" w:hAnsi="Book Antiqua"/>
          <w:szCs w:val="24"/>
          <w:lang w:val="es-PR"/>
        </w:rPr>
      </w:pPr>
    </w:p>
    <w:p w14:paraId="19929F08" w14:textId="77777777" w:rsidR="003E5CBA" w:rsidRPr="000226BE" w:rsidRDefault="003E5CBA" w:rsidP="003E5CBA">
      <w:pPr>
        <w:ind w:firstLine="720"/>
        <w:jc w:val="both"/>
        <w:rPr>
          <w:rFonts w:ascii="Book Antiqua" w:hAnsi="Book Antiqua"/>
          <w:szCs w:val="24"/>
          <w:lang w:val="es-PR"/>
        </w:rPr>
      </w:pPr>
      <w:r w:rsidRPr="000226BE">
        <w:rPr>
          <w:rFonts w:ascii="Book Antiqua" w:hAnsi="Book Antiqua"/>
          <w:szCs w:val="24"/>
          <w:lang w:val="es-PR"/>
        </w:rPr>
        <w:t>De otra parte, el Artículo 2.008 de la Ley de la Judicatura le impone a la Jueza Presidenta la obligación de desarrollar “</w:t>
      </w:r>
      <w:r w:rsidRPr="000226BE">
        <w:rPr>
          <w:rFonts w:ascii="Book Antiqua" w:hAnsi="Book Antiqua"/>
          <w:i/>
          <w:iCs/>
          <w:szCs w:val="24"/>
          <w:lang w:val="es-PR"/>
        </w:rPr>
        <w:t>programas y materiales de educación pública, dirigidos a proveer conocimiento básico sobre el sistema de los tribunales, facilitar el entendimiento de las controversias legales, ofrecer información sobre los procesos civiles y criminales, orientar a la ciudadanía sobre sus derechos y responsabilidades, así como sobre la disponibilidad de metidos alternos para la solución de conflictos</w:t>
      </w:r>
      <w:r w:rsidRPr="000226BE">
        <w:rPr>
          <w:rFonts w:ascii="Book Antiqua" w:hAnsi="Book Antiqua"/>
          <w:szCs w:val="24"/>
          <w:lang w:val="es-PR"/>
        </w:rPr>
        <w:t xml:space="preserve">”.   Por ello, el Poder Judicial produce una gran cantidad de material informativo cuyo propósito es la educación y orientación a la comunidad sobre los procesos judiciales, los derechos y deberes de los ciudadanos y los diversos servicios y programas que brindan para asistir al a comunidad.  A manera de ejemplo, mencionan el material informativo sobre cómo obtener órdenes de protección, remedios legales bajo la Ley de Salud Mental y los servicios especializados, sobre la resolución alterna de conflictos como los centros de mediación, sobre la prevención de maltrato de menores, entre otros. </w:t>
      </w:r>
    </w:p>
    <w:p w14:paraId="28EBC076" w14:textId="77777777" w:rsidR="003E5CBA" w:rsidRPr="000226BE" w:rsidRDefault="003E5CBA" w:rsidP="003E5CBA">
      <w:pPr>
        <w:jc w:val="both"/>
        <w:rPr>
          <w:rFonts w:ascii="Book Antiqua" w:hAnsi="Book Antiqua"/>
          <w:szCs w:val="24"/>
          <w:lang w:val="es-PR"/>
        </w:rPr>
      </w:pPr>
    </w:p>
    <w:p w14:paraId="77433E70" w14:textId="791AAE81" w:rsidR="003E5CBA" w:rsidRPr="000226BE" w:rsidRDefault="003E5CBA" w:rsidP="003E5CBA">
      <w:pPr>
        <w:jc w:val="both"/>
        <w:rPr>
          <w:rFonts w:ascii="Book Antiqua" w:hAnsi="Book Antiqua"/>
          <w:szCs w:val="24"/>
          <w:lang w:val="es-PR"/>
        </w:rPr>
      </w:pPr>
      <w:r w:rsidRPr="000226BE">
        <w:rPr>
          <w:rFonts w:ascii="Book Antiqua" w:hAnsi="Book Antiqua"/>
          <w:szCs w:val="24"/>
          <w:lang w:val="es-PR"/>
        </w:rPr>
        <w:tab/>
        <w:t xml:space="preserve">La OAT recalca que no resulta adecuado supeditar al Poder Judicial a la Oficina del Contralor Electoral para la publicación de avisos exigidos por ley, y otras comunicaciones oficiales.  Esta sujeción lacera la autonomía del Poder Judicial e impacta la adecuada divulgación de información a la ciudadanía.  Señalan que el eficaz cumplimiento de estos fines sociales e institucionales se ven afectados o limitados como consecuencia del requerimiento de evaluación y previa autorización de la Oficina del Contralor Electoral.      </w:t>
      </w:r>
    </w:p>
    <w:p w14:paraId="69BF4B24" w14:textId="77777777" w:rsidR="003E5CBA" w:rsidRPr="000226BE" w:rsidRDefault="003E5CBA" w:rsidP="003E5CBA">
      <w:pPr>
        <w:jc w:val="both"/>
        <w:rPr>
          <w:rFonts w:ascii="Book Antiqua" w:hAnsi="Book Antiqua"/>
          <w:szCs w:val="24"/>
          <w:lang w:val="es-PR"/>
        </w:rPr>
      </w:pPr>
    </w:p>
    <w:p w14:paraId="5351D3AF" w14:textId="6CB52005" w:rsidR="003E5CBA" w:rsidRPr="000226BE" w:rsidRDefault="005305BD" w:rsidP="00E52DCB">
      <w:pPr>
        <w:jc w:val="both"/>
        <w:rPr>
          <w:rFonts w:ascii="Book Antiqua" w:hAnsi="Book Antiqua"/>
          <w:b/>
          <w:bCs/>
          <w:i/>
          <w:iCs/>
          <w:smallCaps/>
          <w:szCs w:val="24"/>
          <w:lang w:val="es-PR"/>
        </w:rPr>
      </w:pPr>
      <w:r w:rsidRPr="000226BE">
        <w:rPr>
          <w:rFonts w:ascii="Book Antiqua" w:hAnsi="Book Antiqua"/>
          <w:b/>
          <w:bCs/>
          <w:i/>
          <w:iCs/>
          <w:smallCaps/>
          <w:szCs w:val="24"/>
          <w:lang w:val="es-PR"/>
        </w:rPr>
        <w:t>Oficina del Contralor Electoral</w:t>
      </w:r>
    </w:p>
    <w:p w14:paraId="6A546927" w14:textId="77777777" w:rsidR="005305BD" w:rsidRPr="000226BE" w:rsidRDefault="005305BD" w:rsidP="00E52DCB">
      <w:pPr>
        <w:jc w:val="both"/>
        <w:rPr>
          <w:rFonts w:ascii="Book Antiqua" w:hAnsi="Book Antiqua"/>
          <w:b/>
          <w:bCs/>
          <w:smallCaps/>
          <w:szCs w:val="24"/>
          <w:lang w:val="es-PR"/>
        </w:rPr>
      </w:pPr>
    </w:p>
    <w:p w14:paraId="092826AD" w14:textId="293C2653" w:rsidR="005305BD" w:rsidRPr="000226BE" w:rsidRDefault="005305BD" w:rsidP="000D510A">
      <w:pPr>
        <w:ind w:firstLine="720"/>
        <w:jc w:val="both"/>
        <w:rPr>
          <w:rFonts w:ascii="Book Antiqua" w:hAnsi="Book Antiqua"/>
          <w:szCs w:val="24"/>
          <w:lang w:val="es-PR"/>
        </w:rPr>
      </w:pPr>
      <w:r w:rsidRPr="000226BE">
        <w:rPr>
          <w:rFonts w:ascii="Book Antiqua" w:hAnsi="Book Antiqua"/>
          <w:szCs w:val="24"/>
          <w:lang w:val="es-PR"/>
        </w:rPr>
        <w:t xml:space="preserve">La Oficina del Contralor Electoral da deferencia a la Asamblea Legislativa de decidir si adopta o no la política pública propuesta en la medida.  </w:t>
      </w:r>
    </w:p>
    <w:p w14:paraId="64440300" w14:textId="77777777" w:rsidR="005305BD" w:rsidRPr="000226BE" w:rsidRDefault="005305BD" w:rsidP="00E52DCB">
      <w:pPr>
        <w:jc w:val="both"/>
        <w:rPr>
          <w:rFonts w:ascii="Book Antiqua" w:hAnsi="Book Antiqua"/>
          <w:szCs w:val="24"/>
          <w:lang w:val="es-PR"/>
        </w:rPr>
      </w:pPr>
    </w:p>
    <w:p w14:paraId="5FC98E76" w14:textId="4D2ED7BE" w:rsidR="005305BD" w:rsidRPr="000226BE" w:rsidRDefault="005305BD" w:rsidP="000D510A">
      <w:pPr>
        <w:ind w:firstLine="720"/>
        <w:jc w:val="both"/>
        <w:rPr>
          <w:rFonts w:ascii="Book Antiqua" w:hAnsi="Book Antiqua"/>
          <w:szCs w:val="24"/>
          <w:lang w:val="es-PR"/>
        </w:rPr>
      </w:pPr>
      <w:r w:rsidRPr="000226BE">
        <w:rPr>
          <w:rFonts w:ascii="Book Antiqua" w:hAnsi="Book Antiqua"/>
          <w:szCs w:val="24"/>
          <w:lang w:val="es-PR"/>
        </w:rPr>
        <w:t xml:space="preserve">Informa </w:t>
      </w:r>
      <w:r w:rsidR="00C97B17" w:rsidRPr="000226BE">
        <w:rPr>
          <w:rFonts w:ascii="Book Antiqua" w:hAnsi="Book Antiqua"/>
          <w:szCs w:val="24"/>
          <w:lang w:val="es-PR"/>
        </w:rPr>
        <w:t>que,</w:t>
      </w:r>
      <w:r w:rsidRPr="000226BE">
        <w:rPr>
          <w:rFonts w:ascii="Book Antiqua" w:hAnsi="Book Antiqua"/>
          <w:szCs w:val="24"/>
          <w:lang w:val="es-PR"/>
        </w:rPr>
        <w:t xml:space="preserve"> durante el pasado año electoral 2024, de total de 15,310 anuncios evaluados, 199 corresponden </w:t>
      </w:r>
      <w:r w:rsidR="000226BE" w:rsidRPr="000226BE">
        <w:rPr>
          <w:rFonts w:ascii="Book Antiqua" w:hAnsi="Book Antiqua"/>
          <w:szCs w:val="24"/>
          <w:lang w:val="es-PR"/>
        </w:rPr>
        <w:t>al Poder Judicial</w:t>
      </w:r>
      <w:r w:rsidRPr="000226BE">
        <w:rPr>
          <w:rFonts w:ascii="Book Antiqua" w:hAnsi="Book Antiqua"/>
          <w:szCs w:val="24"/>
          <w:lang w:val="es-PR"/>
        </w:rPr>
        <w:t xml:space="preserve">, lo que equivalen al 1.3% del total de anuncios evaluados.  Todos los anuncios sometidos por </w:t>
      </w:r>
      <w:r w:rsidR="000226BE" w:rsidRPr="000226BE">
        <w:rPr>
          <w:rFonts w:ascii="Book Antiqua" w:hAnsi="Book Antiqua"/>
          <w:szCs w:val="24"/>
          <w:lang w:val="es-PR"/>
        </w:rPr>
        <w:t>el Poder Judicial</w:t>
      </w:r>
      <w:r w:rsidRPr="000226BE">
        <w:rPr>
          <w:rFonts w:ascii="Book Antiqua" w:hAnsi="Book Antiqua"/>
          <w:szCs w:val="24"/>
          <w:lang w:val="es-PR"/>
        </w:rPr>
        <w:t xml:space="preserve"> fueron aprobados según sometidos, excepto uno cuya aprobación fue condicionada a que se </w:t>
      </w:r>
      <w:r w:rsidRPr="000226BE">
        <w:rPr>
          <w:rFonts w:ascii="Book Antiqua" w:hAnsi="Book Antiqua"/>
          <w:szCs w:val="24"/>
          <w:lang w:val="es-PR"/>
        </w:rPr>
        <w:lastRenderedPageBreak/>
        <w:t xml:space="preserve">cambiara el color dominante en el anuncio, puesto que coincidía con el color de un partido político inscrito ante la CEE. </w:t>
      </w:r>
    </w:p>
    <w:p w14:paraId="2E34CFF4" w14:textId="77777777" w:rsidR="005305BD" w:rsidRPr="000226BE" w:rsidRDefault="005305BD" w:rsidP="00E52DCB">
      <w:pPr>
        <w:jc w:val="both"/>
        <w:rPr>
          <w:rFonts w:ascii="Book Antiqua" w:hAnsi="Book Antiqua"/>
          <w:szCs w:val="24"/>
          <w:lang w:val="es-PR"/>
        </w:rPr>
      </w:pPr>
    </w:p>
    <w:p w14:paraId="04ED8DD2" w14:textId="3C10560B" w:rsidR="005305BD" w:rsidRPr="000226BE" w:rsidRDefault="004716BE" w:rsidP="000D510A">
      <w:pPr>
        <w:ind w:firstLine="720"/>
        <w:jc w:val="both"/>
        <w:rPr>
          <w:rFonts w:ascii="Book Antiqua" w:hAnsi="Book Antiqua"/>
          <w:szCs w:val="24"/>
          <w:lang w:val="es-PR"/>
        </w:rPr>
      </w:pPr>
      <w:r w:rsidRPr="000226BE">
        <w:rPr>
          <w:rFonts w:ascii="Book Antiqua" w:hAnsi="Book Antiqua"/>
          <w:szCs w:val="24"/>
          <w:lang w:val="es-PR"/>
        </w:rPr>
        <w:t>Además</w:t>
      </w:r>
      <w:r w:rsidR="005305BD" w:rsidRPr="000226BE">
        <w:rPr>
          <w:rFonts w:ascii="Book Antiqua" w:hAnsi="Book Antiqua"/>
          <w:szCs w:val="24"/>
          <w:lang w:val="es-PR"/>
        </w:rPr>
        <w:t xml:space="preserve">, informa que la Oficina no hizo señalamientos </w:t>
      </w:r>
      <w:r w:rsidR="000226BE" w:rsidRPr="000226BE">
        <w:rPr>
          <w:rFonts w:ascii="Book Antiqua" w:hAnsi="Book Antiqua"/>
          <w:szCs w:val="24"/>
          <w:lang w:val="es-PR"/>
        </w:rPr>
        <w:t>al Poder Judicial</w:t>
      </w:r>
      <w:r w:rsidR="005305BD" w:rsidRPr="000226BE">
        <w:rPr>
          <w:rFonts w:ascii="Book Antiqua" w:hAnsi="Book Antiqua"/>
          <w:szCs w:val="24"/>
          <w:lang w:val="es-PR"/>
        </w:rPr>
        <w:t xml:space="preserve"> sobre asuntos relacionados con la veda publicitaria.  La p</w:t>
      </w:r>
      <w:r w:rsidRPr="000226BE">
        <w:rPr>
          <w:rFonts w:ascii="Book Antiqua" w:hAnsi="Book Antiqua"/>
          <w:szCs w:val="24"/>
          <w:lang w:val="es-PR"/>
        </w:rPr>
        <w:t>á</w:t>
      </w:r>
      <w:r w:rsidR="005305BD" w:rsidRPr="000226BE">
        <w:rPr>
          <w:rFonts w:ascii="Book Antiqua" w:hAnsi="Book Antiqua"/>
          <w:szCs w:val="24"/>
          <w:lang w:val="es-PR"/>
        </w:rPr>
        <w:t xml:space="preserve">gina web </w:t>
      </w:r>
      <w:r w:rsidR="000226BE" w:rsidRPr="000226BE">
        <w:rPr>
          <w:rFonts w:ascii="Book Antiqua" w:hAnsi="Book Antiqua"/>
          <w:szCs w:val="24"/>
          <w:lang w:val="es-PR"/>
        </w:rPr>
        <w:t>del Poder Judicial</w:t>
      </w:r>
      <w:r w:rsidR="005305BD" w:rsidRPr="000226BE">
        <w:rPr>
          <w:rFonts w:ascii="Book Antiqua" w:hAnsi="Book Antiqua"/>
          <w:szCs w:val="24"/>
          <w:lang w:val="es-PR"/>
        </w:rPr>
        <w:t xml:space="preserve"> no requirió cambio alguno para el año </w:t>
      </w:r>
      <w:r w:rsidRPr="000226BE">
        <w:rPr>
          <w:rFonts w:ascii="Book Antiqua" w:hAnsi="Book Antiqua"/>
          <w:szCs w:val="24"/>
          <w:lang w:val="es-PR"/>
        </w:rPr>
        <w:t>electoral</w:t>
      </w:r>
      <w:r w:rsidR="005305BD" w:rsidRPr="000226BE">
        <w:rPr>
          <w:rFonts w:ascii="Book Antiqua" w:hAnsi="Book Antiqua"/>
          <w:szCs w:val="24"/>
          <w:lang w:val="es-PR"/>
        </w:rPr>
        <w:t xml:space="preserve">, pues estaba en cumplimiento </w:t>
      </w:r>
      <w:r w:rsidRPr="000226BE">
        <w:rPr>
          <w:rFonts w:ascii="Book Antiqua" w:hAnsi="Book Antiqua"/>
          <w:szCs w:val="24"/>
          <w:lang w:val="es-PR"/>
        </w:rPr>
        <w:t xml:space="preserve">antes que la veda publicitaria entrara en vigor.  </w:t>
      </w:r>
    </w:p>
    <w:p w14:paraId="052C316F" w14:textId="77777777" w:rsidR="003E5CBA" w:rsidRPr="000226BE" w:rsidRDefault="003E5CBA" w:rsidP="00E52DCB">
      <w:pPr>
        <w:jc w:val="both"/>
        <w:rPr>
          <w:rFonts w:ascii="Book Antiqua" w:hAnsi="Book Antiqua"/>
          <w:szCs w:val="24"/>
          <w:lang w:val="es-PR"/>
        </w:rPr>
      </w:pPr>
    </w:p>
    <w:p w14:paraId="1E4636FC" w14:textId="0532B3E6" w:rsidR="00E52DCB" w:rsidRPr="000226BE" w:rsidRDefault="009D3D54" w:rsidP="00E52DCB">
      <w:pPr>
        <w:jc w:val="both"/>
        <w:rPr>
          <w:rFonts w:ascii="Book Antiqua" w:hAnsi="Book Antiqua"/>
          <w:b/>
          <w:bCs/>
          <w:i/>
          <w:iCs/>
          <w:smallCaps/>
          <w:szCs w:val="24"/>
          <w:lang w:val="es-PR"/>
        </w:rPr>
      </w:pPr>
      <w:r w:rsidRPr="000226BE">
        <w:rPr>
          <w:rFonts w:ascii="Book Antiqua" w:hAnsi="Book Antiqua"/>
          <w:b/>
          <w:bCs/>
          <w:i/>
          <w:iCs/>
          <w:smallCaps/>
          <w:szCs w:val="24"/>
          <w:lang w:val="es-PR"/>
        </w:rPr>
        <w:t>Departamento de Justicia</w:t>
      </w:r>
    </w:p>
    <w:p w14:paraId="286A711E" w14:textId="77777777" w:rsidR="0051226C" w:rsidRPr="000226BE" w:rsidRDefault="0051226C" w:rsidP="00E52DCB">
      <w:pPr>
        <w:jc w:val="both"/>
        <w:rPr>
          <w:rFonts w:ascii="Book Antiqua" w:hAnsi="Book Antiqua"/>
          <w:b/>
          <w:bCs/>
          <w:smallCaps/>
          <w:szCs w:val="24"/>
          <w:lang w:val="es-PR"/>
        </w:rPr>
      </w:pPr>
    </w:p>
    <w:p w14:paraId="1E27D327" w14:textId="3CE801F8" w:rsidR="0051226C" w:rsidRPr="000226BE" w:rsidRDefault="0051226C" w:rsidP="00FB1284">
      <w:pPr>
        <w:ind w:firstLine="720"/>
        <w:jc w:val="both"/>
        <w:rPr>
          <w:rFonts w:ascii="Book Antiqua" w:hAnsi="Book Antiqua"/>
          <w:szCs w:val="24"/>
          <w:lang w:val="es-PR"/>
        </w:rPr>
      </w:pPr>
      <w:r w:rsidRPr="000226BE">
        <w:rPr>
          <w:rFonts w:ascii="Book Antiqua" w:hAnsi="Book Antiqua"/>
          <w:szCs w:val="24"/>
          <w:lang w:val="es-PR"/>
        </w:rPr>
        <w:t xml:space="preserve">El Departamento de Justicia no encuentra objeción legal a la aprobación de la medida.  Entiende la agencia que </w:t>
      </w:r>
      <w:r w:rsidR="000226BE">
        <w:rPr>
          <w:rFonts w:ascii="Book Antiqua" w:hAnsi="Book Antiqua"/>
          <w:szCs w:val="24"/>
          <w:lang w:val="es-PR"/>
        </w:rPr>
        <w:t>el proyecto de ley</w:t>
      </w:r>
      <w:r w:rsidRPr="000226BE">
        <w:rPr>
          <w:rFonts w:ascii="Book Antiqua" w:hAnsi="Book Antiqua"/>
          <w:szCs w:val="24"/>
          <w:lang w:val="es-PR"/>
        </w:rPr>
        <w:t xml:space="preserve"> cumple con la doctrina de separación de poderes, la cual se asienta sobre el principio de que le poder se delega en las tres ramas de gobierno para evitar la concentración de poderes en una sola rama. </w:t>
      </w:r>
    </w:p>
    <w:p w14:paraId="441C229E" w14:textId="77777777" w:rsidR="0051226C" w:rsidRPr="000226BE" w:rsidRDefault="0051226C" w:rsidP="00E52DCB">
      <w:pPr>
        <w:jc w:val="both"/>
        <w:rPr>
          <w:rFonts w:ascii="Book Antiqua" w:hAnsi="Book Antiqua"/>
          <w:szCs w:val="24"/>
          <w:lang w:val="es-PR"/>
        </w:rPr>
      </w:pPr>
    </w:p>
    <w:p w14:paraId="01AF662A" w14:textId="65968F57" w:rsidR="0051226C" w:rsidRPr="000226BE" w:rsidRDefault="0051226C" w:rsidP="00FB1284">
      <w:pPr>
        <w:ind w:firstLine="720"/>
        <w:jc w:val="both"/>
        <w:rPr>
          <w:rFonts w:ascii="Book Antiqua" w:hAnsi="Book Antiqua"/>
          <w:szCs w:val="24"/>
          <w:lang w:val="es-PR"/>
        </w:rPr>
      </w:pPr>
      <w:r w:rsidRPr="000226BE">
        <w:rPr>
          <w:rFonts w:ascii="Book Antiqua" w:hAnsi="Book Antiqua"/>
          <w:szCs w:val="24"/>
          <w:lang w:val="es-PR"/>
        </w:rPr>
        <w:t xml:space="preserve">En su memorial, la agencia discute el amplio poder que tiene la Asamblea Legislativa para reglamentar los procesos y asuntos eleccionarios.  Este poder surge de la Sección 4, Articulo VI de la Constitución de Puerto Rico que confirió expresamente a la Asamblea Legislativa la facultad de regular los asuntos concernientes a los procesos electorales. </w:t>
      </w:r>
    </w:p>
    <w:p w14:paraId="67BE5C8C" w14:textId="77777777" w:rsidR="00001F34" w:rsidRPr="000226BE" w:rsidRDefault="00001F34" w:rsidP="00E52DCB">
      <w:pPr>
        <w:jc w:val="both"/>
        <w:rPr>
          <w:rFonts w:ascii="Book Antiqua" w:hAnsi="Book Antiqua"/>
          <w:szCs w:val="24"/>
          <w:lang w:val="es-PR"/>
        </w:rPr>
      </w:pPr>
    </w:p>
    <w:p w14:paraId="23762936" w14:textId="6E02830D" w:rsidR="00001F34" w:rsidRPr="000226BE" w:rsidRDefault="00001F34" w:rsidP="00FB1284">
      <w:pPr>
        <w:ind w:firstLine="720"/>
        <w:jc w:val="both"/>
        <w:rPr>
          <w:rFonts w:ascii="Book Antiqua" w:hAnsi="Book Antiqua"/>
          <w:szCs w:val="24"/>
          <w:lang w:val="es-PR"/>
        </w:rPr>
      </w:pPr>
      <w:r w:rsidRPr="000226BE">
        <w:rPr>
          <w:rFonts w:ascii="Book Antiqua" w:hAnsi="Book Antiqua"/>
          <w:szCs w:val="24"/>
          <w:lang w:val="es-PR"/>
        </w:rPr>
        <w:t>A tenor con esta facultad se aprobó la Ley 222-2011, con un nuevo sistema de financiamiento de las campañas electorales, conforme a la jurisprudencia del Tribunal Supremo de los Estados Unidos.  En junio de 2020, se aprobó el Código Electoral de Puerto Rico de 2020 y se enmendó la Ley 222-2011 para añadir el Art</w:t>
      </w:r>
      <w:r w:rsidR="003A3A76" w:rsidRPr="000226BE">
        <w:rPr>
          <w:rFonts w:ascii="Book Antiqua" w:hAnsi="Book Antiqua"/>
          <w:szCs w:val="24"/>
          <w:lang w:val="es-PR"/>
        </w:rPr>
        <w:t>í</w:t>
      </w:r>
      <w:r w:rsidRPr="000226BE">
        <w:rPr>
          <w:rFonts w:ascii="Book Antiqua" w:hAnsi="Book Antiqua"/>
          <w:szCs w:val="24"/>
          <w:lang w:val="es-PR"/>
        </w:rPr>
        <w:t>culo 10.006 y establecer normas espec</w:t>
      </w:r>
      <w:r w:rsidR="003A3A76" w:rsidRPr="000226BE">
        <w:rPr>
          <w:rFonts w:ascii="Book Antiqua" w:hAnsi="Book Antiqua"/>
          <w:szCs w:val="24"/>
          <w:lang w:val="es-PR"/>
        </w:rPr>
        <w:t>í</w:t>
      </w:r>
      <w:r w:rsidRPr="000226BE">
        <w:rPr>
          <w:rFonts w:ascii="Book Antiqua" w:hAnsi="Book Antiqua"/>
          <w:szCs w:val="24"/>
          <w:lang w:val="es-PR"/>
        </w:rPr>
        <w:t xml:space="preserve">ficas sobre los gastos de difusión pública del Gobierno en años de elecciones y el cual se pretende enmendar mediante el PC 352. </w:t>
      </w:r>
    </w:p>
    <w:p w14:paraId="28ED08C8" w14:textId="77777777" w:rsidR="00001F34" w:rsidRPr="000226BE" w:rsidRDefault="00001F34" w:rsidP="00E52DCB">
      <w:pPr>
        <w:jc w:val="both"/>
        <w:rPr>
          <w:rFonts w:ascii="Book Antiqua" w:hAnsi="Book Antiqua"/>
          <w:szCs w:val="24"/>
          <w:lang w:val="es-PR"/>
        </w:rPr>
      </w:pPr>
    </w:p>
    <w:p w14:paraId="6E2B0850" w14:textId="07F73A68" w:rsidR="00001F34" w:rsidRPr="000226BE" w:rsidRDefault="00001F34" w:rsidP="00FB1284">
      <w:pPr>
        <w:ind w:firstLine="720"/>
        <w:jc w:val="both"/>
        <w:rPr>
          <w:rFonts w:ascii="Book Antiqua" w:hAnsi="Book Antiqua"/>
          <w:szCs w:val="24"/>
          <w:lang w:val="es-PR"/>
        </w:rPr>
      </w:pPr>
      <w:r w:rsidRPr="000226BE">
        <w:rPr>
          <w:rFonts w:ascii="Book Antiqua" w:hAnsi="Book Antiqua"/>
          <w:szCs w:val="24"/>
          <w:lang w:val="es-PR"/>
        </w:rPr>
        <w:t>La agencia discute, además, la facultad constitucional que posee el Tribunal Supremo para reglamentar la administración de los tribunales.  En particular, se le deleg</w:t>
      </w:r>
      <w:r w:rsidR="003A3A76" w:rsidRPr="000226BE">
        <w:rPr>
          <w:rFonts w:ascii="Book Antiqua" w:hAnsi="Book Antiqua"/>
          <w:szCs w:val="24"/>
          <w:lang w:val="es-PR"/>
        </w:rPr>
        <w:t>ó</w:t>
      </w:r>
      <w:r w:rsidRPr="000226BE">
        <w:rPr>
          <w:rFonts w:ascii="Book Antiqua" w:hAnsi="Book Antiqua"/>
          <w:szCs w:val="24"/>
          <w:lang w:val="es-PR"/>
        </w:rPr>
        <w:t xml:space="preserve"> al Juez </w:t>
      </w:r>
      <w:proofErr w:type="gramStart"/>
      <w:r w:rsidRPr="000226BE">
        <w:rPr>
          <w:rFonts w:ascii="Book Antiqua" w:hAnsi="Book Antiqua"/>
          <w:szCs w:val="24"/>
          <w:lang w:val="es-PR"/>
        </w:rPr>
        <w:t>Presidente</w:t>
      </w:r>
      <w:proofErr w:type="gramEnd"/>
      <w:r w:rsidRPr="000226BE">
        <w:rPr>
          <w:rFonts w:ascii="Book Antiqua" w:hAnsi="Book Antiqua"/>
          <w:szCs w:val="24"/>
          <w:lang w:val="es-PR"/>
        </w:rPr>
        <w:t xml:space="preserve"> la responsabilidad de supervisar la administración del Poder Judicial, incluyendo los asuntos relacionados con el personal </w:t>
      </w:r>
      <w:r w:rsidR="000226BE" w:rsidRPr="000226BE">
        <w:rPr>
          <w:rFonts w:ascii="Book Antiqua" w:hAnsi="Book Antiqua"/>
          <w:szCs w:val="24"/>
          <w:lang w:val="es-PR"/>
        </w:rPr>
        <w:t>del Poder</w:t>
      </w:r>
      <w:r w:rsidRPr="000226BE">
        <w:rPr>
          <w:rFonts w:ascii="Book Antiqua" w:hAnsi="Book Antiqua"/>
          <w:szCs w:val="24"/>
          <w:lang w:val="es-PR"/>
        </w:rPr>
        <w:t xml:space="preserve"> Judicial. </w:t>
      </w:r>
      <w:r w:rsidR="0054316F" w:rsidRPr="000226BE">
        <w:rPr>
          <w:rFonts w:ascii="Book Antiqua" w:hAnsi="Book Antiqua"/>
          <w:szCs w:val="24"/>
          <w:lang w:val="es-PR"/>
        </w:rPr>
        <w:t xml:space="preserve"> </w:t>
      </w:r>
      <w:r w:rsidR="003A3A76" w:rsidRPr="000226BE">
        <w:rPr>
          <w:rFonts w:ascii="Book Antiqua" w:hAnsi="Book Antiqua"/>
          <w:szCs w:val="24"/>
          <w:lang w:val="es-PR"/>
        </w:rPr>
        <w:t>Así</w:t>
      </w:r>
      <w:r w:rsidR="0054316F" w:rsidRPr="000226BE">
        <w:rPr>
          <w:rFonts w:ascii="Book Antiqua" w:hAnsi="Book Antiqua"/>
          <w:szCs w:val="24"/>
          <w:lang w:val="es-PR"/>
        </w:rPr>
        <w:t xml:space="preserve"> el Juez </w:t>
      </w:r>
      <w:proofErr w:type="gramStart"/>
      <w:r w:rsidR="0054316F" w:rsidRPr="000226BE">
        <w:rPr>
          <w:rFonts w:ascii="Book Antiqua" w:hAnsi="Book Antiqua"/>
          <w:szCs w:val="24"/>
          <w:lang w:val="es-PR"/>
        </w:rPr>
        <w:t>Presidente</w:t>
      </w:r>
      <w:proofErr w:type="gramEnd"/>
      <w:r w:rsidR="0054316F" w:rsidRPr="000226BE">
        <w:rPr>
          <w:rFonts w:ascii="Book Antiqua" w:hAnsi="Book Antiqua"/>
          <w:szCs w:val="24"/>
          <w:lang w:val="es-PR"/>
        </w:rPr>
        <w:t xml:space="preserve"> establece </w:t>
      </w:r>
      <w:r w:rsidR="003A3A76" w:rsidRPr="000226BE">
        <w:rPr>
          <w:rFonts w:ascii="Book Antiqua" w:hAnsi="Book Antiqua"/>
          <w:szCs w:val="24"/>
          <w:lang w:val="es-PR"/>
        </w:rPr>
        <w:t>las</w:t>
      </w:r>
      <w:r w:rsidR="0054316F" w:rsidRPr="000226BE">
        <w:rPr>
          <w:rFonts w:ascii="Book Antiqua" w:hAnsi="Book Antiqua"/>
          <w:szCs w:val="24"/>
          <w:lang w:val="es-PR"/>
        </w:rPr>
        <w:t xml:space="preserve"> normas de nombramiento y disciplina de su personal</w:t>
      </w:r>
      <w:r w:rsidR="003A3A76" w:rsidRPr="000226BE">
        <w:rPr>
          <w:rFonts w:ascii="Book Antiqua" w:hAnsi="Book Antiqua"/>
          <w:szCs w:val="24"/>
          <w:lang w:val="es-PR"/>
        </w:rPr>
        <w:t xml:space="preserve">.  Las normas están instrumentadas en la Ley de la Judicatura y, en cuento a la ética judicial, el Canon 28 prohíbe que los jueces participen de actividades político-partidistas, lo que es tangente a lo dispuesto en el </w:t>
      </w:r>
      <w:r w:rsidR="00344C28" w:rsidRPr="000226BE">
        <w:rPr>
          <w:rFonts w:ascii="Book Antiqua" w:hAnsi="Book Antiqua"/>
          <w:szCs w:val="24"/>
          <w:lang w:val="es-PR"/>
        </w:rPr>
        <w:t>Artículo</w:t>
      </w:r>
      <w:r w:rsidR="003A3A76" w:rsidRPr="000226BE">
        <w:rPr>
          <w:rFonts w:ascii="Book Antiqua" w:hAnsi="Book Antiqua"/>
          <w:szCs w:val="24"/>
          <w:lang w:val="es-PR"/>
        </w:rPr>
        <w:t xml:space="preserve"> 10.006 de la Ley 222-2011.</w:t>
      </w:r>
    </w:p>
    <w:p w14:paraId="2C40BB9B" w14:textId="77777777" w:rsidR="00001F34" w:rsidRPr="000226BE" w:rsidRDefault="00001F34" w:rsidP="00E52DCB">
      <w:pPr>
        <w:jc w:val="both"/>
        <w:rPr>
          <w:rFonts w:ascii="Book Antiqua" w:hAnsi="Book Antiqua"/>
          <w:szCs w:val="24"/>
          <w:lang w:val="es-PR"/>
        </w:rPr>
      </w:pPr>
    </w:p>
    <w:p w14:paraId="5DC8B457" w14:textId="51077510" w:rsidR="00001F34" w:rsidRPr="000226BE" w:rsidRDefault="00001F34" w:rsidP="00FB1284">
      <w:pPr>
        <w:ind w:firstLine="720"/>
        <w:jc w:val="both"/>
        <w:rPr>
          <w:rFonts w:ascii="Book Antiqua" w:hAnsi="Book Antiqua"/>
          <w:szCs w:val="24"/>
          <w:lang w:val="es-PR"/>
        </w:rPr>
      </w:pPr>
      <w:r w:rsidRPr="000226BE">
        <w:rPr>
          <w:rFonts w:ascii="Book Antiqua" w:hAnsi="Book Antiqua"/>
          <w:szCs w:val="24"/>
          <w:lang w:val="es-PR"/>
        </w:rPr>
        <w:t>Justicia entiende</w:t>
      </w:r>
      <w:r w:rsidR="0054316F" w:rsidRPr="000226BE">
        <w:rPr>
          <w:rFonts w:ascii="Book Antiqua" w:hAnsi="Book Antiqua"/>
          <w:szCs w:val="24"/>
          <w:lang w:val="es-PR"/>
        </w:rPr>
        <w:t xml:space="preserve"> que lo propuesto en el PC 352 no vulnera la intención legislativa de la Ley 222-2011, de evitar que los jueces, igual que las entidades y agencias mencionadas en el Art</w:t>
      </w:r>
      <w:r w:rsidR="003A3A76" w:rsidRPr="000226BE">
        <w:rPr>
          <w:rFonts w:ascii="Book Antiqua" w:hAnsi="Book Antiqua"/>
          <w:szCs w:val="24"/>
          <w:lang w:val="es-PR"/>
        </w:rPr>
        <w:t>í</w:t>
      </w:r>
      <w:r w:rsidR="0054316F" w:rsidRPr="000226BE">
        <w:rPr>
          <w:rFonts w:ascii="Book Antiqua" w:hAnsi="Book Antiqua"/>
          <w:szCs w:val="24"/>
          <w:lang w:val="es-PR"/>
        </w:rPr>
        <w:t xml:space="preserve">culo 10.006 utilicen fondos públicos para adelantar asuntos político-partidistas, ya que este asunto </w:t>
      </w:r>
      <w:r w:rsidR="00344C28" w:rsidRPr="000226BE">
        <w:rPr>
          <w:rFonts w:ascii="Book Antiqua" w:hAnsi="Book Antiqua"/>
          <w:szCs w:val="24"/>
          <w:lang w:val="es-PR"/>
        </w:rPr>
        <w:t>está</w:t>
      </w:r>
      <w:r w:rsidR="0054316F" w:rsidRPr="000226BE">
        <w:rPr>
          <w:rFonts w:ascii="Book Antiqua" w:hAnsi="Book Antiqua"/>
          <w:szCs w:val="24"/>
          <w:lang w:val="es-PR"/>
        </w:rPr>
        <w:t xml:space="preserve"> cubierto por la prohibición que el Canon 28 establece para los jueces, respecto a las </w:t>
      </w:r>
      <w:r w:rsidR="003A3A76" w:rsidRPr="000226BE">
        <w:rPr>
          <w:rFonts w:ascii="Book Antiqua" w:hAnsi="Book Antiqua"/>
          <w:szCs w:val="24"/>
          <w:lang w:val="es-PR"/>
        </w:rPr>
        <w:t>actividades</w:t>
      </w:r>
      <w:r w:rsidR="0054316F" w:rsidRPr="000226BE">
        <w:rPr>
          <w:rFonts w:ascii="Book Antiqua" w:hAnsi="Book Antiqua"/>
          <w:szCs w:val="24"/>
          <w:lang w:val="es-PR"/>
        </w:rPr>
        <w:t xml:space="preserve"> políticas. </w:t>
      </w:r>
      <w:r w:rsidR="000226BE">
        <w:rPr>
          <w:rFonts w:ascii="Book Antiqua" w:hAnsi="Book Antiqua"/>
          <w:szCs w:val="24"/>
          <w:lang w:val="es-PR"/>
        </w:rPr>
        <w:t xml:space="preserve"> Finalmente, recomienda se consulte al Poder Judicial. </w:t>
      </w:r>
    </w:p>
    <w:p w14:paraId="2E89144C" w14:textId="09AE1F77" w:rsidR="001C65AC" w:rsidRPr="000226BE" w:rsidRDefault="00080450" w:rsidP="00E52DCB">
      <w:pPr>
        <w:jc w:val="both"/>
        <w:rPr>
          <w:rFonts w:ascii="Book Antiqua" w:hAnsi="Book Antiqua"/>
          <w:b/>
          <w:bCs/>
          <w:i/>
          <w:iCs/>
          <w:szCs w:val="24"/>
          <w:lang w:val="es-PR"/>
        </w:rPr>
      </w:pPr>
      <w:r w:rsidRPr="000226BE">
        <w:rPr>
          <w:rFonts w:ascii="Book Antiqua" w:hAnsi="Book Antiqua"/>
          <w:b/>
          <w:bCs/>
          <w:i/>
          <w:iCs/>
          <w:smallCaps/>
          <w:szCs w:val="24"/>
          <w:lang w:val="es-PR"/>
        </w:rPr>
        <w:lastRenderedPageBreak/>
        <w:t>O</w:t>
      </w:r>
      <w:r w:rsidR="00344C28" w:rsidRPr="000226BE">
        <w:rPr>
          <w:rFonts w:ascii="Book Antiqua" w:hAnsi="Book Antiqua"/>
          <w:b/>
          <w:bCs/>
          <w:i/>
          <w:iCs/>
          <w:smallCaps/>
          <w:szCs w:val="24"/>
          <w:lang w:val="es-PR"/>
        </w:rPr>
        <w:t>ficina de Presupuesto de la Asamblea Legislativa</w:t>
      </w:r>
      <w:r w:rsidRPr="000226BE">
        <w:rPr>
          <w:rFonts w:ascii="Book Antiqua" w:hAnsi="Book Antiqua"/>
          <w:b/>
          <w:bCs/>
          <w:i/>
          <w:iCs/>
          <w:szCs w:val="24"/>
          <w:lang w:val="es-PR"/>
        </w:rPr>
        <w:t xml:space="preserve"> </w:t>
      </w:r>
      <w:r w:rsidR="00357DF5" w:rsidRPr="000226BE">
        <w:rPr>
          <w:rFonts w:ascii="Book Antiqua" w:hAnsi="Book Antiqua"/>
          <w:b/>
          <w:bCs/>
          <w:i/>
          <w:iCs/>
          <w:szCs w:val="24"/>
          <w:lang w:val="es-PR"/>
        </w:rPr>
        <w:t>(OPAL)</w:t>
      </w:r>
    </w:p>
    <w:p w14:paraId="63AB8A1A" w14:textId="77777777" w:rsidR="00080450" w:rsidRPr="000226BE" w:rsidRDefault="00080450" w:rsidP="00E52DCB">
      <w:pPr>
        <w:jc w:val="both"/>
        <w:rPr>
          <w:rFonts w:ascii="Book Antiqua" w:hAnsi="Book Antiqua"/>
          <w:szCs w:val="24"/>
          <w:lang w:val="es-PR"/>
        </w:rPr>
      </w:pPr>
    </w:p>
    <w:p w14:paraId="0DEF62F9" w14:textId="33891919" w:rsidR="00344C28" w:rsidRPr="000226BE" w:rsidRDefault="00344C28" w:rsidP="00357DF5">
      <w:pPr>
        <w:ind w:firstLine="720"/>
        <w:jc w:val="both"/>
        <w:rPr>
          <w:rFonts w:ascii="Book Antiqua" w:hAnsi="Book Antiqua"/>
          <w:szCs w:val="24"/>
          <w:lang w:val="es-PR"/>
        </w:rPr>
      </w:pPr>
      <w:r w:rsidRPr="000226BE">
        <w:rPr>
          <w:rFonts w:ascii="Book Antiqua" w:hAnsi="Book Antiqua"/>
          <w:szCs w:val="24"/>
          <w:lang w:val="es-PR"/>
        </w:rPr>
        <w:t xml:space="preserve">La OPAL </w:t>
      </w:r>
      <w:r w:rsidR="00357DF5" w:rsidRPr="000226BE">
        <w:rPr>
          <w:rFonts w:ascii="Book Antiqua" w:hAnsi="Book Antiqua"/>
          <w:szCs w:val="24"/>
          <w:lang w:val="es-PR"/>
        </w:rPr>
        <w:t>concluyó</w:t>
      </w:r>
      <w:r w:rsidRPr="000226BE">
        <w:rPr>
          <w:rFonts w:ascii="Book Antiqua" w:hAnsi="Book Antiqua"/>
          <w:szCs w:val="24"/>
          <w:lang w:val="es-PR"/>
        </w:rPr>
        <w:t xml:space="preserve"> que </w:t>
      </w:r>
      <w:r w:rsidR="00357DF5" w:rsidRPr="000226BE">
        <w:rPr>
          <w:rFonts w:ascii="Book Antiqua" w:hAnsi="Book Antiqua"/>
          <w:szCs w:val="24"/>
          <w:lang w:val="es-PR"/>
        </w:rPr>
        <w:t>el PC 352</w:t>
      </w:r>
      <w:r w:rsidRPr="000226BE">
        <w:rPr>
          <w:rFonts w:ascii="Book Antiqua" w:hAnsi="Book Antiqua"/>
          <w:szCs w:val="24"/>
          <w:lang w:val="es-PR"/>
        </w:rPr>
        <w:t xml:space="preserve"> no tiene impacto fiscal al Fondo </w:t>
      </w:r>
      <w:r w:rsidR="000226BE" w:rsidRPr="000226BE">
        <w:rPr>
          <w:rFonts w:ascii="Book Antiqua" w:hAnsi="Book Antiqua"/>
          <w:szCs w:val="24"/>
          <w:lang w:val="es-PR"/>
        </w:rPr>
        <w:t xml:space="preserve">General.  </w:t>
      </w:r>
      <w:r w:rsidRPr="000226BE">
        <w:rPr>
          <w:rFonts w:ascii="Book Antiqua" w:hAnsi="Book Antiqua"/>
          <w:szCs w:val="24"/>
          <w:lang w:val="es-PR"/>
        </w:rPr>
        <w:t>La reglamentación que ser</w:t>
      </w:r>
      <w:r w:rsidR="00357DF5" w:rsidRPr="000226BE">
        <w:rPr>
          <w:rFonts w:ascii="Book Antiqua" w:hAnsi="Book Antiqua"/>
          <w:szCs w:val="24"/>
          <w:lang w:val="es-PR"/>
        </w:rPr>
        <w:t>í</w:t>
      </w:r>
      <w:r w:rsidRPr="000226BE">
        <w:rPr>
          <w:rFonts w:ascii="Book Antiqua" w:hAnsi="Book Antiqua"/>
          <w:szCs w:val="24"/>
          <w:lang w:val="es-PR"/>
        </w:rPr>
        <w:t xml:space="preserve">a promulgada por la Oficina del Contralor Electoral y </w:t>
      </w:r>
      <w:r w:rsidR="000226BE" w:rsidRPr="000226BE">
        <w:rPr>
          <w:rFonts w:ascii="Book Antiqua" w:hAnsi="Book Antiqua"/>
          <w:szCs w:val="24"/>
          <w:lang w:val="es-PR"/>
        </w:rPr>
        <w:t>el Poder Judicial</w:t>
      </w:r>
      <w:r w:rsidRPr="000226BE">
        <w:rPr>
          <w:rFonts w:ascii="Book Antiqua" w:hAnsi="Book Antiqua"/>
          <w:szCs w:val="24"/>
          <w:lang w:val="es-PR"/>
        </w:rPr>
        <w:t xml:space="preserve"> debe tener un efecto fiscal marginal y permite un tr</w:t>
      </w:r>
      <w:r w:rsidR="00357DF5" w:rsidRPr="000226BE">
        <w:rPr>
          <w:rFonts w:ascii="Book Antiqua" w:hAnsi="Book Antiqua"/>
          <w:szCs w:val="24"/>
          <w:lang w:val="es-PR"/>
        </w:rPr>
        <w:t>á</w:t>
      </w:r>
      <w:r w:rsidRPr="000226BE">
        <w:rPr>
          <w:rFonts w:ascii="Book Antiqua" w:hAnsi="Book Antiqua"/>
          <w:szCs w:val="24"/>
          <w:lang w:val="es-PR"/>
        </w:rPr>
        <w:t>mite m</w:t>
      </w:r>
      <w:r w:rsidR="00357DF5" w:rsidRPr="000226BE">
        <w:rPr>
          <w:rFonts w:ascii="Book Antiqua" w:hAnsi="Book Antiqua"/>
          <w:szCs w:val="24"/>
          <w:lang w:val="es-PR"/>
        </w:rPr>
        <w:t>á</w:t>
      </w:r>
      <w:r w:rsidRPr="000226BE">
        <w:rPr>
          <w:rFonts w:ascii="Book Antiqua" w:hAnsi="Book Antiqua"/>
          <w:szCs w:val="24"/>
          <w:lang w:val="es-PR"/>
        </w:rPr>
        <w:t xml:space="preserve">s flexible en los esfuerzos de comunicación de esa </w:t>
      </w:r>
      <w:r w:rsidR="000226BE" w:rsidRPr="000226BE">
        <w:rPr>
          <w:rFonts w:ascii="Book Antiqua" w:hAnsi="Book Antiqua"/>
          <w:szCs w:val="24"/>
          <w:lang w:val="es-PR"/>
        </w:rPr>
        <w:t>rama de gobierno</w:t>
      </w:r>
      <w:r w:rsidRPr="000226BE">
        <w:rPr>
          <w:rFonts w:ascii="Book Antiqua" w:hAnsi="Book Antiqua"/>
          <w:szCs w:val="24"/>
          <w:lang w:val="es-PR"/>
        </w:rPr>
        <w:t xml:space="preserve"> durante el periodo electoral, pero sin atenerse necesariamente al proceso de revisión ordinario de la Oficina del Contralor </w:t>
      </w:r>
      <w:r w:rsidR="00357DF5" w:rsidRPr="000226BE">
        <w:rPr>
          <w:rFonts w:ascii="Book Antiqua" w:hAnsi="Book Antiqua"/>
          <w:szCs w:val="24"/>
          <w:lang w:val="es-PR"/>
        </w:rPr>
        <w:t>Electoral</w:t>
      </w:r>
      <w:r w:rsidRPr="000226BE">
        <w:rPr>
          <w:rFonts w:ascii="Book Antiqua" w:hAnsi="Book Antiqua"/>
          <w:szCs w:val="24"/>
          <w:lang w:val="es-PR"/>
        </w:rPr>
        <w:t xml:space="preserve">. </w:t>
      </w:r>
    </w:p>
    <w:p w14:paraId="53090D66" w14:textId="77777777" w:rsidR="006B291B" w:rsidRDefault="006B291B" w:rsidP="003547C3">
      <w:pPr>
        <w:pStyle w:val="ListParagraph"/>
        <w:spacing w:after="240"/>
        <w:ind w:left="0"/>
        <w:jc w:val="center"/>
        <w:rPr>
          <w:rFonts w:ascii="Book Antiqua" w:hAnsi="Book Antiqua"/>
          <w:b/>
          <w:bCs/>
          <w:i/>
          <w:iCs/>
          <w:smallCaps/>
          <w:szCs w:val="24"/>
          <w:lang w:val="es-PR"/>
        </w:rPr>
      </w:pPr>
    </w:p>
    <w:p w14:paraId="09E703C5" w14:textId="33C621BD" w:rsidR="00644DC7" w:rsidRPr="000226BE" w:rsidRDefault="00644DC7" w:rsidP="003547C3">
      <w:pPr>
        <w:pStyle w:val="ListParagraph"/>
        <w:spacing w:after="240"/>
        <w:ind w:left="0"/>
        <w:jc w:val="center"/>
        <w:rPr>
          <w:rFonts w:ascii="Book Antiqua" w:hAnsi="Book Antiqua"/>
          <w:b/>
          <w:bCs/>
          <w:i/>
          <w:iCs/>
          <w:smallCaps/>
          <w:szCs w:val="24"/>
          <w:lang w:val="es-PR"/>
        </w:rPr>
      </w:pPr>
      <w:r w:rsidRPr="000226BE">
        <w:rPr>
          <w:rFonts w:ascii="Book Antiqua" w:hAnsi="Book Antiqua"/>
          <w:b/>
          <w:bCs/>
          <w:i/>
          <w:iCs/>
          <w:smallCaps/>
          <w:szCs w:val="24"/>
          <w:lang w:val="es-PR"/>
        </w:rPr>
        <w:t>Impacto Fiscal</w:t>
      </w:r>
    </w:p>
    <w:p w14:paraId="30D3E33B" w14:textId="0F9174EE" w:rsidR="009B726E" w:rsidRPr="000226BE" w:rsidRDefault="00D83609" w:rsidP="00D83609">
      <w:pPr>
        <w:widowControl w:val="0"/>
        <w:autoSpaceDE w:val="0"/>
        <w:autoSpaceDN w:val="0"/>
        <w:adjustRightInd w:val="0"/>
        <w:spacing w:line="282" w:lineRule="atLeast"/>
        <w:ind w:left="9" w:right="31" w:firstLine="711"/>
        <w:jc w:val="both"/>
        <w:rPr>
          <w:rFonts w:ascii="Book Antiqua" w:hAnsi="Book Antiqua"/>
          <w:lang w:val="es-PR"/>
        </w:rPr>
      </w:pPr>
      <w:r w:rsidRPr="000226BE">
        <w:rPr>
          <w:rFonts w:ascii="Book Antiqua" w:hAnsi="Book Antiqua"/>
          <w:lang w:val="es-PR"/>
        </w:rPr>
        <w:t>Conforme el análisis y los hallazgos de la medida, la Comisión de Gobierno</w:t>
      </w:r>
      <w:r w:rsidR="00E00A76" w:rsidRPr="000226BE">
        <w:rPr>
          <w:rFonts w:ascii="Book Antiqua" w:hAnsi="Book Antiqua"/>
          <w:lang w:val="es-PR"/>
        </w:rPr>
        <w:t xml:space="preserve"> coincide con la determinación de la OPAL y</w:t>
      </w:r>
      <w:r w:rsidRPr="000226BE">
        <w:rPr>
          <w:rFonts w:ascii="Book Antiqua" w:hAnsi="Book Antiqua"/>
          <w:lang w:val="es-PR"/>
        </w:rPr>
        <w:t xml:space="preserve"> entiende que </w:t>
      </w:r>
      <w:r w:rsidR="00623DA7" w:rsidRPr="000226BE">
        <w:rPr>
          <w:rFonts w:ascii="Book Antiqua" w:hAnsi="Book Antiqua"/>
          <w:lang w:val="es-PR"/>
        </w:rPr>
        <w:t>su aprobación</w:t>
      </w:r>
      <w:r w:rsidRPr="000226BE">
        <w:rPr>
          <w:rFonts w:ascii="Book Antiqua" w:hAnsi="Book Antiqua"/>
          <w:lang w:val="es-PR"/>
        </w:rPr>
        <w:t xml:space="preserve"> no tendrá impacto fiscal sobre los presupuestos de las agencias, departamentos, organismos, instrumentalidades, o corporaciones públicas</w:t>
      </w:r>
      <w:r w:rsidR="00623DA7" w:rsidRPr="000226BE">
        <w:rPr>
          <w:rFonts w:ascii="Book Antiqua" w:hAnsi="Book Antiqua"/>
          <w:lang w:val="es-PR"/>
        </w:rPr>
        <w:t xml:space="preserve"> del Gobierno de Puerto Rico</w:t>
      </w:r>
      <w:r w:rsidRPr="000226BE">
        <w:rPr>
          <w:rFonts w:ascii="Book Antiqua" w:hAnsi="Book Antiqua"/>
          <w:lang w:val="es-PR"/>
        </w:rPr>
        <w:t xml:space="preserve">.  </w:t>
      </w:r>
    </w:p>
    <w:p w14:paraId="7FB10D4F" w14:textId="77777777" w:rsidR="00D83609" w:rsidRPr="000226BE" w:rsidRDefault="00D83609" w:rsidP="00D83609">
      <w:pPr>
        <w:widowControl w:val="0"/>
        <w:autoSpaceDE w:val="0"/>
        <w:autoSpaceDN w:val="0"/>
        <w:adjustRightInd w:val="0"/>
        <w:spacing w:line="282" w:lineRule="atLeast"/>
        <w:ind w:left="9" w:right="31" w:firstLine="711"/>
        <w:jc w:val="both"/>
        <w:rPr>
          <w:rFonts w:ascii="Book Antiqua" w:hAnsi="Book Antiqua"/>
          <w:color w:val="000000"/>
          <w:spacing w:val="-3"/>
          <w:szCs w:val="24"/>
          <w:lang w:val="es-PR"/>
        </w:rPr>
      </w:pPr>
    </w:p>
    <w:p w14:paraId="34951458" w14:textId="0391F1DF" w:rsidR="006705DD" w:rsidRPr="000226BE" w:rsidRDefault="001C4F87" w:rsidP="006A2AAE">
      <w:pPr>
        <w:widowControl w:val="0"/>
        <w:autoSpaceDE w:val="0"/>
        <w:autoSpaceDN w:val="0"/>
        <w:adjustRightInd w:val="0"/>
        <w:spacing w:line="282" w:lineRule="atLeast"/>
        <w:ind w:left="9" w:right="31"/>
        <w:jc w:val="center"/>
        <w:rPr>
          <w:rFonts w:ascii="Book Antiqua" w:hAnsi="Book Antiqua"/>
          <w:b/>
          <w:i/>
          <w:smallCaps/>
          <w:szCs w:val="24"/>
          <w:lang w:val="es-PR"/>
        </w:rPr>
      </w:pPr>
      <w:r w:rsidRPr="000226BE">
        <w:rPr>
          <w:rFonts w:ascii="Book Antiqua" w:hAnsi="Book Antiqua"/>
          <w:b/>
          <w:i/>
          <w:smallCaps/>
          <w:szCs w:val="24"/>
          <w:lang w:val="es-PR"/>
        </w:rPr>
        <w:t xml:space="preserve">Recomendaciones y </w:t>
      </w:r>
      <w:r w:rsidR="006705DD" w:rsidRPr="000226BE">
        <w:rPr>
          <w:rFonts w:ascii="Book Antiqua" w:hAnsi="Book Antiqua"/>
          <w:b/>
          <w:i/>
          <w:smallCaps/>
          <w:szCs w:val="24"/>
          <w:lang w:val="es-PR"/>
        </w:rPr>
        <w:t>Conclusión</w:t>
      </w:r>
    </w:p>
    <w:p w14:paraId="33B8EA9D" w14:textId="77777777" w:rsidR="008A11F5" w:rsidRPr="000226BE" w:rsidRDefault="008A11F5" w:rsidP="006A2AAE">
      <w:pPr>
        <w:widowControl w:val="0"/>
        <w:autoSpaceDE w:val="0"/>
        <w:autoSpaceDN w:val="0"/>
        <w:adjustRightInd w:val="0"/>
        <w:spacing w:line="282" w:lineRule="atLeast"/>
        <w:ind w:left="9" w:right="31"/>
        <w:jc w:val="center"/>
        <w:rPr>
          <w:rFonts w:ascii="Book Antiqua" w:hAnsi="Book Antiqua"/>
          <w:b/>
          <w:i/>
          <w:smallCaps/>
          <w:szCs w:val="24"/>
          <w:lang w:val="es-PR"/>
        </w:rPr>
      </w:pPr>
    </w:p>
    <w:p w14:paraId="60A3C33E" w14:textId="68A40D8F" w:rsidR="00893C12" w:rsidRPr="004E0408" w:rsidRDefault="008A11F5" w:rsidP="004E0408">
      <w:pPr>
        <w:widowControl w:val="0"/>
        <w:autoSpaceDE w:val="0"/>
        <w:autoSpaceDN w:val="0"/>
        <w:adjustRightInd w:val="0"/>
        <w:spacing w:line="282" w:lineRule="atLeast"/>
        <w:ind w:left="9" w:right="31"/>
        <w:jc w:val="both"/>
        <w:rPr>
          <w:rFonts w:ascii="Book Antiqua" w:eastAsia="Book Antiqua" w:hAnsi="Book Antiqua" w:cs="Book Antiqua"/>
          <w:color w:val="000000" w:themeColor="text1"/>
          <w:lang w:val="es-PR"/>
        </w:rPr>
      </w:pPr>
      <w:r w:rsidRPr="000226BE">
        <w:rPr>
          <w:rFonts w:ascii="Book Antiqua" w:hAnsi="Book Antiqua"/>
          <w:bCs/>
          <w:iCs/>
          <w:smallCaps/>
          <w:szCs w:val="24"/>
          <w:lang w:val="es-PR"/>
        </w:rPr>
        <w:tab/>
      </w:r>
      <w:r w:rsidR="00DF770E">
        <w:rPr>
          <w:rFonts w:ascii="Book Antiqua" w:hAnsi="Book Antiqua"/>
          <w:bCs/>
          <w:iCs/>
          <w:szCs w:val="24"/>
          <w:lang w:val="es-PR"/>
        </w:rPr>
        <w:t xml:space="preserve">La Comisión de Gobierno </w:t>
      </w:r>
      <w:r w:rsidR="00543E65">
        <w:rPr>
          <w:rFonts w:ascii="Book Antiqua" w:hAnsi="Book Antiqua"/>
          <w:bCs/>
          <w:iCs/>
          <w:szCs w:val="24"/>
          <w:lang w:val="es-PR"/>
        </w:rPr>
        <w:t>coincide con las entidades consultadas y considera</w:t>
      </w:r>
      <w:r w:rsidR="00DF770E">
        <w:rPr>
          <w:rFonts w:ascii="Book Antiqua" w:hAnsi="Book Antiqua"/>
          <w:bCs/>
          <w:iCs/>
          <w:szCs w:val="24"/>
          <w:lang w:val="es-PR"/>
        </w:rPr>
        <w:t xml:space="preserve"> que </w:t>
      </w:r>
      <w:r w:rsidR="002510F1">
        <w:rPr>
          <w:rFonts w:ascii="Book Antiqua" w:hAnsi="Book Antiqua"/>
          <w:bCs/>
          <w:iCs/>
          <w:szCs w:val="24"/>
          <w:lang w:val="es-PR"/>
        </w:rPr>
        <w:t xml:space="preserve">la medida </w:t>
      </w:r>
      <w:r w:rsidR="00DF770E">
        <w:rPr>
          <w:rFonts w:ascii="Book Antiqua" w:hAnsi="Book Antiqua"/>
          <w:bCs/>
          <w:iCs/>
          <w:szCs w:val="24"/>
          <w:lang w:val="es-PR"/>
        </w:rPr>
        <w:t xml:space="preserve">no menoscaba el propósito que generó </w:t>
      </w:r>
      <w:r w:rsidR="00DF770E" w:rsidRPr="00840108">
        <w:rPr>
          <w:rFonts w:ascii="Book Antiqua" w:eastAsia="Book Antiqua" w:hAnsi="Book Antiqua" w:cs="Book Antiqua"/>
          <w:color w:val="000000" w:themeColor="text1"/>
          <w:lang w:val="es-PR"/>
        </w:rPr>
        <w:t xml:space="preserve">el lenguaje </w:t>
      </w:r>
      <w:r w:rsidR="00DF770E">
        <w:rPr>
          <w:rFonts w:ascii="Book Antiqua" w:eastAsia="Book Antiqua" w:hAnsi="Book Antiqua" w:cs="Book Antiqua"/>
          <w:color w:val="000000" w:themeColor="text1"/>
          <w:lang w:val="es-PR"/>
        </w:rPr>
        <w:t>del Artículo 10.006 de</w:t>
      </w:r>
      <w:r w:rsidR="00DF770E" w:rsidRPr="00840108">
        <w:rPr>
          <w:rFonts w:ascii="Book Antiqua" w:eastAsia="Book Antiqua" w:hAnsi="Book Antiqua" w:cs="Book Antiqua"/>
          <w:color w:val="000000" w:themeColor="text1"/>
          <w:lang w:val="es-PR"/>
        </w:rPr>
        <w:t xml:space="preserve"> la Ley 222</w:t>
      </w:r>
      <w:r w:rsidR="00DF770E" w:rsidRPr="000226BE">
        <w:rPr>
          <w:rFonts w:ascii="Book Antiqua" w:eastAsia="Book Antiqua" w:hAnsi="Book Antiqua" w:cs="Book Antiqua"/>
          <w:color w:val="000000" w:themeColor="text1"/>
          <w:lang w:val="es-PR"/>
        </w:rPr>
        <w:t>-2011</w:t>
      </w:r>
      <w:r w:rsidR="00DF770E">
        <w:rPr>
          <w:rFonts w:ascii="Book Antiqua" w:eastAsia="Book Antiqua" w:hAnsi="Book Antiqua" w:cs="Book Antiqua"/>
          <w:color w:val="000000" w:themeColor="text1"/>
          <w:lang w:val="es-PR"/>
        </w:rPr>
        <w:t>, según enmendada,</w:t>
      </w:r>
      <w:r w:rsidR="00543E65">
        <w:rPr>
          <w:rFonts w:ascii="Book Antiqua" w:eastAsia="Book Antiqua" w:hAnsi="Book Antiqua" w:cs="Book Antiqua"/>
          <w:color w:val="000000" w:themeColor="text1"/>
          <w:lang w:val="es-PR"/>
        </w:rPr>
        <w:t xml:space="preserve"> </w:t>
      </w:r>
      <w:r w:rsidR="00E60F91">
        <w:rPr>
          <w:rFonts w:ascii="Book Antiqua" w:eastAsia="Book Antiqua" w:hAnsi="Book Antiqua" w:cs="Book Antiqua"/>
          <w:color w:val="000000" w:themeColor="text1"/>
          <w:lang w:val="es-PR"/>
        </w:rPr>
        <w:t xml:space="preserve">y </w:t>
      </w:r>
      <w:r w:rsidR="00543E65">
        <w:rPr>
          <w:rFonts w:ascii="Book Antiqua" w:eastAsia="Book Antiqua" w:hAnsi="Book Antiqua" w:cs="Book Antiqua"/>
          <w:color w:val="000000" w:themeColor="text1"/>
          <w:lang w:val="es-PR"/>
        </w:rPr>
        <w:t xml:space="preserve">que busca </w:t>
      </w:r>
      <w:r w:rsidR="00543E65" w:rsidRPr="00840108">
        <w:rPr>
          <w:rFonts w:ascii="Book Antiqua" w:eastAsia="Book Antiqua" w:hAnsi="Book Antiqua" w:cs="Book Antiqua"/>
          <w:color w:val="000000" w:themeColor="text1"/>
          <w:lang w:val="es-PR"/>
        </w:rPr>
        <w:t>evitar el uso de fondos públicos para adelantar intereses político-partidistas</w:t>
      </w:r>
      <w:r w:rsidR="00543E65">
        <w:rPr>
          <w:rFonts w:ascii="Book Antiqua" w:eastAsia="Book Antiqua" w:hAnsi="Book Antiqua" w:cs="Book Antiqua"/>
          <w:color w:val="000000" w:themeColor="text1"/>
          <w:lang w:val="es-PR"/>
        </w:rPr>
        <w:t xml:space="preserve">.  </w:t>
      </w:r>
      <w:r w:rsidR="002510F1">
        <w:rPr>
          <w:rFonts w:ascii="Book Antiqua" w:eastAsia="Book Antiqua" w:hAnsi="Book Antiqua" w:cs="Book Antiqua"/>
          <w:color w:val="000000" w:themeColor="text1"/>
          <w:lang w:val="es-PR"/>
        </w:rPr>
        <w:t xml:space="preserve">El Poder Judicial </w:t>
      </w:r>
      <w:r w:rsidR="002510F1">
        <w:rPr>
          <w:rFonts w:ascii="Book Antiqua" w:hAnsi="Book Antiqua"/>
          <w:lang w:val="es-ES"/>
        </w:rPr>
        <w:t xml:space="preserve">podrá cumplir eficazmente con la publicación de los avisos exigidos por ley, y con su responsabilidad de promulgar </w:t>
      </w:r>
      <w:r w:rsidR="002510F1" w:rsidRPr="000226BE">
        <w:rPr>
          <w:rFonts w:ascii="Book Antiqua" w:hAnsi="Book Antiqua"/>
          <w:szCs w:val="24"/>
          <w:lang w:val="es-PR"/>
        </w:rPr>
        <w:t>material informativo cuyo propósito es la educación y orientación a la comunidad</w:t>
      </w:r>
      <w:r w:rsidR="002510F1">
        <w:rPr>
          <w:rFonts w:ascii="Book Antiqua" w:hAnsi="Book Antiqua"/>
          <w:szCs w:val="24"/>
          <w:lang w:val="es-PR"/>
        </w:rPr>
        <w:t xml:space="preserve"> en general.</w:t>
      </w:r>
      <w:r w:rsidR="004E0408">
        <w:rPr>
          <w:rFonts w:ascii="Book Antiqua" w:hAnsi="Book Antiqua"/>
          <w:szCs w:val="24"/>
          <w:lang w:val="es-PR"/>
        </w:rPr>
        <w:t xml:space="preserve">  </w:t>
      </w:r>
      <w:r w:rsidR="006D7BDE">
        <w:rPr>
          <w:rFonts w:ascii="Book Antiqua" w:eastAsia="Book Antiqua" w:hAnsi="Book Antiqua" w:cs="Book Antiqua"/>
          <w:color w:val="000000" w:themeColor="text1"/>
          <w:lang w:val="es-PR"/>
        </w:rPr>
        <w:t xml:space="preserve">La Oficina del Contralor Electoral y el Poder Judicial deberán </w:t>
      </w:r>
      <w:r w:rsidR="00E60F91">
        <w:rPr>
          <w:rFonts w:ascii="Book Antiqua" w:eastAsia="Book Antiqua" w:hAnsi="Book Antiqua" w:cs="Book Antiqua"/>
          <w:color w:val="000000" w:themeColor="text1"/>
          <w:lang w:val="es-PR"/>
        </w:rPr>
        <w:t>promulgar aquella reglamentación que sea necesaria</w:t>
      </w:r>
      <w:r w:rsidR="002510F1">
        <w:rPr>
          <w:rFonts w:ascii="Book Antiqua" w:eastAsia="Book Antiqua" w:hAnsi="Book Antiqua" w:cs="Book Antiqua"/>
          <w:color w:val="000000" w:themeColor="text1"/>
          <w:lang w:val="es-PR"/>
        </w:rPr>
        <w:t xml:space="preserve"> y conveniente</w:t>
      </w:r>
      <w:r w:rsidR="00E60F91">
        <w:rPr>
          <w:rFonts w:ascii="Book Antiqua" w:eastAsia="Book Antiqua" w:hAnsi="Book Antiqua" w:cs="Book Antiqua"/>
          <w:color w:val="000000" w:themeColor="text1"/>
          <w:lang w:val="es-PR"/>
        </w:rPr>
        <w:t xml:space="preserve"> para </w:t>
      </w:r>
      <w:r w:rsidR="00E60F91">
        <w:rPr>
          <w:rFonts w:ascii="Book Antiqua" w:hAnsi="Book Antiqua"/>
          <w:lang w:val="es-PR"/>
        </w:rPr>
        <w:t xml:space="preserve">asegurar que en cada año de elecciones </w:t>
      </w:r>
      <w:r w:rsidR="002510F1">
        <w:rPr>
          <w:rFonts w:ascii="Book Antiqua" w:hAnsi="Book Antiqua"/>
          <w:lang w:val="es-PR"/>
        </w:rPr>
        <w:t xml:space="preserve">no </w:t>
      </w:r>
      <w:r w:rsidR="00E60F91">
        <w:rPr>
          <w:rFonts w:ascii="Book Antiqua" w:hAnsi="Book Antiqua"/>
          <w:lang w:val="es-PR"/>
        </w:rPr>
        <w:t xml:space="preserve">se realicen gastos de fondos públicos que </w:t>
      </w:r>
      <w:r w:rsidR="002510F1">
        <w:rPr>
          <w:rFonts w:ascii="Book Antiqua" w:hAnsi="Book Antiqua"/>
          <w:lang w:val="es-PR"/>
        </w:rPr>
        <w:t>puedan</w:t>
      </w:r>
      <w:r w:rsidR="00E60F91">
        <w:rPr>
          <w:rFonts w:ascii="Book Antiqua" w:hAnsi="Book Antiqua"/>
          <w:lang w:val="es-PR"/>
        </w:rPr>
        <w:t xml:space="preserve"> interpretarse como que tienen e</w:t>
      </w:r>
      <w:r w:rsidR="00E60F91" w:rsidRPr="00E859B4">
        <w:rPr>
          <w:rFonts w:ascii="Book Antiqua" w:hAnsi="Book Antiqua"/>
          <w:lang w:val="es-ES"/>
        </w:rPr>
        <w:t>l propósito</w:t>
      </w:r>
      <w:r w:rsidR="002510F1">
        <w:rPr>
          <w:rFonts w:ascii="Book Antiqua" w:hAnsi="Book Antiqua"/>
          <w:lang w:val="es-ES"/>
        </w:rPr>
        <w:t xml:space="preserve"> de adelantar intereses político-partidistas.  </w:t>
      </w:r>
    </w:p>
    <w:p w14:paraId="39CFB331" w14:textId="77777777" w:rsidR="00DF770E" w:rsidRPr="00DF770E" w:rsidRDefault="00DF770E" w:rsidP="00E00A76">
      <w:pPr>
        <w:widowControl w:val="0"/>
        <w:autoSpaceDE w:val="0"/>
        <w:autoSpaceDN w:val="0"/>
        <w:adjustRightInd w:val="0"/>
        <w:spacing w:line="282" w:lineRule="atLeast"/>
        <w:ind w:left="9" w:right="31"/>
        <w:jc w:val="both"/>
        <w:rPr>
          <w:rFonts w:ascii="Book Antiqua" w:hAnsi="Book Antiqua"/>
          <w:szCs w:val="24"/>
          <w:lang w:val="es-PR"/>
        </w:rPr>
      </w:pPr>
    </w:p>
    <w:p w14:paraId="5BCB4A7A" w14:textId="15E39CD8" w:rsidR="006705DD" w:rsidRPr="000226BE" w:rsidRDefault="00DB68E1" w:rsidP="00DB68E1">
      <w:pPr>
        <w:ind w:firstLine="720"/>
        <w:jc w:val="both"/>
        <w:rPr>
          <w:rFonts w:ascii="Book Antiqua" w:hAnsi="Book Antiqua"/>
          <w:szCs w:val="24"/>
          <w:lang w:val="es-PR"/>
        </w:rPr>
      </w:pPr>
      <w:r w:rsidRPr="000226BE">
        <w:rPr>
          <w:rFonts w:ascii="Book Antiqua" w:hAnsi="Book Antiqua"/>
          <w:szCs w:val="24"/>
          <w:lang w:val="es-PR"/>
        </w:rPr>
        <w:t>L</w:t>
      </w:r>
      <w:r w:rsidR="004C5242" w:rsidRPr="000226BE">
        <w:rPr>
          <w:rFonts w:ascii="Book Antiqua" w:hAnsi="Book Antiqua"/>
          <w:szCs w:val="24"/>
          <w:lang w:val="es-PR"/>
        </w:rPr>
        <w:t xml:space="preserve">uego de analizar </w:t>
      </w:r>
      <w:r w:rsidR="006A2AAE" w:rsidRPr="000226BE">
        <w:rPr>
          <w:rFonts w:ascii="Book Antiqua" w:hAnsi="Book Antiqua"/>
          <w:szCs w:val="24"/>
          <w:lang w:val="es-PR"/>
        </w:rPr>
        <w:t>el P</w:t>
      </w:r>
      <w:r w:rsidR="004C5242" w:rsidRPr="000226BE">
        <w:rPr>
          <w:rFonts w:ascii="Book Antiqua" w:hAnsi="Book Antiqua"/>
          <w:szCs w:val="24"/>
          <w:lang w:val="es-PR"/>
        </w:rPr>
        <w:t xml:space="preserve">royecto </w:t>
      </w:r>
      <w:r w:rsidR="006A2AAE" w:rsidRPr="000226BE">
        <w:rPr>
          <w:rFonts w:ascii="Book Antiqua" w:hAnsi="Book Antiqua"/>
          <w:szCs w:val="24"/>
          <w:lang w:val="es-PR"/>
        </w:rPr>
        <w:t>de la C</w:t>
      </w:r>
      <w:r w:rsidR="004C5242" w:rsidRPr="000226BE">
        <w:rPr>
          <w:rFonts w:ascii="Book Antiqua" w:hAnsi="Book Antiqua"/>
          <w:szCs w:val="24"/>
          <w:lang w:val="es-PR"/>
        </w:rPr>
        <w:t>ámara</w:t>
      </w:r>
      <w:r w:rsidR="006A2AAE" w:rsidRPr="000226BE">
        <w:rPr>
          <w:rFonts w:ascii="Book Antiqua" w:hAnsi="Book Antiqua"/>
          <w:szCs w:val="24"/>
          <w:lang w:val="es-PR"/>
        </w:rPr>
        <w:t xml:space="preserve"> </w:t>
      </w:r>
      <w:r w:rsidR="00623DA7" w:rsidRPr="000226BE">
        <w:rPr>
          <w:rFonts w:ascii="Book Antiqua" w:hAnsi="Book Antiqua"/>
          <w:szCs w:val="24"/>
          <w:lang w:val="es-PR"/>
        </w:rPr>
        <w:t>352</w:t>
      </w:r>
      <w:r w:rsidR="009711D1" w:rsidRPr="000226BE">
        <w:rPr>
          <w:rFonts w:ascii="Book Antiqua" w:hAnsi="Book Antiqua"/>
          <w:szCs w:val="24"/>
          <w:lang w:val="es-PR"/>
        </w:rPr>
        <w:t xml:space="preserve"> y los comentarios emitidos al </w:t>
      </w:r>
      <w:r w:rsidR="00993DE7" w:rsidRPr="000226BE">
        <w:rPr>
          <w:rFonts w:ascii="Book Antiqua" w:hAnsi="Book Antiqua"/>
          <w:szCs w:val="24"/>
          <w:lang w:val="es-PR"/>
        </w:rPr>
        <w:t xml:space="preserve">respecto, </w:t>
      </w:r>
      <w:r w:rsidR="000825B3" w:rsidRPr="000226BE">
        <w:rPr>
          <w:rFonts w:ascii="Book Antiqua" w:hAnsi="Book Antiqua"/>
          <w:szCs w:val="24"/>
          <w:lang w:val="es-PR"/>
        </w:rPr>
        <w:t xml:space="preserve">la Comisión de Gobierno </w:t>
      </w:r>
      <w:r w:rsidR="0038503A" w:rsidRPr="000226BE">
        <w:rPr>
          <w:rFonts w:ascii="Book Antiqua" w:hAnsi="Book Antiqua"/>
          <w:szCs w:val="24"/>
          <w:lang w:val="es-PR"/>
        </w:rPr>
        <w:t>de la Cámara de Representantes</w:t>
      </w:r>
      <w:r w:rsidR="001423CC" w:rsidRPr="000226BE">
        <w:rPr>
          <w:rFonts w:ascii="Book Antiqua" w:hAnsi="Book Antiqua"/>
          <w:szCs w:val="24"/>
          <w:lang w:val="es-PR"/>
        </w:rPr>
        <w:t xml:space="preserve"> de Puerto Rico</w:t>
      </w:r>
      <w:r w:rsidR="0038503A" w:rsidRPr="000226BE">
        <w:rPr>
          <w:rFonts w:ascii="Book Antiqua" w:hAnsi="Book Antiqua"/>
          <w:szCs w:val="24"/>
          <w:lang w:val="es-PR"/>
        </w:rPr>
        <w:t xml:space="preserve">, </w:t>
      </w:r>
      <w:r w:rsidR="006705DD" w:rsidRPr="000226BE">
        <w:rPr>
          <w:rFonts w:ascii="Book Antiqua" w:hAnsi="Book Antiqua"/>
          <w:szCs w:val="24"/>
          <w:lang w:val="es-PR"/>
        </w:rPr>
        <w:t>recomienda</w:t>
      </w:r>
      <w:r w:rsidR="008B01E9" w:rsidRPr="000226BE">
        <w:rPr>
          <w:rFonts w:ascii="Book Antiqua" w:hAnsi="Book Antiqua"/>
          <w:szCs w:val="24"/>
          <w:lang w:val="es-PR"/>
        </w:rPr>
        <w:t>n</w:t>
      </w:r>
      <w:r w:rsidR="006705DD" w:rsidRPr="000226BE">
        <w:rPr>
          <w:rFonts w:ascii="Book Antiqua" w:hAnsi="Book Antiqua"/>
          <w:szCs w:val="24"/>
          <w:lang w:val="es-PR"/>
        </w:rPr>
        <w:t xml:space="preserve"> a este Alto Cuerpo </w:t>
      </w:r>
      <w:r w:rsidR="00B674DD" w:rsidRPr="000226BE">
        <w:rPr>
          <w:rFonts w:ascii="Book Antiqua" w:hAnsi="Book Antiqua"/>
          <w:szCs w:val="24"/>
          <w:lang w:val="es-PR"/>
        </w:rPr>
        <w:t>su aprobación</w:t>
      </w:r>
      <w:r w:rsidR="009C5C62" w:rsidRPr="000226BE">
        <w:rPr>
          <w:rFonts w:ascii="Book Antiqua" w:hAnsi="Book Antiqua"/>
          <w:szCs w:val="24"/>
          <w:lang w:val="es-PR"/>
        </w:rPr>
        <w:t>,</w:t>
      </w:r>
      <w:r w:rsidR="006705DD" w:rsidRPr="000226BE">
        <w:rPr>
          <w:rFonts w:ascii="Book Antiqua" w:hAnsi="Book Antiqua"/>
          <w:szCs w:val="24"/>
          <w:lang w:val="es-PR"/>
        </w:rPr>
        <w:t xml:space="preserve"> con las enmiendas que se incluyen en el ent</w:t>
      </w:r>
      <w:r w:rsidR="00AE78CC">
        <w:rPr>
          <w:rFonts w:ascii="Book Antiqua" w:hAnsi="Book Antiqua"/>
          <w:szCs w:val="24"/>
          <w:lang w:val="es-PR"/>
        </w:rPr>
        <w:t>i</w:t>
      </w:r>
      <w:r w:rsidR="006705DD" w:rsidRPr="000226BE">
        <w:rPr>
          <w:rFonts w:ascii="Book Antiqua" w:hAnsi="Book Antiqua"/>
          <w:szCs w:val="24"/>
          <w:lang w:val="es-PR"/>
        </w:rPr>
        <w:t xml:space="preserve">rillado electrónico que acompaña </w:t>
      </w:r>
      <w:r w:rsidR="009C5C62" w:rsidRPr="000226BE">
        <w:rPr>
          <w:rFonts w:ascii="Book Antiqua" w:hAnsi="Book Antiqua"/>
          <w:szCs w:val="24"/>
          <w:lang w:val="es-PR"/>
        </w:rPr>
        <w:t>este</w:t>
      </w:r>
      <w:r w:rsidR="006705DD" w:rsidRPr="000226BE">
        <w:rPr>
          <w:rFonts w:ascii="Book Antiqua" w:hAnsi="Book Antiqua"/>
          <w:szCs w:val="24"/>
          <w:lang w:val="es-PR"/>
        </w:rPr>
        <w:t xml:space="preserve"> </w:t>
      </w:r>
      <w:r w:rsidR="00C964F2" w:rsidRPr="000226BE">
        <w:rPr>
          <w:rFonts w:ascii="Book Antiqua" w:hAnsi="Book Antiqua"/>
          <w:szCs w:val="24"/>
          <w:lang w:val="es-PR"/>
        </w:rPr>
        <w:t>I</w:t>
      </w:r>
      <w:r w:rsidR="009C5C62" w:rsidRPr="000226BE">
        <w:rPr>
          <w:rFonts w:ascii="Book Antiqua" w:hAnsi="Book Antiqua"/>
          <w:szCs w:val="24"/>
          <w:lang w:val="es-PR"/>
        </w:rPr>
        <w:t>nforme</w:t>
      </w:r>
      <w:r w:rsidR="006705DD" w:rsidRPr="000226BE">
        <w:rPr>
          <w:rFonts w:ascii="Book Antiqua" w:hAnsi="Book Antiqua"/>
          <w:szCs w:val="24"/>
          <w:lang w:val="es-PR"/>
        </w:rPr>
        <w:t>.</w:t>
      </w:r>
    </w:p>
    <w:p w14:paraId="20F50B34" w14:textId="77777777" w:rsidR="006705DD" w:rsidRPr="000226BE" w:rsidRDefault="006705DD" w:rsidP="00D94B25">
      <w:pPr>
        <w:jc w:val="both"/>
        <w:rPr>
          <w:rFonts w:ascii="Book Antiqua" w:hAnsi="Book Antiqua"/>
          <w:szCs w:val="24"/>
          <w:lang w:val="es-PR"/>
        </w:rPr>
      </w:pPr>
    </w:p>
    <w:p w14:paraId="73BB9E68" w14:textId="77777777" w:rsidR="006705DD" w:rsidRPr="000226BE" w:rsidRDefault="006705DD" w:rsidP="00D94B25">
      <w:pPr>
        <w:jc w:val="both"/>
        <w:rPr>
          <w:rFonts w:ascii="Book Antiqua" w:hAnsi="Book Antiqua"/>
          <w:szCs w:val="24"/>
          <w:lang w:val="es-PR"/>
        </w:rPr>
      </w:pPr>
      <w:r w:rsidRPr="000226BE">
        <w:rPr>
          <w:rFonts w:ascii="Book Antiqua" w:hAnsi="Book Antiqua"/>
          <w:szCs w:val="24"/>
          <w:lang w:val="es-PR"/>
        </w:rPr>
        <w:t>Respetuosamente sometido,</w:t>
      </w:r>
    </w:p>
    <w:p w14:paraId="7FB8F7C9" w14:textId="77777777" w:rsidR="006705DD" w:rsidRPr="000226BE" w:rsidRDefault="006705DD" w:rsidP="00D94B25">
      <w:pPr>
        <w:jc w:val="both"/>
        <w:rPr>
          <w:rFonts w:ascii="Book Antiqua" w:hAnsi="Book Antiqua"/>
          <w:szCs w:val="24"/>
          <w:lang w:val="es-PR"/>
        </w:rPr>
      </w:pPr>
    </w:p>
    <w:p w14:paraId="7606CB88" w14:textId="77777777" w:rsidR="006705DD" w:rsidRDefault="006705DD" w:rsidP="00D94B25">
      <w:pPr>
        <w:jc w:val="both"/>
        <w:rPr>
          <w:rFonts w:ascii="Book Antiqua" w:hAnsi="Book Antiqua"/>
          <w:b/>
          <w:szCs w:val="24"/>
          <w:lang w:val="es-PR"/>
        </w:rPr>
      </w:pPr>
    </w:p>
    <w:p w14:paraId="74B470A2" w14:textId="77777777" w:rsidR="009A216D" w:rsidRPr="000226BE" w:rsidRDefault="009A216D" w:rsidP="00D94B25">
      <w:pPr>
        <w:jc w:val="both"/>
        <w:rPr>
          <w:rFonts w:ascii="Book Antiqua" w:hAnsi="Book Antiqua"/>
          <w:b/>
          <w:szCs w:val="24"/>
          <w:lang w:val="es-PR"/>
        </w:rPr>
      </w:pPr>
    </w:p>
    <w:p w14:paraId="03EF6809" w14:textId="77777777" w:rsidR="00C63CAC" w:rsidRPr="000226BE" w:rsidRDefault="00C63CAC" w:rsidP="00D94B25">
      <w:pPr>
        <w:jc w:val="both"/>
        <w:rPr>
          <w:rFonts w:ascii="Book Antiqua" w:hAnsi="Book Antiqua"/>
          <w:b/>
          <w:szCs w:val="24"/>
          <w:lang w:val="es-PR"/>
        </w:rPr>
      </w:pPr>
    </w:p>
    <w:p w14:paraId="7DBB27CC" w14:textId="69C7CEB9" w:rsidR="006705DD" w:rsidRPr="000226BE" w:rsidRDefault="007A37FF" w:rsidP="00D94B25">
      <w:pPr>
        <w:jc w:val="both"/>
        <w:rPr>
          <w:rFonts w:ascii="Book Antiqua" w:hAnsi="Book Antiqua"/>
          <w:b/>
          <w:bCs/>
          <w:i/>
          <w:iCs/>
          <w:szCs w:val="24"/>
          <w:lang w:val="es-PR"/>
        </w:rPr>
      </w:pPr>
      <w:r>
        <w:rPr>
          <w:rFonts w:ascii="Book Antiqua" w:hAnsi="Book Antiqua"/>
          <w:b/>
          <w:i/>
          <w:szCs w:val="24"/>
          <w:lang w:val="es-PR"/>
        </w:rPr>
        <w:t xml:space="preserve">Hon. </w:t>
      </w:r>
      <w:r w:rsidR="00A92F66" w:rsidRPr="000226BE">
        <w:rPr>
          <w:rFonts w:ascii="Book Antiqua" w:hAnsi="Book Antiqua"/>
          <w:b/>
          <w:i/>
          <w:szCs w:val="24"/>
          <w:lang w:val="es-PR"/>
        </w:rPr>
        <w:t xml:space="preserve">Víctor Parés Otero </w:t>
      </w:r>
      <w:r w:rsidR="00CD7193" w:rsidRPr="000226BE">
        <w:rPr>
          <w:rFonts w:ascii="Book Antiqua" w:hAnsi="Book Antiqua"/>
          <w:b/>
          <w:i/>
          <w:szCs w:val="24"/>
          <w:lang w:val="es-PR"/>
        </w:rPr>
        <w:tab/>
      </w:r>
      <w:r w:rsidR="00CE3359" w:rsidRPr="000226BE">
        <w:rPr>
          <w:rFonts w:ascii="Book Antiqua" w:hAnsi="Book Antiqua"/>
          <w:b/>
          <w:i/>
          <w:szCs w:val="24"/>
          <w:lang w:val="es-PR"/>
        </w:rPr>
        <w:tab/>
      </w:r>
      <w:r w:rsidR="00CE3359" w:rsidRPr="000226BE">
        <w:rPr>
          <w:rFonts w:ascii="Book Antiqua" w:hAnsi="Book Antiqua"/>
          <w:b/>
          <w:i/>
          <w:szCs w:val="24"/>
          <w:lang w:val="es-PR"/>
        </w:rPr>
        <w:tab/>
      </w:r>
      <w:r w:rsidR="00CE3359" w:rsidRPr="000226BE">
        <w:rPr>
          <w:rFonts w:ascii="Book Antiqua" w:hAnsi="Book Antiqua"/>
          <w:b/>
          <w:i/>
          <w:szCs w:val="24"/>
          <w:lang w:val="es-PR"/>
        </w:rPr>
        <w:tab/>
      </w:r>
      <w:r w:rsidR="00CE3359" w:rsidRPr="000226BE">
        <w:rPr>
          <w:rFonts w:ascii="Book Antiqua" w:hAnsi="Book Antiqua"/>
          <w:b/>
          <w:i/>
          <w:szCs w:val="24"/>
          <w:lang w:val="es-PR"/>
        </w:rPr>
        <w:tab/>
      </w:r>
      <w:r w:rsidR="00CD7193" w:rsidRPr="000226BE">
        <w:rPr>
          <w:rFonts w:ascii="Book Antiqua" w:hAnsi="Book Antiqua"/>
          <w:b/>
          <w:i/>
          <w:szCs w:val="24"/>
          <w:lang w:val="es-PR"/>
        </w:rPr>
        <w:tab/>
      </w:r>
    </w:p>
    <w:p w14:paraId="1314A131" w14:textId="51671A85" w:rsidR="001423CC" w:rsidRPr="000226BE" w:rsidRDefault="006705DD" w:rsidP="00D94B25">
      <w:pPr>
        <w:jc w:val="both"/>
        <w:rPr>
          <w:rFonts w:ascii="Book Antiqua" w:hAnsi="Book Antiqua"/>
          <w:szCs w:val="24"/>
          <w:lang w:val="es-PR"/>
        </w:rPr>
      </w:pPr>
      <w:r w:rsidRPr="000226BE">
        <w:rPr>
          <w:rFonts w:ascii="Book Antiqua" w:hAnsi="Book Antiqua"/>
          <w:szCs w:val="24"/>
          <w:lang w:val="es-PR"/>
        </w:rPr>
        <w:t>Presidente</w:t>
      </w:r>
      <w:r w:rsidR="00CE3359"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p>
    <w:p w14:paraId="16261E9B" w14:textId="7B714B76" w:rsidR="00665E04" w:rsidRPr="000226BE" w:rsidRDefault="001423CC" w:rsidP="00584F3B">
      <w:pPr>
        <w:jc w:val="both"/>
        <w:rPr>
          <w:rFonts w:ascii="Book Antiqua" w:hAnsi="Book Antiqua"/>
          <w:szCs w:val="24"/>
          <w:lang w:val="es-PR"/>
        </w:rPr>
      </w:pPr>
      <w:r w:rsidRPr="000226BE">
        <w:rPr>
          <w:rFonts w:ascii="Book Antiqua" w:hAnsi="Book Antiqua"/>
          <w:szCs w:val="24"/>
          <w:lang w:val="es-PR"/>
        </w:rPr>
        <w:t>C</w:t>
      </w:r>
      <w:r w:rsidR="00CD7193" w:rsidRPr="000226BE">
        <w:rPr>
          <w:rFonts w:ascii="Book Antiqua" w:hAnsi="Book Antiqua"/>
          <w:szCs w:val="24"/>
          <w:lang w:val="es-PR"/>
        </w:rPr>
        <w:t xml:space="preserve">omisión de </w:t>
      </w:r>
      <w:r w:rsidR="00A92F66" w:rsidRPr="000226BE">
        <w:rPr>
          <w:rFonts w:ascii="Book Antiqua" w:hAnsi="Book Antiqua"/>
          <w:szCs w:val="24"/>
          <w:lang w:val="es-PR"/>
        </w:rPr>
        <w:t>Gobierno</w:t>
      </w:r>
      <w:r w:rsidR="00665E04"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r w:rsidR="00CE3359" w:rsidRPr="000226BE">
        <w:rPr>
          <w:rFonts w:ascii="Book Antiqua" w:hAnsi="Book Antiqua"/>
          <w:szCs w:val="24"/>
          <w:lang w:val="es-PR"/>
        </w:rPr>
        <w:tab/>
      </w:r>
    </w:p>
    <w:p w14:paraId="11563864" w14:textId="77777777" w:rsidR="00993DE7" w:rsidRPr="000226BE" w:rsidRDefault="00993DE7" w:rsidP="00584F3B">
      <w:pPr>
        <w:jc w:val="both"/>
        <w:rPr>
          <w:rFonts w:ascii="Book Antiqua" w:hAnsi="Book Antiqua"/>
          <w:szCs w:val="24"/>
          <w:lang w:val="es-PR"/>
        </w:rPr>
      </w:pPr>
    </w:p>
    <w:sectPr w:rsidR="00993DE7" w:rsidRPr="000226BE"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12772" w14:textId="77777777" w:rsidR="00D655CF" w:rsidRDefault="00D655CF" w:rsidP="006705DD">
      <w:r>
        <w:separator/>
      </w:r>
    </w:p>
  </w:endnote>
  <w:endnote w:type="continuationSeparator" w:id="0">
    <w:p w14:paraId="04EB7B8B" w14:textId="77777777" w:rsidR="00D655CF" w:rsidRDefault="00D655C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25EEC688"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A92F66">
      <w:rPr>
        <w:rFonts w:ascii="Book Antiqua" w:hAnsi="Book Antiqua"/>
        <w:i/>
        <w:sz w:val="22"/>
        <w:szCs w:val="22"/>
        <w:lang w:val="es-ES"/>
      </w:rPr>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DCDB5" w14:textId="77777777" w:rsidR="00D655CF" w:rsidRDefault="00D655CF" w:rsidP="006705DD">
      <w:r>
        <w:separator/>
      </w:r>
    </w:p>
  </w:footnote>
  <w:footnote w:type="continuationSeparator" w:id="0">
    <w:p w14:paraId="5BCD20D6" w14:textId="77777777" w:rsidR="00D655CF" w:rsidRDefault="00D655C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3EA3DB71"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584F3B">
      <w:rPr>
        <w:rStyle w:val="PageNumber"/>
        <w:rFonts w:ascii="Book Antiqua" w:hAnsi="Book Antiqua"/>
        <w:i/>
        <w:sz w:val="22"/>
        <w:szCs w:val="22"/>
        <w:lang w:val="es-PR"/>
      </w:rPr>
      <w:t xml:space="preserve"> Positivo</w:t>
    </w:r>
    <w:r w:rsidR="00623DA7">
      <w:rPr>
        <w:rStyle w:val="PageNumber"/>
        <w:rFonts w:ascii="Book Antiqua" w:hAnsi="Book Antiqua"/>
        <w:i/>
        <w:sz w:val="22"/>
        <w:szCs w:val="22"/>
        <w:lang w:val="es-PR"/>
      </w:rPr>
      <w:t xml:space="preserve"> sobre el</w:t>
    </w:r>
    <w:r w:rsidRPr="005777F7">
      <w:rPr>
        <w:rStyle w:val="PageNumber"/>
        <w:rFonts w:ascii="Book Antiqua" w:hAnsi="Book Antiqua"/>
        <w:i/>
        <w:sz w:val="22"/>
        <w:szCs w:val="22"/>
        <w:lang w:val="es-PR"/>
      </w:rPr>
      <w:t xml:space="preserve"> P. de la C. </w:t>
    </w:r>
    <w:r w:rsidR="000825B3">
      <w:rPr>
        <w:rStyle w:val="PageNumber"/>
        <w:rFonts w:ascii="Book Antiqua" w:hAnsi="Book Antiqua"/>
        <w:i/>
        <w:sz w:val="22"/>
        <w:szCs w:val="22"/>
        <w:lang w:val="es-PR"/>
      </w:rPr>
      <w:t>3</w:t>
    </w:r>
    <w:r w:rsidR="00623DA7">
      <w:rPr>
        <w:rStyle w:val="PageNumber"/>
        <w:rFonts w:ascii="Book Antiqua" w:hAnsi="Book Antiqua"/>
        <w:i/>
        <w:sz w:val="22"/>
        <w:szCs w:val="22"/>
        <w:lang w:val="es-PR"/>
      </w:rPr>
      <w:t>52</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5071B1" w:rsidRDefault="00533BCA">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1"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9"/>
  </w:num>
  <w:num w:numId="2" w16cid:durableId="659582030">
    <w:abstractNumId w:val="4"/>
  </w:num>
  <w:num w:numId="3" w16cid:durableId="1777484326">
    <w:abstractNumId w:val="1"/>
  </w:num>
  <w:num w:numId="4" w16cid:durableId="325131668">
    <w:abstractNumId w:val="10"/>
  </w:num>
  <w:num w:numId="5" w16cid:durableId="1133250481">
    <w:abstractNumId w:val="13"/>
  </w:num>
  <w:num w:numId="6" w16cid:durableId="1459253870">
    <w:abstractNumId w:val="5"/>
  </w:num>
  <w:num w:numId="7" w16cid:durableId="1484350167">
    <w:abstractNumId w:val="0"/>
  </w:num>
  <w:num w:numId="8" w16cid:durableId="649947766">
    <w:abstractNumId w:val="2"/>
  </w:num>
  <w:num w:numId="9" w16cid:durableId="975915466">
    <w:abstractNumId w:val="8"/>
  </w:num>
  <w:num w:numId="10" w16cid:durableId="1634293470">
    <w:abstractNumId w:val="15"/>
  </w:num>
  <w:num w:numId="11" w16cid:durableId="122815047">
    <w:abstractNumId w:val="14"/>
  </w:num>
  <w:num w:numId="12" w16cid:durableId="1687242737">
    <w:abstractNumId w:val="17"/>
  </w:num>
  <w:num w:numId="13" w16cid:durableId="1903443332">
    <w:abstractNumId w:val="16"/>
  </w:num>
  <w:num w:numId="14" w16cid:durableId="409667053">
    <w:abstractNumId w:val="11"/>
  </w:num>
  <w:num w:numId="15" w16cid:durableId="82578471">
    <w:abstractNumId w:val="7"/>
  </w:num>
  <w:num w:numId="16" w16cid:durableId="1553076720">
    <w:abstractNumId w:val="3"/>
  </w:num>
  <w:num w:numId="17" w16cid:durableId="515970296">
    <w:abstractNumId w:val="6"/>
  </w:num>
  <w:num w:numId="18" w16cid:durableId="1093668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1F34"/>
    <w:rsid w:val="00007EB5"/>
    <w:rsid w:val="00017E10"/>
    <w:rsid w:val="00021378"/>
    <w:rsid w:val="000226BE"/>
    <w:rsid w:val="00031DE8"/>
    <w:rsid w:val="000360CF"/>
    <w:rsid w:val="00036797"/>
    <w:rsid w:val="00063DC1"/>
    <w:rsid w:val="000665D2"/>
    <w:rsid w:val="0007736F"/>
    <w:rsid w:val="00080450"/>
    <w:rsid w:val="000825B3"/>
    <w:rsid w:val="00087337"/>
    <w:rsid w:val="000967A1"/>
    <w:rsid w:val="000A0AC8"/>
    <w:rsid w:val="000B4C88"/>
    <w:rsid w:val="000B6F81"/>
    <w:rsid w:val="000D510A"/>
    <w:rsid w:val="000D5D5D"/>
    <w:rsid w:val="000E4084"/>
    <w:rsid w:val="000F0918"/>
    <w:rsid w:val="000F1590"/>
    <w:rsid w:val="000F232F"/>
    <w:rsid w:val="000F5319"/>
    <w:rsid w:val="0010690F"/>
    <w:rsid w:val="00124567"/>
    <w:rsid w:val="001250D3"/>
    <w:rsid w:val="00131FA2"/>
    <w:rsid w:val="001371B2"/>
    <w:rsid w:val="00141498"/>
    <w:rsid w:val="001423CC"/>
    <w:rsid w:val="0014545E"/>
    <w:rsid w:val="001461EE"/>
    <w:rsid w:val="00164F88"/>
    <w:rsid w:val="00175B87"/>
    <w:rsid w:val="0017614C"/>
    <w:rsid w:val="00193409"/>
    <w:rsid w:val="001B4C02"/>
    <w:rsid w:val="001B5A45"/>
    <w:rsid w:val="001B7855"/>
    <w:rsid w:val="001C417E"/>
    <w:rsid w:val="001C4F87"/>
    <w:rsid w:val="001C65AC"/>
    <w:rsid w:val="001C79F0"/>
    <w:rsid w:val="001D4B4F"/>
    <w:rsid w:val="001D68C2"/>
    <w:rsid w:val="001E6818"/>
    <w:rsid w:val="001E749B"/>
    <w:rsid w:val="001F37ED"/>
    <w:rsid w:val="001F450B"/>
    <w:rsid w:val="0020553B"/>
    <w:rsid w:val="00207107"/>
    <w:rsid w:val="0021021D"/>
    <w:rsid w:val="00226859"/>
    <w:rsid w:val="00245355"/>
    <w:rsid w:val="002510F1"/>
    <w:rsid w:val="00255F7F"/>
    <w:rsid w:val="00270C0E"/>
    <w:rsid w:val="00276B51"/>
    <w:rsid w:val="002A0B17"/>
    <w:rsid w:val="002A779D"/>
    <w:rsid w:val="002C0326"/>
    <w:rsid w:val="002C7958"/>
    <w:rsid w:val="002E0160"/>
    <w:rsid w:val="002E1159"/>
    <w:rsid w:val="00300D45"/>
    <w:rsid w:val="00307449"/>
    <w:rsid w:val="003157E0"/>
    <w:rsid w:val="00316811"/>
    <w:rsid w:val="00323158"/>
    <w:rsid w:val="003310BC"/>
    <w:rsid w:val="00331452"/>
    <w:rsid w:val="00342994"/>
    <w:rsid w:val="00344C28"/>
    <w:rsid w:val="00345524"/>
    <w:rsid w:val="0034558D"/>
    <w:rsid w:val="00346667"/>
    <w:rsid w:val="00346B66"/>
    <w:rsid w:val="00347546"/>
    <w:rsid w:val="003515AC"/>
    <w:rsid w:val="003547C3"/>
    <w:rsid w:val="00357ADD"/>
    <w:rsid w:val="00357DF5"/>
    <w:rsid w:val="00363E82"/>
    <w:rsid w:val="00371D03"/>
    <w:rsid w:val="00376D38"/>
    <w:rsid w:val="0038503A"/>
    <w:rsid w:val="00397CFC"/>
    <w:rsid w:val="003A3A76"/>
    <w:rsid w:val="003A6530"/>
    <w:rsid w:val="003B1439"/>
    <w:rsid w:val="003C65B7"/>
    <w:rsid w:val="003E5CBA"/>
    <w:rsid w:val="003F0372"/>
    <w:rsid w:val="003F1DD5"/>
    <w:rsid w:val="00401C69"/>
    <w:rsid w:val="00432355"/>
    <w:rsid w:val="00432A15"/>
    <w:rsid w:val="004470A6"/>
    <w:rsid w:val="0045475F"/>
    <w:rsid w:val="00466F9F"/>
    <w:rsid w:val="004716BE"/>
    <w:rsid w:val="004879FA"/>
    <w:rsid w:val="00494A79"/>
    <w:rsid w:val="004C1280"/>
    <w:rsid w:val="004C5242"/>
    <w:rsid w:val="004D2604"/>
    <w:rsid w:val="004E03DD"/>
    <w:rsid w:val="004E0408"/>
    <w:rsid w:val="004E5255"/>
    <w:rsid w:val="004E6F13"/>
    <w:rsid w:val="005030C0"/>
    <w:rsid w:val="005071B1"/>
    <w:rsid w:val="0051226C"/>
    <w:rsid w:val="005144D7"/>
    <w:rsid w:val="00515CDD"/>
    <w:rsid w:val="005250F0"/>
    <w:rsid w:val="0052685C"/>
    <w:rsid w:val="005305BD"/>
    <w:rsid w:val="00533BCA"/>
    <w:rsid w:val="005349D2"/>
    <w:rsid w:val="0054316F"/>
    <w:rsid w:val="00543E65"/>
    <w:rsid w:val="00547FF5"/>
    <w:rsid w:val="005579E3"/>
    <w:rsid w:val="00571A33"/>
    <w:rsid w:val="00572681"/>
    <w:rsid w:val="005743A5"/>
    <w:rsid w:val="005751A0"/>
    <w:rsid w:val="005774FB"/>
    <w:rsid w:val="00580209"/>
    <w:rsid w:val="00584F3B"/>
    <w:rsid w:val="005903F2"/>
    <w:rsid w:val="00595A56"/>
    <w:rsid w:val="00596F0C"/>
    <w:rsid w:val="005A4546"/>
    <w:rsid w:val="005B23E3"/>
    <w:rsid w:val="005B463B"/>
    <w:rsid w:val="005C0817"/>
    <w:rsid w:val="005C5314"/>
    <w:rsid w:val="005D2B7F"/>
    <w:rsid w:val="005D323E"/>
    <w:rsid w:val="005F0061"/>
    <w:rsid w:val="005F75CA"/>
    <w:rsid w:val="00610089"/>
    <w:rsid w:val="00613704"/>
    <w:rsid w:val="006154EE"/>
    <w:rsid w:val="00616886"/>
    <w:rsid w:val="00623DA7"/>
    <w:rsid w:val="00624B6B"/>
    <w:rsid w:val="0063043E"/>
    <w:rsid w:val="006448DC"/>
    <w:rsid w:val="00644DC7"/>
    <w:rsid w:val="006636C1"/>
    <w:rsid w:val="00663A2A"/>
    <w:rsid w:val="00665E04"/>
    <w:rsid w:val="00667654"/>
    <w:rsid w:val="006705DD"/>
    <w:rsid w:val="0067618C"/>
    <w:rsid w:val="00676BE6"/>
    <w:rsid w:val="0068021C"/>
    <w:rsid w:val="00691B89"/>
    <w:rsid w:val="006943C5"/>
    <w:rsid w:val="006954E1"/>
    <w:rsid w:val="006959C2"/>
    <w:rsid w:val="00696D01"/>
    <w:rsid w:val="006972AA"/>
    <w:rsid w:val="006A0942"/>
    <w:rsid w:val="006A2AAE"/>
    <w:rsid w:val="006A5579"/>
    <w:rsid w:val="006B291B"/>
    <w:rsid w:val="006D47A2"/>
    <w:rsid w:val="006D7BDE"/>
    <w:rsid w:val="006E07CD"/>
    <w:rsid w:val="006E19A3"/>
    <w:rsid w:val="006F3AC1"/>
    <w:rsid w:val="006F6E4D"/>
    <w:rsid w:val="007071A4"/>
    <w:rsid w:val="0071676A"/>
    <w:rsid w:val="00716BC4"/>
    <w:rsid w:val="00716FE5"/>
    <w:rsid w:val="00730E0E"/>
    <w:rsid w:val="007468CC"/>
    <w:rsid w:val="0074738F"/>
    <w:rsid w:val="00751430"/>
    <w:rsid w:val="00760D4D"/>
    <w:rsid w:val="00760DD8"/>
    <w:rsid w:val="00762C4B"/>
    <w:rsid w:val="00774EED"/>
    <w:rsid w:val="007762C6"/>
    <w:rsid w:val="00776597"/>
    <w:rsid w:val="00782442"/>
    <w:rsid w:val="00796AE9"/>
    <w:rsid w:val="007A096C"/>
    <w:rsid w:val="007A2229"/>
    <w:rsid w:val="007A37FF"/>
    <w:rsid w:val="007A5E93"/>
    <w:rsid w:val="007B0858"/>
    <w:rsid w:val="007B1F4C"/>
    <w:rsid w:val="007B426C"/>
    <w:rsid w:val="007C0ED2"/>
    <w:rsid w:val="007C1DF3"/>
    <w:rsid w:val="007C4BB4"/>
    <w:rsid w:val="007D7DCA"/>
    <w:rsid w:val="007E222D"/>
    <w:rsid w:val="007E31F6"/>
    <w:rsid w:val="007F1A15"/>
    <w:rsid w:val="007F3B75"/>
    <w:rsid w:val="007F77ED"/>
    <w:rsid w:val="0080411C"/>
    <w:rsid w:val="00812D9D"/>
    <w:rsid w:val="00824238"/>
    <w:rsid w:val="0082456A"/>
    <w:rsid w:val="00840108"/>
    <w:rsid w:val="00840C1B"/>
    <w:rsid w:val="00842EA6"/>
    <w:rsid w:val="00850273"/>
    <w:rsid w:val="008740CC"/>
    <w:rsid w:val="0087441E"/>
    <w:rsid w:val="00882264"/>
    <w:rsid w:val="00887892"/>
    <w:rsid w:val="008919DB"/>
    <w:rsid w:val="00893C12"/>
    <w:rsid w:val="00894851"/>
    <w:rsid w:val="00897EBB"/>
    <w:rsid w:val="008A11F5"/>
    <w:rsid w:val="008B01E9"/>
    <w:rsid w:val="008B4364"/>
    <w:rsid w:val="008B63F5"/>
    <w:rsid w:val="008C43D9"/>
    <w:rsid w:val="008C4B4A"/>
    <w:rsid w:val="008D0701"/>
    <w:rsid w:val="008E3880"/>
    <w:rsid w:val="008E526A"/>
    <w:rsid w:val="008E5EFE"/>
    <w:rsid w:val="008F5E56"/>
    <w:rsid w:val="008F747E"/>
    <w:rsid w:val="00900A59"/>
    <w:rsid w:val="00917EC5"/>
    <w:rsid w:val="0092008C"/>
    <w:rsid w:val="00920A2C"/>
    <w:rsid w:val="009259A2"/>
    <w:rsid w:val="00931CD6"/>
    <w:rsid w:val="009479AC"/>
    <w:rsid w:val="00950CFC"/>
    <w:rsid w:val="0095304A"/>
    <w:rsid w:val="0095548F"/>
    <w:rsid w:val="00960644"/>
    <w:rsid w:val="00970266"/>
    <w:rsid w:val="009711D1"/>
    <w:rsid w:val="0097195A"/>
    <w:rsid w:val="009735B1"/>
    <w:rsid w:val="00985F09"/>
    <w:rsid w:val="00990099"/>
    <w:rsid w:val="009902CA"/>
    <w:rsid w:val="00991A72"/>
    <w:rsid w:val="00993DE7"/>
    <w:rsid w:val="009A216D"/>
    <w:rsid w:val="009A398A"/>
    <w:rsid w:val="009A6C91"/>
    <w:rsid w:val="009A7506"/>
    <w:rsid w:val="009A76E2"/>
    <w:rsid w:val="009A7FB3"/>
    <w:rsid w:val="009B3DCA"/>
    <w:rsid w:val="009B726E"/>
    <w:rsid w:val="009C5C62"/>
    <w:rsid w:val="009D3D54"/>
    <w:rsid w:val="009E097D"/>
    <w:rsid w:val="009E12D1"/>
    <w:rsid w:val="009E4062"/>
    <w:rsid w:val="009F495C"/>
    <w:rsid w:val="00A01356"/>
    <w:rsid w:val="00A014D0"/>
    <w:rsid w:val="00A046C1"/>
    <w:rsid w:val="00A117C0"/>
    <w:rsid w:val="00A1405B"/>
    <w:rsid w:val="00A1787A"/>
    <w:rsid w:val="00A351F3"/>
    <w:rsid w:val="00A36FFD"/>
    <w:rsid w:val="00A45F58"/>
    <w:rsid w:val="00A46739"/>
    <w:rsid w:val="00A51153"/>
    <w:rsid w:val="00A51211"/>
    <w:rsid w:val="00A66646"/>
    <w:rsid w:val="00A82B4B"/>
    <w:rsid w:val="00A82F46"/>
    <w:rsid w:val="00A85691"/>
    <w:rsid w:val="00A92F66"/>
    <w:rsid w:val="00A94D57"/>
    <w:rsid w:val="00AA1AD4"/>
    <w:rsid w:val="00AB391C"/>
    <w:rsid w:val="00AC2B37"/>
    <w:rsid w:val="00AD579D"/>
    <w:rsid w:val="00AE5164"/>
    <w:rsid w:val="00AE78CC"/>
    <w:rsid w:val="00AF4BF4"/>
    <w:rsid w:val="00B01F2D"/>
    <w:rsid w:val="00B055AF"/>
    <w:rsid w:val="00B17EB4"/>
    <w:rsid w:val="00B24681"/>
    <w:rsid w:val="00B31496"/>
    <w:rsid w:val="00B3537C"/>
    <w:rsid w:val="00B41167"/>
    <w:rsid w:val="00B4299D"/>
    <w:rsid w:val="00B52D58"/>
    <w:rsid w:val="00B57E8E"/>
    <w:rsid w:val="00B652CB"/>
    <w:rsid w:val="00B656A1"/>
    <w:rsid w:val="00B674DD"/>
    <w:rsid w:val="00B74289"/>
    <w:rsid w:val="00B75AEC"/>
    <w:rsid w:val="00B80527"/>
    <w:rsid w:val="00B908A1"/>
    <w:rsid w:val="00B946F2"/>
    <w:rsid w:val="00BA3F40"/>
    <w:rsid w:val="00BC3E40"/>
    <w:rsid w:val="00BC5996"/>
    <w:rsid w:val="00BE4A7E"/>
    <w:rsid w:val="00BE7CDB"/>
    <w:rsid w:val="00BF05AA"/>
    <w:rsid w:val="00BF200E"/>
    <w:rsid w:val="00BF6B62"/>
    <w:rsid w:val="00BF79D8"/>
    <w:rsid w:val="00C0349C"/>
    <w:rsid w:val="00C0791A"/>
    <w:rsid w:val="00C166D8"/>
    <w:rsid w:val="00C232B9"/>
    <w:rsid w:val="00C23EEA"/>
    <w:rsid w:val="00C25EE3"/>
    <w:rsid w:val="00C376F3"/>
    <w:rsid w:val="00C63CAC"/>
    <w:rsid w:val="00C7451E"/>
    <w:rsid w:val="00C86692"/>
    <w:rsid w:val="00C964F2"/>
    <w:rsid w:val="00C97B17"/>
    <w:rsid w:val="00CA3C40"/>
    <w:rsid w:val="00CA5186"/>
    <w:rsid w:val="00CB15EF"/>
    <w:rsid w:val="00CB72FA"/>
    <w:rsid w:val="00CC2EF2"/>
    <w:rsid w:val="00CC44E8"/>
    <w:rsid w:val="00CC6E0B"/>
    <w:rsid w:val="00CD1CA7"/>
    <w:rsid w:val="00CD1CCB"/>
    <w:rsid w:val="00CD469F"/>
    <w:rsid w:val="00CD7193"/>
    <w:rsid w:val="00CE3359"/>
    <w:rsid w:val="00CE50B0"/>
    <w:rsid w:val="00CF42AE"/>
    <w:rsid w:val="00CF45C3"/>
    <w:rsid w:val="00D07454"/>
    <w:rsid w:val="00D10164"/>
    <w:rsid w:val="00D1299F"/>
    <w:rsid w:val="00D50714"/>
    <w:rsid w:val="00D51E92"/>
    <w:rsid w:val="00D6218B"/>
    <w:rsid w:val="00D655CF"/>
    <w:rsid w:val="00D7541D"/>
    <w:rsid w:val="00D83609"/>
    <w:rsid w:val="00D863CD"/>
    <w:rsid w:val="00D94B25"/>
    <w:rsid w:val="00D97081"/>
    <w:rsid w:val="00DA5CF8"/>
    <w:rsid w:val="00DB68E1"/>
    <w:rsid w:val="00DC4556"/>
    <w:rsid w:val="00DF6132"/>
    <w:rsid w:val="00DF770E"/>
    <w:rsid w:val="00E00A76"/>
    <w:rsid w:val="00E24476"/>
    <w:rsid w:val="00E47F56"/>
    <w:rsid w:val="00E52DCB"/>
    <w:rsid w:val="00E55754"/>
    <w:rsid w:val="00E57BFF"/>
    <w:rsid w:val="00E60F91"/>
    <w:rsid w:val="00EC66DB"/>
    <w:rsid w:val="00ED4DCE"/>
    <w:rsid w:val="00ED5078"/>
    <w:rsid w:val="00EE1B84"/>
    <w:rsid w:val="00EE318F"/>
    <w:rsid w:val="00EF62EA"/>
    <w:rsid w:val="00F24CBC"/>
    <w:rsid w:val="00F32838"/>
    <w:rsid w:val="00F35735"/>
    <w:rsid w:val="00F36112"/>
    <w:rsid w:val="00F37FB2"/>
    <w:rsid w:val="00F46262"/>
    <w:rsid w:val="00F753EE"/>
    <w:rsid w:val="00F92D42"/>
    <w:rsid w:val="00F936D2"/>
    <w:rsid w:val="00F952A9"/>
    <w:rsid w:val="00FB0F52"/>
    <w:rsid w:val="00FB1284"/>
    <w:rsid w:val="00FB73F1"/>
    <w:rsid w:val="00FC4BC2"/>
    <w:rsid w:val="00FC7A0C"/>
    <w:rsid w:val="00FD08BA"/>
    <w:rsid w:val="00FD0C20"/>
    <w:rsid w:val="00FD63D7"/>
    <w:rsid w:val="00FD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aliases w:val="FC,FN Ref,St,Style 10,Style 12,Style 13,Style 14,Style 16,Style 17,Style 20,Style 21,Style 22,Style 25,Style 27,Style 29,Style 30,Style 32,Style 33,Style 34,Style 38,Style 41,Style 42,Style 49,Style 52,Style 53,Style 9,callout,fr,o"/>
    <w:uiPriority w:val="99"/>
    <w:semiHidden/>
    <w:qFormat/>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character" w:styleId="PlaceholderText">
    <w:name w:val="Placeholder Text"/>
    <w:basedOn w:val="DefaultParagraphFont"/>
    <w:uiPriority w:val="99"/>
    <w:semiHidden/>
    <w:rsid w:val="00CC2EF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707356">
      <w:bodyDiv w:val="1"/>
      <w:marLeft w:val="0"/>
      <w:marRight w:val="0"/>
      <w:marTop w:val="0"/>
      <w:marBottom w:val="0"/>
      <w:divBdr>
        <w:top w:val="none" w:sz="0" w:space="0" w:color="auto"/>
        <w:left w:val="none" w:sz="0" w:space="0" w:color="auto"/>
        <w:bottom w:val="none" w:sz="0" w:space="0" w:color="auto"/>
        <w:right w:val="none" w:sz="0" w:space="0" w:color="auto"/>
      </w:divBdr>
    </w:div>
    <w:div w:id="532808948">
      <w:bodyDiv w:val="1"/>
      <w:marLeft w:val="0"/>
      <w:marRight w:val="0"/>
      <w:marTop w:val="0"/>
      <w:marBottom w:val="0"/>
      <w:divBdr>
        <w:top w:val="none" w:sz="0" w:space="0" w:color="auto"/>
        <w:left w:val="none" w:sz="0" w:space="0" w:color="auto"/>
        <w:bottom w:val="none" w:sz="0" w:space="0" w:color="auto"/>
        <w:right w:val="none" w:sz="0" w:space="0" w:color="auto"/>
      </w:divBdr>
    </w:div>
    <w:div w:id="575897239">
      <w:bodyDiv w:val="1"/>
      <w:marLeft w:val="0"/>
      <w:marRight w:val="0"/>
      <w:marTop w:val="0"/>
      <w:marBottom w:val="0"/>
      <w:divBdr>
        <w:top w:val="none" w:sz="0" w:space="0" w:color="auto"/>
        <w:left w:val="none" w:sz="0" w:space="0" w:color="auto"/>
        <w:bottom w:val="none" w:sz="0" w:space="0" w:color="auto"/>
        <w:right w:val="none" w:sz="0" w:space="0" w:color="auto"/>
      </w:divBdr>
    </w:div>
    <w:div w:id="698550280">
      <w:bodyDiv w:val="1"/>
      <w:marLeft w:val="0"/>
      <w:marRight w:val="0"/>
      <w:marTop w:val="0"/>
      <w:marBottom w:val="0"/>
      <w:divBdr>
        <w:top w:val="none" w:sz="0" w:space="0" w:color="auto"/>
        <w:left w:val="none" w:sz="0" w:space="0" w:color="auto"/>
        <w:bottom w:val="none" w:sz="0" w:space="0" w:color="auto"/>
        <w:right w:val="none" w:sz="0" w:space="0" w:color="auto"/>
      </w:divBdr>
    </w:div>
    <w:div w:id="749155313">
      <w:bodyDiv w:val="1"/>
      <w:marLeft w:val="0"/>
      <w:marRight w:val="0"/>
      <w:marTop w:val="0"/>
      <w:marBottom w:val="0"/>
      <w:divBdr>
        <w:top w:val="none" w:sz="0" w:space="0" w:color="auto"/>
        <w:left w:val="none" w:sz="0" w:space="0" w:color="auto"/>
        <w:bottom w:val="none" w:sz="0" w:space="0" w:color="auto"/>
        <w:right w:val="none" w:sz="0" w:space="0" w:color="auto"/>
      </w:divBdr>
    </w:div>
    <w:div w:id="801924345">
      <w:bodyDiv w:val="1"/>
      <w:marLeft w:val="0"/>
      <w:marRight w:val="0"/>
      <w:marTop w:val="0"/>
      <w:marBottom w:val="0"/>
      <w:divBdr>
        <w:top w:val="none" w:sz="0" w:space="0" w:color="auto"/>
        <w:left w:val="none" w:sz="0" w:space="0" w:color="auto"/>
        <w:bottom w:val="none" w:sz="0" w:space="0" w:color="auto"/>
        <w:right w:val="none" w:sz="0" w:space="0" w:color="auto"/>
      </w:divBdr>
    </w:div>
    <w:div w:id="199225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1822</Words>
  <Characters>10390</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Zurys F. Fajardo Rojas</cp:lastModifiedBy>
  <cp:revision>2</cp:revision>
  <cp:lastPrinted>2025-06-17T17:24:00Z</cp:lastPrinted>
  <dcterms:created xsi:type="dcterms:W3CDTF">2025-06-19T20:33:00Z</dcterms:created>
  <dcterms:modified xsi:type="dcterms:W3CDTF">2025-06-19T20:33:00Z</dcterms:modified>
</cp:coreProperties>
</file>