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04B59" w14:textId="0399E2C0" w:rsidR="009E6186" w:rsidRPr="0043033E" w:rsidRDefault="009E6186" w:rsidP="0043033E">
      <w:pPr>
        <w:suppressLineNumbers/>
        <w:jc w:val="center"/>
        <w:rPr>
          <w:rFonts w:ascii="Book Antiqua" w:hAnsi="Book Antiqua" w:cs="Times New Roman"/>
          <w:sz w:val="28"/>
          <w:szCs w:val="28"/>
        </w:rPr>
      </w:pPr>
      <w:r w:rsidRPr="0043033E">
        <w:rPr>
          <w:rFonts w:ascii="Book Antiqua" w:hAnsi="Book Antiqua" w:cs="Times New Roman"/>
          <w:sz w:val="28"/>
          <w:szCs w:val="28"/>
        </w:rPr>
        <w:t>GOBIERNO DE PUERTO RICO</w:t>
      </w:r>
    </w:p>
    <w:p w14:paraId="71477BE8" w14:textId="77777777" w:rsidR="009E6186" w:rsidRPr="0043033E" w:rsidRDefault="009E6186" w:rsidP="0043033E">
      <w:pPr>
        <w:suppressLineNumbers/>
        <w:jc w:val="both"/>
        <w:rPr>
          <w:rFonts w:ascii="Book Antiqua" w:hAnsi="Book Antiqua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E6186" w:rsidRPr="0043033E" w14:paraId="01F29ED7" w14:textId="77777777" w:rsidTr="009E6186">
        <w:tc>
          <w:tcPr>
            <w:tcW w:w="4675" w:type="dxa"/>
          </w:tcPr>
          <w:p w14:paraId="5E6966AB" w14:textId="26892CE2" w:rsidR="009E6186" w:rsidRPr="0043033E" w:rsidRDefault="0043033E" w:rsidP="0043033E">
            <w:pPr>
              <w:suppressLineNumbers/>
              <w:jc w:val="both"/>
              <w:rPr>
                <w:rFonts w:ascii="Book Antiqua" w:hAnsi="Book Antiqua" w:cs="Times New Roman"/>
              </w:rPr>
            </w:pPr>
            <w:r w:rsidRPr="0043033E">
              <w:rPr>
                <w:rFonts w:ascii="Book Antiqua" w:hAnsi="Book Antiqua" w:cs="Times New Roman"/>
              </w:rPr>
              <w:t>20ma.</w:t>
            </w:r>
            <w:r w:rsidR="009E6186" w:rsidRPr="0043033E">
              <w:rPr>
                <w:rFonts w:ascii="Book Antiqua" w:hAnsi="Book Antiqua" w:cs="Times New Roman"/>
              </w:rPr>
              <w:t xml:space="preserve"> Asamblea </w:t>
            </w:r>
          </w:p>
          <w:p w14:paraId="0C94A3D6" w14:textId="402C9D64" w:rsidR="009E6186" w:rsidRPr="0043033E" w:rsidRDefault="009E6186" w:rsidP="0043033E">
            <w:pPr>
              <w:suppressLineNumbers/>
              <w:jc w:val="both"/>
              <w:rPr>
                <w:rFonts w:ascii="Book Antiqua" w:hAnsi="Book Antiqua" w:cs="Times New Roman"/>
              </w:rPr>
            </w:pPr>
            <w:r w:rsidRPr="0043033E">
              <w:rPr>
                <w:rFonts w:ascii="Book Antiqua" w:hAnsi="Book Antiqua" w:cs="Times New Roman"/>
              </w:rPr>
              <w:t xml:space="preserve">        </w:t>
            </w:r>
            <w:r w:rsidR="0043033E" w:rsidRPr="0043033E">
              <w:rPr>
                <w:rFonts w:ascii="Book Antiqua" w:hAnsi="Book Antiqua" w:cs="Times New Roman"/>
              </w:rPr>
              <w:t xml:space="preserve">    </w:t>
            </w:r>
            <w:r w:rsidRPr="0043033E">
              <w:rPr>
                <w:rFonts w:ascii="Book Antiqua" w:hAnsi="Book Antiqua" w:cs="Times New Roman"/>
              </w:rPr>
              <w:t>Legislativa</w:t>
            </w:r>
          </w:p>
        </w:tc>
        <w:tc>
          <w:tcPr>
            <w:tcW w:w="4675" w:type="dxa"/>
          </w:tcPr>
          <w:p w14:paraId="3D5E09EE" w14:textId="47F45627" w:rsidR="009E6186" w:rsidRPr="0043033E" w:rsidRDefault="009E6186" w:rsidP="0043033E">
            <w:pPr>
              <w:jc w:val="both"/>
              <w:rPr>
                <w:rFonts w:ascii="Book Antiqua" w:hAnsi="Book Antiqua"/>
              </w:rPr>
            </w:pPr>
            <w:r w:rsidRPr="0043033E">
              <w:rPr>
                <w:rFonts w:ascii="Book Antiqua" w:hAnsi="Book Antiqua"/>
              </w:rPr>
              <w:t xml:space="preserve">                                            </w:t>
            </w:r>
            <w:r w:rsidR="0043033E" w:rsidRPr="0043033E">
              <w:rPr>
                <w:rFonts w:ascii="Book Antiqua" w:hAnsi="Book Antiqua"/>
              </w:rPr>
              <w:t xml:space="preserve">     1ra.</w:t>
            </w:r>
            <w:r w:rsidRPr="0043033E">
              <w:rPr>
                <w:rFonts w:ascii="Book Antiqua" w:hAnsi="Book Antiqua"/>
              </w:rPr>
              <w:t xml:space="preserve"> Sesión </w:t>
            </w:r>
          </w:p>
          <w:p w14:paraId="5BAFCA59" w14:textId="19121F93" w:rsidR="009E6186" w:rsidRPr="0043033E" w:rsidRDefault="009E6186" w:rsidP="0043033E">
            <w:pPr>
              <w:suppressLineNumbers/>
              <w:jc w:val="both"/>
              <w:rPr>
                <w:rFonts w:ascii="Book Antiqua" w:hAnsi="Book Antiqua" w:cs="Times New Roman"/>
              </w:rPr>
            </w:pPr>
            <w:r w:rsidRPr="0043033E">
              <w:rPr>
                <w:rFonts w:ascii="Book Antiqua" w:hAnsi="Book Antiqua" w:cs="Times New Roman"/>
              </w:rPr>
              <w:t xml:space="preserve"> </w:t>
            </w:r>
            <w:r w:rsidR="00F304A6" w:rsidRPr="0043033E">
              <w:rPr>
                <w:rFonts w:ascii="Book Antiqua" w:hAnsi="Book Antiqua" w:cs="Times New Roman"/>
              </w:rPr>
              <w:t xml:space="preserve">   </w:t>
            </w:r>
            <w:r w:rsidR="0043033E" w:rsidRPr="0043033E">
              <w:rPr>
                <w:rFonts w:ascii="Book Antiqua" w:hAnsi="Book Antiqua" w:cs="Times New Roman"/>
              </w:rPr>
              <w:t xml:space="preserve">       </w:t>
            </w:r>
            <w:r w:rsidR="0043033E">
              <w:rPr>
                <w:rFonts w:ascii="Book Antiqua" w:hAnsi="Book Antiqua" w:cs="Times New Roman"/>
              </w:rPr>
              <w:t xml:space="preserve">                                             </w:t>
            </w:r>
            <w:r w:rsidRPr="0043033E">
              <w:rPr>
                <w:rFonts w:ascii="Book Antiqua" w:hAnsi="Book Antiqua" w:cs="Times New Roman"/>
              </w:rPr>
              <w:t>Ordinaria</w:t>
            </w:r>
          </w:p>
        </w:tc>
      </w:tr>
    </w:tbl>
    <w:p w14:paraId="19C17FBC" w14:textId="77777777" w:rsidR="009E6186" w:rsidRPr="0043033E" w:rsidRDefault="009E6186" w:rsidP="0043033E">
      <w:pPr>
        <w:suppressLineNumbers/>
        <w:jc w:val="both"/>
        <w:rPr>
          <w:rFonts w:ascii="Book Antiqua" w:hAnsi="Book Antiqua" w:cs="Times New Roman"/>
        </w:rPr>
      </w:pPr>
    </w:p>
    <w:p w14:paraId="2F4DFE47" w14:textId="7CA9E85A" w:rsidR="009E6186" w:rsidRPr="0043033E" w:rsidRDefault="00175AE5" w:rsidP="0043033E">
      <w:pPr>
        <w:suppressLineNumbers/>
        <w:jc w:val="center"/>
        <w:rPr>
          <w:rFonts w:ascii="Book Antiqua" w:hAnsi="Book Antiqua" w:cs="Times New Roman"/>
          <w:b/>
          <w:bCs/>
          <w:sz w:val="36"/>
          <w:szCs w:val="36"/>
        </w:rPr>
      </w:pPr>
      <w:r w:rsidRPr="0043033E">
        <w:rPr>
          <w:rFonts w:ascii="Book Antiqua" w:hAnsi="Book Antiqua" w:cs="Times New Roman"/>
          <w:b/>
          <w:bCs/>
          <w:sz w:val="36"/>
          <w:szCs w:val="36"/>
        </w:rPr>
        <w:t>CÁMARA DE REPRESENTANTES</w:t>
      </w:r>
    </w:p>
    <w:p w14:paraId="02590E05" w14:textId="77777777" w:rsidR="00F304A6" w:rsidRPr="0043033E" w:rsidRDefault="00F304A6" w:rsidP="0043033E">
      <w:pPr>
        <w:suppressLineNumbers/>
        <w:jc w:val="both"/>
        <w:rPr>
          <w:rFonts w:ascii="Book Antiqua" w:hAnsi="Book Antiqua" w:cs="Times New Roman"/>
        </w:rPr>
      </w:pPr>
    </w:p>
    <w:p w14:paraId="7973DB37" w14:textId="66EF9454" w:rsidR="00F304A6" w:rsidRPr="0043033E" w:rsidRDefault="008A7C01" w:rsidP="0043033E">
      <w:pPr>
        <w:suppressLineNumbers/>
        <w:jc w:val="center"/>
        <w:rPr>
          <w:rFonts w:ascii="Book Antiqua" w:hAnsi="Book Antiqua" w:cs="Times New Roman"/>
          <w:b/>
          <w:bCs/>
          <w:sz w:val="52"/>
          <w:szCs w:val="52"/>
        </w:rPr>
      </w:pPr>
      <w:r w:rsidRPr="0043033E">
        <w:rPr>
          <w:rFonts w:ascii="Book Antiqua" w:hAnsi="Book Antiqua" w:cs="Times New Roman"/>
          <w:b/>
          <w:bCs/>
          <w:sz w:val="52"/>
          <w:szCs w:val="52"/>
        </w:rPr>
        <w:t>P</w:t>
      </w:r>
      <w:r w:rsidR="00175AE5" w:rsidRPr="0043033E">
        <w:rPr>
          <w:rFonts w:ascii="Book Antiqua" w:hAnsi="Book Antiqua" w:cs="Times New Roman"/>
          <w:b/>
          <w:bCs/>
          <w:sz w:val="52"/>
          <w:szCs w:val="52"/>
        </w:rPr>
        <w:t>. de la C.</w:t>
      </w:r>
      <w:r w:rsidR="00B13475" w:rsidRPr="0043033E">
        <w:rPr>
          <w:rFonts w:ascii="Book Antiqua" w:hAnsi="Book Antiqua" w:cs="Times New Roman"/>
          <w:b/>
          <w:bCs/>
          <w:sz w:val="52"/>
          <w:szCs w:val="52"/>
        </w:rPr>
        <w:t xml:space="preserve"> 357</w:t>
      </w:r>
    </w:p>
    <w:p w14:paraId="5FE75862" w14:textId="77777777" w:rsidR="00175AE5" w:rsidRPr="0043033E" w:rsidRDefault="00175AE5" w:rsidP="0043033E">
      <w:pPr>
        <w:suppressLineNumbers/>
        <w:jc w:val="center"/>
        <w:rPr>
          <w:rFonts w:ascii="Book Antiqua" w:hAnsi="Book Antiqua" w:cs="Times New Roman"/>
        </w:rPr>
      </w:pPr>
    </w:p>
    <w:p w14:paraId="4E9A14FC" w14:textId="3841AFC4" w:rsidR="00175AE5" w:rsidRPr="00821739" w:rsidRDefault="00821739" w:rsidP="0043033E">
      <w:pPr>
        <w:suppressLineNumbers/>
        <w:jc w:val="center"/>
        <w:rPr>
          <w:rFonts w:ascii="Book Antiqua" w:hAnsi="Book Antiqua" w:cs="Times New Roman"/>
        </w:rPr>
      </w:pPr>
      <w:r w:rsidRPr="00821739">
        <w:rPr>
          <w:rFonts w:ascii="Book Antiqua" w:hAnsi="Book Antiqua" w:cs="Times New Roman"/>
        </w:rPr>
        <w:t>25 DE FEBRERO DE 2025</w:t>
      </w:r>
    </w:p>
    <w:p w14:paraId="233A3FED" w14:textId="77777777" w:rsidR="009E6186" w:rsidRPr="0043033E" w:rsidRDefault="009E6186" w:rsidP="0043033E">
      <w:pPr>
        <w:suppressLineNumbers/>
        <w:jc w:val="center"/>
        <w:rPr>
          <w:rFonts w:ascii="Book Antiqua" w:hAnsi="Book Antiqua" w:cs="Times New Roman"/>
        </w:rPr>
      </w:pPr>
    </w:p>
    <w:p w14:paraId="200CD036" w14:textId="0A3D297C" w:rsidR="00006A2E" w:rsidRPr="0043033E" w:rsidRDefault="00175AE5" w:rsidP="0043033E">
      <w:pPr>
        <w:suppressLineNumbers/>
        <w:jc w:val="center"/>
        <w:rPr>
          <w:rFonts w:ascii="Book Antiqua" w:hAnsi="Book Antiqua" w:cs="Times New Roman"/>
        </w:rPr>
      </w:pPr>
      <w:r w:rsidRPr="0043033E">
        <w:rPr>
          <w:rFonts w:ascii="Book Antiqua" w:hAnsi="Book Antiqua" w:cs="Times New Roman"/>
        </w:rPr>
        <w:t>Presentad</w:t>
      </w:r>
      <w:r w:rsidR="00DF174F">
        <w:rPr>
          <w:rFonts w:ascii="Book Antiqua" w:hAnsi="Book Antiqua" w:cs="Times New Roman"/>
        </w:rPr>
        <w:t>o</w:t>
      </w:r>
      <w:r w:rsidRPr="0043033E">
        <w:rPr>
          <w:rFonts w:ascii="Book Antiqua" w:hAnsi="Book Antiqua" w:cs="Times New Roman"/>
        </w:rPr>
        <w:t xml:space="preserve"> por </w:t>
      </w:r>
      <w:r w:rsidR="00821739">
        <w:rPr>
          <w:rFonts w:ascii="Book Antiqua" w:hAnsi="Book Antiqua" w:cs="Times New Roman"/>
        </w:rPr>
        <w:t>los</w:t>
      </w:r>
      <w:r w:rsidRPr="0043033E">
        <w:rPr>
          <w:rFonts w:ascii="Book Antiqua" w:hAnsi="Book Antiqua" w:cs="Times New Roman"/>
        </w:rPr>
        <w:t xml:space="preserve"> representante</w:t>
      </w:r>
      <w:r w:rsidR="00821739">
        <w:rPr>
          <w:rFonts w:ascii="Book Antiqua" w:hAnsi="Book Antiqua" w:cs="Times New Roman"/>
        </w:rPr>
        <w:t>s</w:t>
      </w:r>
      <w:r w:rsidR="009B3A9D" w:rsidRPr="0043033E">
        <w:rPr>
          <w:rFonts w:ascii="Book Antiqua" w:hAnsi="Book Antiqua" w:cs="Times New Roman"/>
        </w:rPr>
        <w:t xml:space="preserve"> </w:t>
      </w:r>
      <w:r w:rsidR="009B3A9D" w:rsidRPr="0043033E">
        <w:rPr>
          <w:rFonts w:ascii="Book Antiqua" w:hAnsi="Book Antiqua" w:cs="Times New Roman"/>
          <w:i/>
          <w:iCs/>
        </w:rPr>
        <w:t xml:space="preserve">Méndez </w:t>
      </w:r>
      <w:r w:rsidR="0043033E" w:rsidRPr="0043033E">
        <w:rPr>
          <w:rFonts w:ascii="Book Antiqua" w:hAnsi="Book Antiqua" w:cs="Times New Roman"/>
          <w:i/>
          <w:iCs/>
        </w:rPr>
        <w:t>Núñez</w:t>
      </w:r>
      <w:r w:rsidR="00821739">
        <w:rPr>
          <w:rFonts w:ascii="Book Antiqua" w:hAnsi="Book Antiqua" w:cs="Times New Roman"/>
          <w:i/>
          <w:iCs/>
        </w:rPr>
        <w:t xml:space="preserve"> </w:t>
      </w:r>
      <w:r w:rsidR="00821739" w:rsidRPr="00821739">
        <w:rPr>
          <w:rFonts w:ascii="Book Antiqua" w:hAnsi="Book Antiqua" w:cs="Times New Roman"/>
        </w:rPr>
        <w:t>y</w:t>
      </w:r>
      <w:r w:rsidR="00821739">
        <w:rPr>
          <w:rFonts w:ascii="Book Antiqua" w:hAnsi="Book Antiqua" w:cs="Times New Roman"/>
          <w:i/>
          <w:iCs/>
        </w:rPr>
        <w:t xml:space="preserve"> Morey Noble</w:t>
      </w:r>
    </w:p>
    <w:p w14:paraId="7B19D511" w14:textId="77777777" w:rsidR="00006A2E" w:rsidRPr="0097185E" w:rsidRDefault="00006A2E" w:rsidP="0043033E">
      <w:pPr>
        <w:suppressLineNumbers/>
        <w:jc w:val="center"/>
        <w:rPr>
          <w:rFonts w:ascii="Book Antiqua" w:hAnsi="Book Antiqua" w:cs="Times New Roman"/>
          <w:i/>
          <w:iCs/>
        </w:rPr>
      </w:pPr>
    </w:p>
    <w:p w14:paraId="62AAF8A4" w14:textId="371C56B4" w:rsidR="00006A2E" w:rsidRPr="0097185E" w:rsidRDefault="00006A2E" w:rsidP="0043033E">
      <w:pPr>
        <w:suppressLineNumbers/>
        <w:jc w:val="center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Referido a</w:t>
      </w:r>
      <w:r w:rsidR="00DF174F">
        <w:rPr>
          <w:rFonts w:ascii="Book Antiqua" w:hAnsi="Book Antiqua" w:cs="Times New Roman"/>
        </w:rPr>
        <w:t xml:space="preserve"> la Comisión </w:t>
      </w:r>
      <w:r w:rsidR="007009B6">
        <w:rPr>
          <w:rFonts w:ascii="Book Antiqua" w:hAnsi="Book Antiqua" w:cs="Times New Roman"/>
        </w:rPr>
        <w:t>de Gobierno</w:t>
      </w:r>
    </w:p>
    <w:p w14:paraId="5BE31784" w14:textId="77777777" w:rsidR="00FA53E6" w:rsidRPr="0097185E" w:rsidRDefault="00FA53E6" w:rsidP="0043033E">
      <w:pPr>
        <w:suppressLineNumbers/>
        <w:jc w:val="center"/>
        <w:rPr>
          <w:rFonts w:ascii="Book Antiqua" w:hAnsi="Book Antiqua" w:cs="Times New Roman"/>
        </w:rPr>
      </w:pPr>
    </w:p>
    <w:p w14:paraId="2F550335" w14:textId="46E7A691" w:rsidR="00D95331" w:rsidRPr="00821739" w:rsidRDefault="00821739" w:rsidP="00821739">
      <w:pPr>
        <w:suppressLineNumbers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821739">
        <w:rPr>
          <w:rFonts w:ascii="Book Antiqua" w:hAnsi="Book Antiqua"/>
          <w:b/>
          <w:bCs/>
          <w:sz w:val="28"/>
          <w:szCs w:val="28"/>
        </w:rPr>
        <w:t>LEY</w:t>
      </w:r>
    </w:p>
    <w:p w14:paraId="6E9AE727" w14:textId="77777777" w:rsidR="00821739" w:rsidRDefault="00821739" w:rsidP="00821739">
      <w:pPr>
        <w:suppressLineNumbers/>
        <w:ind w:left="720" w:hanging="720"/>
        <w:jc w:val="both"/>
        <w:rPr>
          <w:rFonts w:ascii="Book Antiqua" w:hAnsi="Book Antiqua" w:cs="Times New Roman"/>
        </w:rPr>
      </w:pPr>
    </w:p>
    <w:p w14:paraId="5C668026" w14:textId="5311D811" w:rsidR="00A829BB" w:rsidRDefault="008A7C01" w:rsidP="00821739">
      <w:pPr>
        <w:suppressLineNumbers/>
        <w:ind w:left="720" w:hanging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 xml:space="preserve">Para enmendar </w:t>
      </w:r>
      <w:r w:rsidR="000A759C" w:rsidRPr="0097185E">
        <w:rPr>
          <w:rFonts w:ascii="Book Antiqua" w:hAnsi="Book Antiqua" w:cs="Times New Roman"/>
        </w:rPr>
        <w:t xml:space="preserve">la definición de </w:t>
      </w:r>
      <w:r w:rsidR="00332D7F" w:rsidRPr="0097185E">
        <w:rPr>
          <w:rFonts w:ascii="Book Antiqua" w:hAnsi="Book Antiqua" w:cs="Times New Roman"/>
        </w:rPr>
        <w:t>“</w:t>
      </w:r>
      <w:r w:rsidR="000A759C" w:rsidRPr="0097185E">
        <w:rPr>
          <w:rFonts w:ascii="Book Antiqua" w:hAnsi="Book Antiqua" w:cs="Times New Roman"/>
        </w:rPr>
        <w:t>Energía Renovable Sostenible</w:t>
      </w:r>
      <w:r w:rsidR="00332D7F" w:rsidRPr="0097185E">
        <w:rPr>
          <w:rFonts w:ascii="Book Antiqua" w:hAnsi="Book Antiqua" w:cs="Times New Roman"/>
        </w:rPr>
        <w:t>”</w:t>
      </w:r>
      <w:r w:rsidR="000A759C" w:rsidRPr="0097185E">
        <w:rPr>
          <w:rFonts w:ascii="Book Antiqua" w:hAnsi="Book Antiqua" w:cs="Times New Roman"/>
        </w:rPr>
        <w:t xml:space="preserve"> contenido en el Art. 1.4 (1</w:t>
      </w:r>
      <w:r w:rsidR="00572668" w:rsidRPr="0097185E">
        <w:rPr>
          <w:rFonts w:ascii="Book Antiqua" w:hAnsi="Book Antiqua" w:cs="Times New Roman"/>
        </w:rPr>
        <w:t>3</w:t>
      </w:r>
      <w:r w:rsidR="000A759C" w:rsidRPr="0097185E">
        <w:rPr>
          <w:rFonts w:ascii="Book Antiqua" w:hAnsi="Book Antiqua" w:cs="Times New Roman"/>
        </w:rPr>
        <w:t xml:space="preserve">) de la Ley Núm. 82-2010, según enmendada, conocida como </w:t>
      </w:r>
      <w:r w:rsidR="000A759C" w:rsidRPr="0097185E">
        <w:rPr>
          <w:rFonts w:ascii="Book Antiqua" w:hAnsi="Book Antiqua" w:cs="Times New Roman"/>
          <w:i/>
          <w:iCs/>
        </w:rPr>
        <w:t xml:space="preserve">Ley de Política Pública de Diversificación Energética por Medio de la Energía Renovable Sostenible y Alterna en </w:t>
      </w:r>
      <w:r w:rsidR="00572668" w:rsidRPr="0097185E">
        <w:rPr>
          <w:rFonts w:ascii="Book Antiqua" w:hAnsi="Book Antiqua" w:cs="Times New Roman"/>
          <w:i/>
          <w:iCs/>
        </w:rPr>
        <w:t>P</w:t>
      </w:r>
      <w:r w:rsidR="000A759C" w:rsidRPr="0097185E">
        <w:rPr>
          <w:rFonts w:ascii="Book Antiqua" w:hAnsi="Book Antiqua" w:cs="Times New Roman"/>
          <w:i/>
          <w:iCs/>
        </w:rPr>
        <w:t>uerto Rico</w:t>
      </w:r>
      <w:r w:rsidR="000A759C" w:rsidRPr="0097185E">
        <w:rPr>
          <w:rFonts w:ascii="Book Antiqua" w:hAnsi="Book Antiqua" w:cs="Times New Roman"/>
        </w:rPr>
        <w:t xml:space="preserve"> añadiendo </w:t>
      </w:r>
      <w:r w:rsidR="00572668" w:rsidRPr="0097185E">
        <w:rPr>
          <w:rFonts w:ascii="Book Antiqua" w:hAnsi="Book Antiqua" w:cs="Times New Roman"/>
        </w:rPr>
        <w:t>la combustión de</w:t>
      </w:r>
      <w:r w:rsidR="000A759C" w:rsidRPr="0097185E">
        <w:rPr>
          <w:rFonts w:ascii="Book Antiqua" w:hAnsi="Book Antiqua" w:cs="Times New Roman"/>
        </w:rPr>
        <w:t xml:space="preserve"> hidrógeno</w:t>
      </w:r>
      <w:r w:rsidR="00B15FC6" w:rsidRPr="0097185E">
        <w:rPr>
          <w:rFonts w:ascii="Book Antiqua" w:hAnsi="Book Antiqua" w:cs="Times New Roman"/>
        </w:rPr>
        <w:t xml:space="preserve"> </w:t>
      </w:r>
      <w:r w:rsidR="000A759C" w:rsidRPr="0097185E">
        <w:rPr>
          <w:rFonts w:ascii="Book Antiqua" w:hAnsi="Book Antiqua" w:cs="Times New Roman"/>
        </w:rPr>
        <w:t xml:space="preserve">como </w:t>
      </w:r>
      <w:r w:rsidR="00B15FC6" w:rsidRPr="0097185E">
        <w:rPr>
          <w:rFonts w:ascii="Book Antiqua" w:hAnsi="Book Antiqua" w:cs="Times New Roman"/>
        </w:rPr>
        <w:t>parte de</w:t>
      </w:r>
      <w:r w:rsidR="00572668" w:rsidRPr="0097185E">
        <w:rPr>
          <w:rFonts w:ascii="Book Antiqua" w:hAnsi="Book Antiqua" w:cs="Times New Roman"/>
        </w:rPr>
        <w:t xml:space="preserve"> las fuentes de </w:t>
      </w:r>
      <w:r w:rsidR="00006A2E" w:rsidRPr="0097185E">
        <w:rPr>
          <w:rFonts w:ascii="Book Antiqua" w:hAnsi="Book Antiqua" w:cs="Times New Roman"/>
        </w:rPr>
        <w:t>e</w:t>
      </w:r>
      <w:r w:rsidR="00572668" w:rsidRPr="0097185E">
        <w:rPr>
          <w:rFonts w:ascii="Book Antiqua" w:hAnsi="Book Antiqua" w:cs="Times New Roman"/>
        </w:rPr>
        <w:t>nergía renovable alterna a considerarse.</w:t>
      </w:r>
    </w:p>
    <w:p w14:paraId="45A9BAAA" w14:textId="77777777" w:rsidR="00821739" w:rsidRDefault="00821739" w:rsidP="00821739">
      <w:pPr>
        <w:suppressLineNumbers/>
        <w:ind w:left="720" w:hanging="720"/>
        <w:jc w:val="both"/>
        <w:rPr>
          <w:rFonts w:ascii="Book Antiqua" w:hAnsi="Book Antiqua" w:cs="Times New Roman"/>
        </w:rPr>
      </w:pPr>
    </w:p>
    <w:p w14:paraId="70D6FAA7" w14:textId="5D3C1EC1" w:rsidR="00821739" w:rsidRPr="00821739" w:rsidRDefault="00821739" w:rsidP="00821739">
      <w:pPr>
        <w:suppressLineNumbers/>
        <w:ind w:left="720" w:hanging="720"/>
        <w:jc w:val="center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EXPOSICIÓN DE MOTIVOS</w:t>
      </w:r>
    </w:p>
    <w:p w14:paraId="07AA40D9" w14:textId="77777777" w:rsidR="007C7C0C" w:rsidRPr="0097185E" w:rsidRDefault="007C7C0C" w:rsidP="0043033E">
      <w:pPr>
        <w:suppressLineNumbers/>
        <w:jc w:val="both"/>
        <w:rPr>
          <w:rFonts w:ascii="Book Antiqua" w:hAnsi="Book Antiqua" w:cs="Times New Roman"/>
        </w:rPr>
      </w:pPr>
    </w:p>
    <w:p w14:paraId="215476BC" w14:textId="6FB78C1A" w:rsidR="00332D7F" w:rsidRPr="0097185E" w:rsidRDefault="00A829BB" w:rsidP="0043033E">
      <w:pPr>
        <w:suppressLineNumbers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 xml:space="preserve">El pasado 19 de julio de 2010 entró en vigor la Ley núm. 82-2010, según enmendada, conocida como </w:t>
      </w:r>
      <w:r w:rsidRPr="0097185E">
        <w:rPr>
          <w:rFonts w:ascii="Book Antiqua" w:hAnsi="Book Antiqua" w:cs="Times New Roman"/>
          <w:i/>
          <w:iCs/>
        </w:rPr>
        <w:t>Ley de Política Pública de Diversificación Energética por Medio de la Energía Renovable Sostenible y Alterna en Puerto Rico</w:t>
      </w:r>
      <w:r w:rsidRPr="0097185E">
        <w:rPr>
          <w:rFonts w:ascii="Book Antiqua" w:hAnsi="Book Antiqua" w:cs="Times New Roman"/>
        </w:rPr>
        <w:t xml:space="preserve">. </w:t>
      </w:r>
      <w:r w:rsidR="005134B5" w:rsidRPr="0097185E">
        <w:rPr>
          <w:rFonts w:ascii="Book Antiqua" w:hAnsi="Book Antiqua" w:cs="Times New Roman"/>
        </w:rPr>
        <w:t xml:space="preserve">Dicha Ley, además de establecer la Política Pública Energética de entonces, enumeró aquellas fuentes de energía renovable que pueden considerarse para fines de cumplir con el mandato y la política púbica dispuesto en dicha ley. De igual manera, establece una ambiciosa cartera de energía renovable que busca alcanzar un cien porciento (100%) de energía renovable para el año 2050, y promover la integración de energía limpia. </w:t>
      </w:r>
    </w:p>
    <w:p w14:paraId="010A0B58" w14:textId="77777777" w:rsidR="0043033E" w:rsidRDefault="0043033E" w:rsidP="0043033E">
      <w:pPr>
        <w:suppressLineNumbers/>
        <w:ind w:firstLine="720"/>
        <w:jc w:val="both"/>
        <w:rPr>
          <w:rFonts w:ascii="Book Antiqua" w:hAnsi="Book Antiqua" w:cs="Times New Roman"/>
        </w:rPr>
      </w:pPr>
    </w:p>
    <w:p w14:paraId="0EEC0594" w14:textId="770E7777" w:rsidR="005134B5" w:rsidRPr="0097185E" w:rsidRDefault="005134B5" w:rsidP="0043033E">
      <w:pPr>
        <w:suppressLineNumbers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Sin embargo</w:t>
      </w:r>
      <w:r w:rsidR="002C1469" w:rsidRPr="0097185E">
        <w:rPr>
          <w:rFonts w:ascii="Book Antiqua" w:hAnsi="Book Antiqua" w:cs="Times New Roman"/>
        </w:rPr>
        <w:t xml:space="preserve">, </w:t>
      </w:r>
      <w:r w:rsidR="000D5257" w:rsidRPr="0097185E">
        <w:rPr>
          <w:rFonts w:ascii="Book Antiqua" w:hAnsi="Book Antiqua" w:cs="Times New Roman"/>
        </w:rPr>
        <w:t xml:space="preserve">recientemente tanto el Negociado de Energía de Puerto Rico, como la Autoridad de Energía Eléctrica han expresado que se encuentran contratado y comenzando a ejecutar la construcción de proyectos de energía renovable, que buscan robustecer el sistema energético del país. Aun cuando entienden que la meta de tener un </w:t>
      </w:r>
      <w:r w:rsidR="000D5257" w:rsidRPr="0097185E">
        <w:rPr>
          <w:rFonts w:ascii="Book Antiqua" w:hAnsi="Book Antiqua" w:cs="Times New Roman"/>
        </w:rPr>
        <w:lastRenderedPageBreak/>
        <w:t xml:space="preserve">40% de fuentes de energía renovable </w:t>
      </w:r>
      <w:r w:rsidR="00DD779D" w:rsidRPr="0097185E">
        <w:rPr>
          <w:rFonts w:ascii="Book Antiqua" w:hAnsi="Book Antiqua" w:cs="Times New Roman"/>
        </w:rPr>
        <w:t>para el 2026, resulta necesario ampliar las opciones disponibles para cumplir con esa meta.</w:t>
      </w:r>
      <w:r w:rsidR="0071208D" w:rsidRPr="0097185E">
        <w:rPr>
          <w:rStyle w:val="FootnoteReference"/>
          <w:rFonts w:ascii="Book Antiqua" w:hAnsi="Book Antiqua" w:cs="Times New Roman"/>
        </w:rPr>
        <w:footnoteReference w:id="1"/>
      </w:r>
      <w:r w:rsidR="0071208D" w:rsidRPr="0097185E">
        <w:rPr>
          <w:rFonts w:ascii="Book Antiqua" w:hAnsi="Book Antiqua" w:cs="Times New Roman"/>
        </w:rPr>
        <w:t xml:space="preserve"> </w:t>
      </w:r>
      <w:r w:rsidR="00DD779D" w:rsidRPr="0097185E">
        <w:rPr>
          <w:rFonts w:ascii="Book Antiqua" w:hAnsi="Book Antiqua" w:cs="Times New Roman"/>
        </w:rPr>
        <w:t xml:space="preserve"> </w:t>
      </w:r>
    </w:p>
    <w:p w14:paraId="7760CFAF" w14:textId="77777777" w:rsidR="0043033E" w:rsidRDefault="0043033E" w:rsidP="0043033E">
      <w:pPr>
        <w:suppressLineNumbers/>
        <w:ind w:firstLine="720"/>
        <w:jc w:val="both"/>
        <w:rPr>
          <w:rFonts w:ascii="Book Antiqua" w:hAnsi="Book Antiqua" w:cs="Times New Roman"/>
        </w:rPr>
      </w:pPr>
    </w:p>
    <w:p w14:paraId="15F289B9" w14:textId="77777777" w:rsidR="00821739" w:rsidRDefault="00DD779D" w:rsidP="00821739">
      <w:pPr>
        <w:suppressLineNumbers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 xml:space="preserve">Igualmente, Puerto Rico se uniría a la tendencia de los Estados Unidos de América, y naciones europeas, asiáticas y Oceanía en el esfuerzo promover el hidrógeno como fuente alterna de energía. Asimismo, Puerto Rico añadiría a su cartera de energía renovable opciones adicionales para buscar la reducción de costos en la producción de la energía y beneficiar el bolsillo del consumidor puertorriqueño. </w:t>
      </w:r>
    </w:p>
    <w:p w14:paraId="32DE6F7D" w14:textId="77777777" w:rsidR="00821739" w:rsidRDefault="00821739" w:rsidP="00821739">
      <w:pPr>
        <w:suppressLineNumbers/>
        <w:jc w:val="both"/>
        <w:rPr>
          <w:rFonts w:ascii="Book Antiqua" w:hAnsi="Book Antiqua" w:cs="Times New Roman"/>
        </w:rPr>
      </w:pPr>
    </w:p>
    <w:p w14:paraId="38C53710" w14:textId="7EA5EF4F" w:rsidR="00BA04CC" w:rsidRPr="00821739" w:rsidRDefault="00CC57F9" w:rsidP="00821739">
      <w:pPr>
        <w:suppressLineNumbers/>
        <w:jc w:val="both"/>
        <w:rPr>
          <w:rFonts w:ascii="Book Antiqua" w:hAnsi="Book Antiqua" w:cs="Times New Roman"/>
        </w:rPr>
      </w:pPr>
      <w:r w:rsidRPr="00CC57F9">
        <w:rPr>
          <w:rFonts w:ascii="Book Antiqua" w:hAnsi="Book Antiqua"/>
          <w:i/>
          <w:iCs/>
        </w:rPr>
        <w:t>DECRÉT</w:t>
      </w:r>
      <w:r w:rsidR="00AA254E">
        <w:rPr>
          <w:rFonts w:ascii="Book Antiqua" w:hAnsi="Book Antiqua"/>
          <w:i/>
          <w:iCs/>
        </w:rPr>
        <w:t>A</w:t>
      </w:r>
      <w:r w:rsidRPr="00CC57F9">
        <w:rPr>
          <w:rFonts w:ascii="Book Antiqua" w:hAnsi="Book Antiqua"/>
          <w:i/>
          <w:iCs/>
        </w:rPr>
        <w:t>SE POR LA ASAMBLEA LEGISLATIVA</w:t>
      </w:r>
      <w:r w:rsidR="00821739">
        <w:rPr>
          <w:rFonts w:ascii="Book Antiqua" w:hAnsi="Book Antiqua"/>
          <w:i/>
          <w:iCs/>
        </w:rPr>
        <w:t xml:space="preserve"> DE PUERTO RICO</w:t>
      </w:r>
      <w:r w:rsidR="0043033E" w:rsidRPr="00CC57F9">
        <w:rPr>
          <w:rFonts w:ascii="Book Antiqua" w:hAnsi="Book Antiqua"/>
          <w:i/>
          <w:iCs/>
        </w:rPr>
        <w:t>:</w:t>
      </w:r>
    </w:p>
    <w:p w14:paraId="3FE6760B" w14:textId="77777777" w:rsidR="00BA04CC" w:rsidRPr="0097185E" w:rsidRDefault="00BA04CC" w:rsidP="0043033E">
      <w:pPr>
        <w:suppressLineNumbers/>
        <w:jc w:val="both"/>
        <w:rPr>
          <w:rFonts w:ascii="Book Antiqua" w:hAnsi="Book Antiqua" w:cs="Times New Roman"/>
        </w:rPr>
      </w:pPr>
    </w:p>
    <w:p w14:paraId="6E61EEAF" w14:textId="397CD542" w:rsidR="00BA04CC" w:rsidRPr="0097185E" w:rsidRDefault="001755CF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Artículo</w:t>
      </w:r>
      <w:r w:rsidR="00BA04CC" w:rsidRPr="0097185E">
        <w:rPr>
          <w:rFonts w:ascii="Book Antiqua" w:hAnsi="Book Antiqua" w:cs="Times New Roman"/>
        </w:rPr>
        <w:t xml:space="preserve"> 1.</w:t>
      </w:r>
      <w:r w:rsidR="0043033E">
        <w:rPr>
          <w:rFonts w:ascii="Book Antiqua" w:hAnsi="Book Antiqua" w:cs="Times New Roman"/>
        </w:rPr>
        <w:t>-</w:t>
      </w:r>
      <w:r w:rsidR="001C05AF" w:rsidRPr="0097185E">
        <w:rPr>
          <w:rFonts w:ascii="Book Antiqua" w:hAnsi="Book Antiqua" w:cs="Times New Roman"/>
        </w:rPr>
        <w:t>Se añade</w:t>
      </w:r>
      <w:r w:rsidR="00DD779D" w:rsidRPr="0097185E">
        <w:rPr>
          <w:rFonts w:ascii="Book Antiqua" w:hAnsi="Book Antiqua" w:cs="Times New Roman"/>
        </w:rPr>
        <w:t xml:space="preserve"> el</w:t>
      </w:r>
      <w:r w:rsidR="00B15FC6" w:rsidRPr="0097185E">
        <w:rPr>
          <w:rFonts w:ascii="Book Antiqua" w:hAnsi="Book Antiqua" w:cs="Times New Roman"/>
        </w:rPr>
        <w:t xml:space="preserve"> sub-inciso</w:t>
      </w:r>
      <w:r w:rsidR="001C05AF" w:rsidRPr="0097185E">
        <w:rPr>
          <w:rFonts w:ascii="Book Antiqua" w:hAnsi="Book Antiqua" w:cs="Times New Roman"/>
        </w:rPr>
        <w:t xml:space="preserve"> (</w:t>
      </w:r>
      <w:r w:rsidR="00572668" w:rsidRPr="0097185E">
        <w:rPr>
          <w:rFonts w:ascii="Book Antiqua" w:hAnsi="Book Antiqua" w:cs="Times New Roman"/>
        </w:rPr>
        <w:t>d</w:t>
      </w:r>
      <w:r w:rsidR="001C05AF" w:rsidRPr="0097185E">
        <w:rPr>
          <w:rFonts w:ascii="Book Antiqua" w:hAnsi="Book Antiqua" w:cs="Times New Roman"/>
        </w:rPr>
        <w:t xml:space="preserve">) </w:t>
      </w:r>
      <w:r w:rsidR="00DD779D" w:rsidRPr="0097185E">
        <w:rPr>
          <w:rFonts w:ascii="Book Antiqua" w:hAnsi="Book Antiqua" w:cs="Times New Roman"/>
        </w:rPr>
        <w:t xml:space="preserve">al inciso </w:t>
      </w:r>
      <w:r w:rsidR="001C05AF" w:rsidRPr="0097185E">
        <w:rPr>
          <w:rFonts w:ascii="Book Antiqua" w:hAnsi="Book Antiqua" w:cs="Times New Roman"/>
        </w:rPr>
        <w:t>(1</w:t>
      </w:r>
      <w:r w:rsidR="00572668" w:rsidRPr="0097185E">
        <w:rPr>
          <w:rFonts w:ascii="Book Antiqua" w:hAnsi="Book Antiqua" w:cs="Times New Roman"/>
        </w:rPr>
        <w:t>3</w:t>
      </w:r>
      <w:r w:rsidR="001C05AF" w:rsidRPr="0097185E">
        <w:rPr>
          <w:rFonts w:ascii="Book Antiqua" w:hAnsi="Book Antiqua" w:cs="Times New Roman"/>
        </w:rPr>
        <w:t>) del Artículo 1.4 de la</w:t>
      </w:r>
      <w:r w:rsidR="00B15FC6" w:rsidRPr="0097185E">
        <w:rPr>
          <w:rFonts w:ascii="Book Antiqua" w:hAnsi="Book Antiqua" w:cs="Times New Roman"/>
        </w:rPr>
        <w:t xml:space="preserve"> </w:t>
      </w:r>
      <w:r w:rsidR="001C05AF" w:rsidRPr="0097185E">
        <w:rPr>
          <w:rFonts w:ascii="Book Antiqua" w:hAnsi="Book Antiqua" w:cs="Times New Roman"/>
        </w:rPr>
        <w:t xml:space="preserve">Ley Núm. 82-2010, según enmendada, </w:t>
      </w:r>
      <w:r w:rsidR="008A56D9" w:rsidRPr="0097185E">
        <w:rPr>
          <w:rFonts w:ascii="Book Antiqua" w:hAnsi="Book Antiqua" w:cs="Times New Roman"/>
        </w:rPr>
        <w:t>para que lea como sigue</w:t>
      </w:r>
      <w:r w:rsidR="001C05AF" w:rsidRPr="0097185E">
        <w:rPr>
          <w:rFonts w:ascii="Book Antiqua" w:hAnsi="Book Antiqua" w:cs="Times New Roman"/>
        </w:rPr>
        <w:t xml:space="preserve">: </w:t>
      </w:r>
    </w:p>
    <w:p w14:paraId="3D1FCBA4" w14:textId="6A9E3491" w:rsidR="001C05AF" w:rsidRPr="0097185E" w:rsidRDefault="001C05AF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Artículo 1.4. -Definiciones. ---</w:t>
      </w:r>
    </w:p>
    <w:p w14:paraId="07A3417B" w14:textId="79A72057" w:rsidR="001C05AF" w:rsidRPr="0097185E" w:rsidRDefault="001C05AF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 xml:space="preserve">Para los fines de esta Ley, los siguientes términos o frases tendrán el significado que a continuación se expresan, excepto donde claramente indique lo contrario, y los términos utilizados en singular incluirán el plural y viceversa: </w:t>
      </w:r>
    </w:p>
    <w:p w14:paraId="36E32B1E" w14:textId="041FBD11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3D3C4BB6" w14:textId="6D58A7C0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66B1BD87" w14:textId="7DC25A13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5ACAA6A0" w14:textId="4FE90C1D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65BA17E8" w14:textId="50243846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165A3C2A" w14:textId="5C4B1957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69F4E8E8" w14:textId="5E4B52B8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1E37E1B9" w14:textId="123B7759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6F15A861" w14:textId="0D31DB34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lastRenderedPageBreak/>
        <w:t>…</w:t>
      </w:r>
    </w:p>
    <w:p w14:paraId="7925316F" w14:textId="5F987C48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5DE6F7E7" w14:textId="06AC723D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4DEDA0B3" w14:textId="3A6AA35A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…</w:t>
      </w:r>
    </w:p>
    <w:p w14:paraId="29CD063B" w14:textId="54AEB7A4" w:rsidR="001C05AF" w:rsidRPr="0097185E" w:rsidRDefault="001C05AF" w:rsidP="001C05A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 xml:space="preserve">“Energía renovable </w:t>
      </w:r>
      <w:r w:rsidR="00572668" w:rsidRPr="0097185E">
        <w:rPr>
          <w:rFonts w:ascii="Book Antiqua" w:hAnsi="Book Antiqua" w:cs="Times New Roman"/>
        </w:rPr>
        <w:t>alterna</w:t>
      </w:r>
      <w:r w:rsidRPr="0097185E">
        <w:rPr>
          <w:rFonts w:ascii="Book Antiqua" w:hAnsi="Book Antiqua" w:cs="Times New Roman"/>
        </w:rPr>
        <w:t>”.</w:t>
      </w:r>
      <w:r w:rsidR="00433C10" w:rsidRPr="0097185E">
        <w:rPr>
          <w:rFonts w:ascii="Book Antiqua" w:hAnsi="Book Antiqua" w:cs="Times New Roman"/>
        </w:rPr>
        <w:t xml:space="preserve"> </w:t>
      </w:r>
      <w:r w:rsidRPr="0097185E">
        <w:rPr>
          <w:rFonts w:ascii="Book Antiqua" w:hAnsi="Book Antiqua" w:cs="Times New Roman"/>
        </w:rPr>
        <w:t xml:space="preserve">--- </w:t>
      </w:r>
      <w:r w:rsidR="00572668" w:rsidRPr="0097185E">
        <w:rPr>
          <w:rFonts w:ascii="Book Antiqua" w:hAnsi="Book Antiqua" w:cs="Times New Roman"/>
        </w:rPr>
        <w:t>significa la energía derivada de las siguientes fuentes:</w:t>
      </w:r>
    </w:p>
    <w:p w14:paraId="36DE23C1" w14:textId="0D0078BC" w:rsidR="00B15FC6" w:rsidRPr="0097185E" w:rsidRDefault="00DD779D" w:rsidP="001C05AF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c</w:t>
      </w:r>
      <w:r w:rsidR="00572668" w:rsidRPr="0097185E">
        <w:rPr>
          <w:rFonts w:ascii="Book Antiqua" w:hAnsi="Book Antiqua" w:cs="Times New Roman"/>
        </w:rPr>
        <w:t>ombustión de gas derivado de un sistema de relleno sanitario;</w:t>
      </w:r>
    </w:p>
    <w:p w14:paraId="493F9E45" w14:textId="464FDE58" w:rsidR="00572668" w:rsidRPr="0097185E" w:rsidRDefault="00DD779D" w:rsidP="001C05AF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d</w:t>
      </w:r>
      <w:r w:rsidR="00572668" w:rsidRPr="0097185E">
        <w:rPr>
          <w:rFonts w:ascii="Book Antiqua" w:hAnsi="Book Antiqua" w:cs="Times New Roman"/>
        </w:rPr>
        <w:t>igestión anaeróbica;</w:t>
      </w:r>
    </w:p>
    <w:p w14:paraId="3055F27B" w14:textId="1B14E6AA" w:rsidR="00572668" w:rsidRPr="0097185E" w:rsidRDefault="00DD779D" w:rsidP="001C05AF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p</w:t>
      </w:r>
      <w:r w:rsidR="00572668" w:rsidRPr="0097185E">
        <w:rPr>
          <w:rFonts w:ascii="Book Antiqua" w:hAnsi="Book Antiqua" w:cs="Times New Roman"/>
        </w:rPr>
        <w:t>ilas de combustible (“</w:t>
      </w:r>
      <w:r w:rsidR="00572668" w:rsidRPr="0097185E">
        <w:rPr>
          <w:rFonts w:ascii="Book Antiqua" w:hAnsi="Book Antiqua" w:cs="Times New Roman"/>
          <w:i/>
          <w:iCs/>
        </w:rPr>
        <w:t>fuel cells</w:t>
      </w:r>
      <w:r w:rsidR="00572668" w:rsidRPr="0097185E">
        <w:rPr>
          <w:rFonts w:ascii="Book Antiqua" w:hAnsi="Book Antiqua" w:cs="Times New Roman"/>
        </w:rPr>
        <w:t>”, en inglés)</w:t>
      </w:r>
      <w:r w:rsidR="008A56D9" w:rsidRPr="0097185E">
        <w:rPr>
          <w:rFonts w:ascii="Book Antiqua" w:hAnsi="Book Antiqua" w:cs="Times New Roman"/>
          <w:strike/>
        </w:rPr>
        <w:t>.</w:t>
      </w:r>
      <w:r w:rsidR="008A56D9" w:rsidRPr="0097185E">
        <w:rPr>
          <w:rFonts w:ascii="Book Antiqua" w:hAnsi="Book Antiqua" w:cs="Times New Roman"/>
          <w:i/>
          <w:iCs/>
        </w:rPr>
        <w:t>;</w:t>
      </w:r>
    </w:p>
    <w:p w14:paraId="10E432BD" w14:textId="54AADF44" w:rsidR="001C05AF" w:rsidRPr="0097185E" w:rsidRDefault="008E67B8" w:rsidP="001C05AF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Book Antiqua" w:hAnsi="Book Antiqua" w:cs="Times New Roman"/>
          <w:i/>
          <w:iCs/>
        </w:rPr>
      </w:pPr>
      <w:r w:rsidRPr="0097185E">
        <w:rPr>
          <w:rFonts w:ascii="Book Antiqua" w:hAnsi="Book Antiqua" w:cs="Times New Roman"/>
          <w:i/>
          <w:iCs/>
        </w:rPr>
        <w:t>hidrógeno</w:t>
      </w:r>
      <w:r w:rsidR="008A56D9" w:rsidRPr="0097185E">
        <w:rPr>
          <w:rFonts w:ascii="Book Antiqua" w:hAnsi="Book Antiqua" w:cs="Times New Roman"/>
          <w:i/>
          <w:iCs/>
        </w:rPr>
        <w:t>.</w:t>
      </w:r>
    </w:p>
    <w:p w14:paraId="1C6A22B5" w14:textId="3F1A74FE" w:rsidR="001755CF" w:rsidRPr="0097185E" w:rsidRDefault="001755CF" w:rsidP="001755CF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Artículo 2.-Separabilidad</w:t>
      </w:r>
    </w:p>
    <w:p w14:paraId="2EC22E94" w14:textId="77777777" w:rsidR="001755CF" w:rsidRPr="0097185E" w:rsidRDefault="001755CF" w:rsidP="001755CF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Si cualquier artículo, disposición, párrafo, inciso o parte de esta Ley, fuese declarada nula o inconstitucional por cualquier Tribunal competente, se entenderá que el resto de sus disposiciones mantendrán su validez y vigencia.</w:t>
      </w:r>
    </w:p>
    <w:p w14:paraId="6A81BFC6" w14:textId="51305B3F" w:rsidR="001755CF" w:rsidRPr="0097185E" w:rsidRDefault="001755CF" w:rsidP="001755CF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97185E">
        <w:rPr>
          <w:rFonts w:ascii="Book Antiqua" w:hAnsi="Book Antiqua" w:cs="Times New Roman"/>
        </w:rPr>
        <w:t>Artículo 3.-Vigencia.</w:t>
      </w:r>
    </w:p>
    <w:p w14:paraId="4B5D4BE7" w14:textId="0EA7113C" w:rsidR="009E6186" w:rsidRPr="0097185E" w:rsidRDefault="001755CF" w:rsidP="001755CF">
      <w:pPr>
        <w:spacing w:line="480" w:lineRule="auto"/>
        <w:ind w:firstLine="720"/>
        <w:jc w:val="both"/>
        <w:rPr>
          <w:rFonts w:ascii="Book Antiqua" w:eastAsia="Segoe UI Symbol" w:hAnsi="Book Antiqua" w:cs="Times New Roman"/>
          <w:lang w:eastAsia="ja-JP"/>
        </w:rPr>
      </w:pPr>
      <w:r w:rsidRPr="0097185E">
        <w:rPr>
          <w:rFonts w:ascii="Book Antiqua" w:hAnsi="Book Antiqua" w:cs="Times New Roman"/>
        </w:rPr>
        <w:t>Esta Ley entrará en vigor inmediatamente, luego de su aprobación.</w:t>
      </w:r>
    </w:p>
    <w:sectPr w:rsidR="009E6186" w:rsidRPr="0097185E" w:rsidSect="00821739">
      <w:headerReference w:type="default" r:id="rId8"/>
      <w:footerReference w:type="default" r:id="rId9"/>
      <w:pgSz w:w="12240" w:h="15840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6DC8C" w14:textId="77777777" w:rsidR="00223EE6" w:rsidRDefault="00223EE6" w:rsidP="00223EE6">
      <w:r>
        <w:separator/>
      </w:r>
    </w:p>
  </w:endnote>
  <w:endnote w:type="continuationSeparator" w:id="0">
    <w:p w14:paraId="22117781" w14:textId="77777777" w:rsidR="00223EE6" w:rsidRDefault="00223EE6" w:rsidP="0022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9D725" w14:textId="64E44D5D" w:rsidR="00821739" w:rsidRDefault="00821739" w:rsidP="00821739">
    <w:pPr>
      <w:pStyle w:val="Footer"/>
    </w:pPr>
  </w:p>
  <w:p w14:paraId="091CE8DC" w14:textId="77777777" w:rsidR="00223EE6" w:rsidRDefault="00223E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554B5" w14:textId="77777777" w:rsidR="00223EE6" w:rsidRDefault="00223EE6" w:rsidP="00223EE6">
      <w:r>
        <w:separator/>
      </w:r>
    </w:p>
  </w:footnote>
  <w:footnote w:type="continuationSeparator" w:id="0">
    <w:p w14:paraId="464885B0" w14:textId="77777777" w:rsidR="00223EE6" w:rsidRDefault="00223EE6" w:rsidP="00223EE6">
      <w:r>
        <w:continuationSeparator/>
      </w:r>
    </w:p>
  </w:footnote>
  <w:footnote w:id="1">
    <w:p w14:paraId="74EBECA0" w14:textId="12E2C9A2" w:rsidR="0071208D" w:rsidRPr="0071208D" w:rsidRDefault="0071208D" w:rsidP="0071208D">
      <w:pPr>
        <w:pStyle w:val="FootnoteText"/>
        <w:jc w:val="both"/>
        <w:rPr>
          <w:rFonts w:ascii="Times New Roman" w:hAnsi="Times New Roman" w:cs="Times New Roman"/>
          <w:lang w:val="es-PR"/>
        </w:rPr>
      </w:pPr>
      <w:r w:rsidRPr="0071208D">
        <w:rPr>
          <w:rStyle w:val="FootnoteReference"/>
          <w:rFonts w:ascii="Times New Roman" w:hAnsi="Times New Roman" w:cs="Times New Roman"/>
        </w:rPr>
        <w:footnoteRef/>
      </w:r>
      <w:r w:rsidRPr="0071208D">
        <w:rPr>
          <w:rFonts w:ascii="Times New Roman" w:hAnsi="Times New Roman" w:cs="Times New Roman"/>
        </w:rPr>
        <w:t xml:space="preserve"> </w:t>
      </w:r>
      <w:r w:rsidRPr="0071208D">
        <w:rPr>
          <w:rFonts w:ascii="Times New Roman" w:hAnsi="Times New Roman" w:cs="Times New Roman"/>
          <w:lang w:val="es-PR"/>
        </w:rPr>
        <w:tab/>
      </w:r>
      <w:r w:rsidRPr="0071208D">
        <w:rPr>
          <w:rFonts w:ascii="Times New Roman" w:hAnsi="Times New Roman" w:cs="Times New Roman"/>
        </w:rPr>
        <w:t xml:space="preserve">Como acción afirmativa, ya el Gobierno de Puerto Rico había incluido la combustión de hidrógeno como fuente de producción de energía. </w:t>
      </w:r>
      <w:r w:rsidRPr="0071208D">
        <w:rPr>
          <w:rFonts w:ascii="Times New Roman" w:hAnsi="Times New Roman" w:cs="Times New Roman"/>
          <w:i/>
          <w:iCs/>
          <w:lang w:val="es-PR"/>
        </w:rPr>
        <w:t>Véase</w:t>
      </w:r>
      <w:r w:rsidRPr="0071208D">
        <w:rPr>
          <w:rFonts w:ascii="Times New Roman" w:hAnsi="Times New Roman" w:cs="Times New Roman"/>
          <w:lang w:val="es-PR"/>
        </w:rPr>
        <w:t xml:space="preserve"> Boletín Administrativo Núm. OE-2022-022.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8883998"/>
      <w:docPartObj>
        <w:docPartGallery w:val="Page Numbers (Top of Page)"/>
        <w:docPartUnique/>
      </w:docPartObj>
    </w:sdtPr>
    <w:sdtEndPr/>
    <w:sdtContent>
      <w:p w14:paraId="69C78B15" w14:textId="2DE864A1" w:rsidR="00821739" w:rsidRDefault="0082173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2C0065" w14:textId="77777777" w:rsidR="00821739" w:rsidRDefault="00821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A7473"/>
    <w:multiLevelType w:val="hybridMultilevel"/>
    <w:tmpl w:val="CDF81B5E"/>
    <w:lvl w:ilvl="0" w:tplc="B2223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7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186"/>
    <w:rsid w:val="00006A2E"/>
    <w:rsid w:val="000356AB"/>
    <w:rsid w:val="000425EF"/>
    <w:rsid w:val="0004688F"/>
    <w:rsid w:val="00070222"/>
    <w:rsid w:val="00092EDA"/>
    <w:rsid w:val="000A759C"/>
    <w:rsid w:val="000D5257"/>
    <w:rsid w:val="000D60EF"/>
    <w:rsid w:val="001755CF"/>
    <w:rsid w:val="00175AE5"/>
    <w:rsid w:val="00191489"/>
    <w:rsid w:val="001A0039"/>
    <w:rsid w:val="001A3FEC"/>
    <w:rsid w:val="001C05AF"/>
    <w:rsid w:val="001C0F41"/>
    <w:rsid w:val="001E0C28"/>
    <w:rsid w:val="00223EE6"/>
    <w:rsid w:val="00227001"/>
    <w:rsid w:val="002561DE"/>
    <w:rsid w:val="00271CC6"/>
    <w:rsid w:val="002B441B"/>
    <w:rsid w:val="002B53C5"/>
    <w:rsid w:val="002C1469"/>
    <w:rsid w:val="003014AC"/>
    <w:rsid w:val="00314D77"/>
    <w:rsid w:val="00326CB3"/>
    <w:rsid w:val="00332D7F"/>
    <w:rsid w:val="0037533E"/>
    <w:rsid w:val="003772CA"/>
    <w:rsid w:val="003B4301"/>
    <w:rsid w:val="003D1A31"/>
    <w:rsid w:val="003E20DC"/>
    <w:rsid w:val="003F3D93"/>
    <w:rsid w:val="00404A4B"/>
    <w:rsid w:val="0043033E"/>
    <w:rsid w:val="00433C10"/>
    <w:rsid w:val="00464010"/>
    <w:rsid w:val="004760AC"/>
    <w:rsid w:val="004B08FE"/>
    <w:rsid w:val="004B2349"/>
    <w:rsid w:val="004E3D45"/>
    <w:rsid w:val="004F12BC"/>
    <w:rsid w:val="005100E5"/>
    <w:rsid w:val="005134B5"/>
    <w:rsid w:val="00545735"/>
    <w:rsid w:val="0055706B"/>
    <w:rsid w:val="00572668"/>
    <w:rsid w:val="00585DD4"/>
    <w:rsid w:val="005A0051"/>
    <w:rsid w:val="005C3C4D"/>
    <w:rsid w:val="00616A42"/>
    <w:rsid w:val="00617AE0"/>
    <w:rsid w:val="00651890"/>
    <w:rsid w:val="006A1BD0"/>
    <w:rsid w:val="007009B6"/>
    <w:rsid w:val="00706965"/>
    <w:rsid w:val="0071208D"/>
    <w:rsid w:val="00717F9A"/>
    <w:rsid w:val="00734BB0"/>
    <w:rsid w:val="007563B6"/>
    <w:rsid w:val="00765FB1"/>
    <w:rsid w:val="00767419"/>
    <w:rsid w:val="0079575B"/>
    <w:rsid w:val="007A211B"/>
    <w:rsid w:val="007C02D1"/>
    <w:rsid w:val="007C7C0C"/>
    <w:rsid w:val="00817556"/>
    <w:rsid w:val="00821739"/>
    <w:rsid w:val="00880EE1"/>
    <w:rsid w:val="00885F34"/>
    <w:rsid w:val="008944A9"/>
    <w:rsid w:val="008A56D9"/>
    <w:rsid w:val="008A7C01"/>
    <w:rsid w:val="008E67B8"/>
    <w:rsid w:val="00911C1D"/>
    <w:rsid w:val="00935745"/>
    <w:rsid w:val="00937C83"/>
    <w:rsid w:val="0094085F"/>
    <w:rsid w:val="0097185E"/>
    <w:rsid w:val="009854E2"/>
    <w:rsid w:val="009B3A9D"/>
    <w:rsid w:val="009D72F5"/>
    <w:rsid w:val="009E6186"/>
    <w:rsid w:val="00A0360B"/>
    <w:rsid w:val="00A77AAD"/>
    <w:rsid w:val="00A80C43"/>
    <w:rsid w:val="00A829BB"/>
    <w:rsid w:val="00AA254E"/>
    <w:rsid w:val="00AD2982"/>
    <w:rsid w:val="00AD2B3B"/>
    <w:rsid w:val="00B03359"/>
    <w:rsid w:val="00B13475"/>
    <w:rsid w:val="00B15FC6"/>
    <w:rsid w:val="00B4227B"/>
    <w:rsid w:val="00B47E6D"/>
    <w:rsid w:val="00B5005F"/>
    <w:rsid w:val="00B64F68"/>
    <w:rsid w:val="00BA04CC"/>
    <w:rsid w:val="00BA482D"/>
    <w:rsid w:val="00BF2CB2"/>
    <w:rsid w:val="00C016E2"/>
    <w:rsid w:val="00CB6527"/>
    <w:rsid w:val="00CC0B4E"/>
    <w:rsid w:val="00CC57F9"/>
    <w:rsid w:val="00D23BEC"/>
    <w:rsid w:val="00D63C48"/>
    <w:rsid w:val="00D712BC"/>
    <w:rsid w:val="00D7443F"/>
    <w:rsid w:val="00D95331"/>
    <w:rsid w:val="00DC6094"/>
    <w:rsid w:val="00DD41BF"/>
    <w:rsid w:val="00DD5FE1"/>
    <w:rsid w:val="00DD779D"/>
    <w:rsid w:val="00DF174F"/>
    <w:rsid w:val="00E47026"/>
    <w:rsid w:val="00EA07F5"/>
    <w:rsid w:val="00EA1C69"/>
    <w:rsid w:val="00EB59F5"/>
    <w:rsid w:val="00F05171"/>
    <w:rsid w:val="00F0663F"/>
    <w:rsid w:val="00F304A6"/>
    <w:rsid w:val="00F55873"/>
    <w:rsid w:val="00F57DE8"/>
    <w:rsid w:val="00F80E8A"/>
    <w:rsid w:val="00F94200"/>
    <w:rsid w:val="00FA53E6"/>
    <w:rsid w:val="00FB20EE"/>
    <w:rsid w:val="00FC0775"/>
    <w:rsid w:val="00FF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AA250"/>
  <w14:defaultImageDpi w14:val="32767"/>
  <w15:chartTrackingRefBased/>
  <w15:docId w15:val="{2D46A9F5-2C9A-154A-BC2F-989E43EE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6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1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1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1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1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1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1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18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18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186"/>
    <w:rPr>
      <w:rFonts w:eastAsiaTheme="majorEastAsia" w:cstheme="majorBidi"/>
      <w:color w:val="2F5496" w:themeColor="accent1" w:themeShade="BF"/>
      <w:sz w:val="28"/>
      <w:szCs w:val="28"/>
      <w:lang w:val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186"/>
    <w:rPr>
      <w:rFonts w:eastAsiaTheme="majorEastAsia" w:cstheme="majorBidi"/>
      <w:i/>
      <w:iCs/>
      <w:color w:val="2F5496" w:themeColor="accent1" w:themeShade="BF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186"/>
    <w:rPr>
      <w:rFonts w:eastAsiaTheme="majorEastAsia" w:cstheme="majorBidi"/>
      <w:color w:val="2F5496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186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186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186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186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9E61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186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18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186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9E61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186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9E6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1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1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186"/>
    <w:rPr>
      <w:i/>
      <w:iCs/>
      <w:color w:val="2F5496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9E618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6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223EE6"/>
  </w:style>
  <w:style w:type="paragraph" w:styleId="Header">
    <w:name w:val="header"/>
    <w:basedOn w:val="Normal"/>
    <w:link w:val="HeaderChar"/>
    <w:uiPriority w:val="99"/>
    <w:unhideWhenUsed/>
    <w:rsid w:val="00223E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EE6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223E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EE6"/>
    <w:rPr>
      <w:lang w:val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56D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56D9"/>
    <w:rPr>
      <w:sz w:val="20"/>
      <w:szCs w:val="20"/>
      <w:lang w:val="es-ES"/>
    </w:rPr>
  </w:style>
  <w:style w:type="character" w:styleId="FootnoteReference">
    <w:name w:val="footnote reference"/>
    <w:basedOn w:val="DefaultParagraphFont"/>
    <w:uiPriority w:val="99"/>
    <w:semiHidden/>
    <w:unhideWhenUsed/>
    <w:rsid w:val="008A5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390A3-E8AF-4F25-9B42-938F0A25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E Gonzalez Ramos</dc:creator>
  <cp:keywords/>
  <dc:description/>
  <cp:lastModifiedBy>Gladys J. Burgos Torres</cp:lastModifiedBy>
  <cp:revision>5</cp:revision>
  <cp:lastPrinted>2025-02-25T20:22:00Z</cp:lastPrinted>
  <dcterms:created xsi:type="dcterms:W3CDTF">2025-02-25T19:47:00Z</dcterms:created>
  <dcterms:modified xsi:type="dcterms:W3CDTF">2025-02-26T20:38:00Z</dcterms:modified>
</cp:coreProperties>
</file>