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483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E616CD">
        <w:rPr>
          <w:rFonts w:ascii="Book Antiqua" w:eastAsia="Book Antiqua" w:hAnsi="Book Antiqua" w:cs="Book Antiqua"/>
          <w:bCs/>
          <w:sz w:val="36"/>
          <w:szCs w:val="36"/>
          <w:lang w:val="es-ES"/>
        </w:rPr>
        <w:t>GOBIERNO DE PUERTO RICO</w:t>
      </w:r>
    </w:p>
    <w:p w14:paraId="4F775E7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3170FE29" w14:textId="77777777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 xml:space="preserve">20 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ma.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Asamblea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1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ra.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>Sesión</w:t>
      </w:r>
    </w:p>
    <w:p w14:paraId="56D3446F" w14:textId="32D0D525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 xml:space="preserve">Legislativa                                                                                                          </w:t>
      </w:r>
      <w:r w:rsidR="00A7513C" w:rsidRPr="00E616CD">
        <w:rPr>
          <w:rFonts w:ascii="Book Antiqua" w:eastAsia="Book Antiqua" w:hAnsi="Book Antiqua" w:cs="Book Antiqua"/>
          <w:color w:val="000000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Ordinaria</w:t>
      </w:r>
    </w:p>
    <w:p w14:paraId="01F5327D" w14:textId="77777777" w:rsidR="00426A07" w:rsidRPr="00E616CD" w:rsidRDefault="00426A07" w:rsidP="00044471">
      <w:pPr>
        <w:spacing w:after="0" w:line="240" w:lineRule="auto"/>
        <w:rPr>
          <w:rFonts w:ascii="Book Antiqua" w:eastAsia="Book Antiqua" w:hAnsi="Book Antiqua" w:cs="Book Antiqua"/>
          <w:lang w:val="es-ES"/>
        </w:rPr>
      </w:pPr>
    </w:p>
    <w:p w14:paraId="369EA8EC" w14:textId="77777777" w:rsidR="00426A07" w:rsidRPr="00044471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044471">
        <w:rPr>
          <w:rFonts w:ascii="Book Antiqua" w:eastAsia="Book Antiqua" w:hAnsi="Book Antiqua" w:cs="Book Antiqua"/>
          <w:bCs/>
          <w:sz w:val="36"/>
          <w:szCs w:val="36"/>
          <w:lang w:val="es-ES"/>
        </w:rPr>
        <w:t>SENADO DE PUERTO RICO</w:t>
      </w:r>
    </w:p>
    <w:p w14:paraId="4A500309" w14:textId="7F72ECAF" w:rsidR="00426A07" w:rsidRPr="00044471" w:rsidRDefault="00426A07" w:rsidP="00044471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>P. d</w:t>
      </w:r>
      <w:r w:rsidR="008A0D47">
        <w:rPr>
          <w:rFonts w:ascii="Book Antiqua" w:eastAsia="Book Antiqua" w:hAnsi="Book Antiqua" w:cs="Book Antiqua"/>
          <w:b/>
          <w:sz w:val="52"/>
          <w:szCs w:val="52"/>
          <w:lang w:val="es-ES"/>
        </w:rPr>
        <w:t>e</w:t>
      </w:r>
      <w:r w:rsidR="003B1EBE"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8A0D47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S. </w:t>
      </w:r>
      <w:r w:rsidR="00264347">
        <w:rPr>
          <w:rFonts w:ascii="Book Antiqua" w:eastAsia="Book Antiqua" w:hAnsi="Book Antiqua" w:cs="Book Antiqua"/>
          <w:b/>
          <w:sz w:val="52"/>
          <w:szCs w:val="52"/>
          <w:lang w:val="es-ES"/>
        </w:rPr>
        <w:t>367</w:t>
      </w:r>
    </w:p>
    <w:p w14:paraId="5C6A50FB" w14:textId="77777777" w:rsidR="002129CF" w:rsidRPr="00044471" w:rsidRDefault="002129CF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"/>
        </w:rPr>
      </w:pPr>
    </w:p>
    <w:p w14:paraId="1C487A1A" w14:textId="72C49774" w:rsidR="00426A07" w:rsidRPr="00044471" w:rsidRDefault="00426A07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t xml:space="preserve">INFORME </w:t>
      </w:r>
      <w:r w:rsidR="008A0D47">
        <w:rPr>
          <w:rFonts w:ascii="Book Antiqua" w:eastAsia="Times New Roman" w:hAnsi="Book Antiqua" w:cs="Times New Roman"/>
          <w:b/>
          <w:sz w:val="28"/>
          <w:szCs w:val="28"/>
          <w:lang w:val="es-ES"/>
        </w:rPr>
        <w:t>NEGATIVO</w:t>
      </w:r>
      <w:r w:rsidRPr="00044471">
        <w:rPr>
          <w:rFonts w:ascii="Book Antiqua" w:eastAsia="Times New Roman" w:hAnsi="Book Antiqua" w:cs="Times New Roman"/>
          <w:b/>
          <w:sz w:val="32"/>
          <w:szCs w:val="32"/>
          <w:lang w:val="es-ES"/>
        </w:rPr>
        <w:br/>
      </w: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br/>
      </w:r>
      <w:r w:rsidR="00705EBE">
        <w:rPr>
          <w:rFonts w:ascii="Book Antiqua" w:eastAsia="Times New Roman" w:hAnsi="Book Antiqua" w:cs="Times New Roman"/>
          <w:sz w:val="24"/>
          <w:szCs w:val="24"/>
          <w:lang w:val="es-ES"/>
        </w:rPr>
        <w:t>2</w:t>
      </w:r>
      <w:r w:rsidR="00D121F1">
        <w:rPr>
          <w:rFonts w:ascii="Book Antiqua" w:eastAsia="Times New Roman" w:hAnsi="Book Antiqua" w:cs="Times New Roman"/>
          <w:sz w:val="24"/>
          <w:szCs w:val="24"/>
          <w:lang w:val="es-ES"/>
        </w:rPr>
        <w:t>3</w:t>
      </w:r>
      <w:r w:rsidR="004E6BFD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BF27E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de </w:t>
      </w:r>
      <w:r w:rsidR="00670AD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mayo 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de 2025</w:t>
      </w:r>
    </w:p>
    <w:p w14:paraId="238109F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8673BDE" w14:textId="77777777" w:rsidR="00426A07" w:rsidRPr="00044471" w:rsidRDefault="00426A07" w:rsidP="006D4354">
      <w:pPr>
        <w:spacing w:after="0" w:line="276" w:lineRule="auto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0"/>
          <w:lang w:val="es-ES"/>
        </w:rPr>
        <w:t>AL SENADO DE PUERTO RICO</w:t>
      </w:r>
    </w:p>
    <w:p w14:paraId="1B707AE8" w14:textId="77777777" w:rsidR="00426A07" w:rsidRPr="00044471" w:rsidRDefault="00426A07" w:rsidP="004A234C">
      <w:pPr>
        <w:spacing w:after="0" w:line="276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6B55823" w14:textId="2169FE35" w:rsidR="00426A07" w:rsidRPr="00044471" w:rsidRDefault="00426A07" w:rsidP="00D92FF8">
      <w:pPr>
        <w:spacing w:after="0" w:line="276" w:lineRule="auto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La</w:t>
      </w:r>
      <w:r w:rsidR="00670AD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734D01">
        <w:rPr>
          <w:rFonts w:ascii="Book Antiqua" w:eastAsia="Times New Roman" w:hAnsi="Book Antiqua" w:cs="Times New Roman"/>
          <w:sz w:val="24"/>
          <w:szCs w:val="24"/>
          <w:lang w:val="es-ES"/>
        </w:rPr>
        <w:t>Comisión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042970">
        <w:rPr>
          <w:rFonts w:ascii="Book Antiqua" w:eastAsia="Times New Roman" w:hAnsi="Book Antiqua" w:cs="Times New Roman"/>
          <w:sz w:val="24"/>
          <w:szCs w:val="24"/>
          <w:lang w:val="es-ES"/>
        </w:rPr>
        <w:t>Salud</w:t>
      </w:r>
      <w:r w:rsidR="00670AD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042970">
        <w:rPr>
          <w:rFonts w:ascii="Book Antiqua" w:eastAsia="Times New Roman" w:hAnsi="Book Antiqua" w:cs="Times New Roman"/>
          <w:sz w:val="24"/>
          <w:szCs w:val="24"/>
          <w:lang w:val="es-ES"/>
        </w:rPr>
        <w:t>del Senado de Puerto Rico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, previ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estudio y 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consideración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del </w:t>
      </w:r>
      <w:r w:rsidR="00E616CD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Proyecto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8A0D47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del Senado </w:t>
      </w:r>
      <w:r w:rsidR="00264347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367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, </w:t>
      </w:r>
      <w:r w:rsidR="008A0D47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no </w:t>
      </w:r>
      <w:r w:rsidRPr="00044471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recomienda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a este Alto Cuerpo </w:t>
      </w:r>
      <w:r w:rsidR="00E616CD" w:rsidRPr="00361147">
        <w:rPr>
          <w:rFonts w:ascii="Book Antiqua" w:eastAsia="Times New Roman" w:hAnsi="Book Antiqua" w:cs="Times New Roman"/>
          <w:sz w:val="24"/>
          <w:szCs w:val="24"/>
          <w:lang w:val="es-ES"/>
        </w:rPr>
        <w:t>su</w:t>
      </w:r>
      <w:r w:rsidRPr="00361147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aprobación</w:t>
      </w:r>
      <w:r w:rsidR="008A0D47">
        <w:rPr>
          <w:rFonts w:ascii="Book Antiqua" w:eastAsia="Times New Roman" w:hAnsi="Book Antiqua" w:cs="Times New Roman"/>
          <w:sz w:val="24"/>
          <w:szCs w:val="24"/>
          <w:lang w:val="es-ES"/>
        </w:rPr>
        <w:t>.</w:t>
      </w:r>
    </w:p>
    <w:p w14:paraId="417ECB02" w14:textId="77777777" w:rsidR="004C2432" w:rsidRPr="00044471" w:rsidRDefault="004C2432" w:rsidP="00D92FF8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1602F4C2" w14:textId="77777777" w:rsidR="00426A07" w:rsidRPr="005807B1" w:rsidRDefault="00426A07" w:rsidP="00EA46DF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  <w:r w:rsidRPr="005807B1"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  <w:t>ALCANCE DE LA MEDIDA</w:t>
      </w:r>
    </w:p>
    <w:p w14:paraId="2061121F" w14:textId="77777777" w:rsidR="00E616CD" w:rsidRPr="005807B1" w:rsidRDefault="00E616CD" w:rsidP="00EA46DF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</w:p>
    <w:p w14:paraId="6AECBE01" w14:textId="7A49F31E" w:rsidR="00057466" w:rsidRPr="006D135F" w:rsidRDefault="00EA7611" w:rsidP="00057466">
      <w:pPr>
        <w:spacing w:after="0" w:line="240" w:lineRule="auto"/>
        <w:ind w:left="547" w:hanging="547"/>
        <w:jc w:val="both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3D57DC">
        <w:rPr>
          <w:rFonts w:ascii="Book Antiqua" w:eastAsia="Times New Roman" w:hAnsi="Book Antiqua"/>
          <w:sz w:val="24"/>
          <w:szCs w:val="24"/>
          <w:lang w:val="es-PR"/>
        </w:rPr>
        <w:t xml:space="preserve">El </w:t>
      </w:r>
      <w:r w:rsidRPr="003D57DC">
        <w:rPr>
          <w:rFonts w:ascii="Book Antiqua" w:eastAsia="Times New Roman" w:hAnsi="Book Antiqua"/>
          <w:b/>
          <w:sz w:val="24"/>
          <w:szCs w:val="24"/>
          <w:lang w:val="es-PR"/>
        </w:rPr>
        <w:t xml:space="preserve">Proyecto </w:t>
      </w:r>
      <w:r w:rsidR="008A0D47" w:rsidRPr="003D57DC">
        <w:rPr>
          <w:rFonts w:ascii="Book Antiqua" w:eastAsia="Times New Roman" w:hAnsi="Book Antiqua"/>
          <w:b/>
          <w:sz w:val="24"/>
          <w:szCs w:val="24"/>
          <w:lang w:val="es-PR"/>
        </w:rPr>
        <w:t xml:space="preserve">del Senado </w:t>
      </w:r>
      <w:r w:rsidR="00705EBE">
        <w:rPr>
          <w:rFonts w:ascii="Book Antiqua" w:eastAsia="Times New Roman" w:hAnsi="Book Antiqua"/>
          <w:b/>
          <w:sz w:val="24"/>
          <w:szCs w:val="24"/>
          <w:lang w:val="es-PR"/>
        </w:rPr>
        <w:t>367</w:t>
      </w:r>
      <w:r w:rsidR="002B58BF" w:rsidRPr="003D57DC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bookmarkStart w:id="0" w:name="_Hlk194998703"/>
      <w:r w:rsidRPr="003D57DC">
        <w:rPr>
          <w:rFonts w:ascii="Book Antiqua" w:eastAsia="Times New Roman" w:hAnsi="Book Antiqua"/>
          <w:sz w:val="24"/>
          <w:szCs w:val="24"/>
          <w:lang w:val="es-PR"/>
        </w:rPr>
        <w:t>propone</w:t>
      </w:r>
      <w:bookmarkEnd w:id="0"/>
      <w:r w:rsidR="00ED2327" w:rsidRPr="003D57DC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057466"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enmendar los incisos (n) y (q) del Artículo 2 </w:t>
      </w:r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y el inciso (d) del Artículo 6 </w:t>
      </w:r>
      <w:r w:rsidR="00057466"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de la Ley 194-2000, según enmendada, conocida como “Carta de Derechos y Responsabilidades del Paciente”; y el inciso (c) del Artículo 2 de la Ley 296-2000, según enmendada, conocida como “Ley de Conservación de la Salud de Niños y Adolescentes de Puerto Rico”, a los fines de que la definición del término 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“Psicólogo” o “Sicólogo” que establecen la Ley 194, </w:t>
      </w:r>
      <w:r w:rsidR="00057466"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y la Ley 296, </w:t>
      </w:r>
      <w:r w:rsidR="00057466"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sean uniformes con la definición que sobre dicho término establece la </w:t>
      </w:r>
      <w:r w:rsidR="00057466" w:rsidRPr="006D135F">
        <w:rPr>
          <w:rFonts w:ascii="Book Antiqua" w:eastAsia="Times New Roman" w:hAnsi="Book Antiqua"/>
          <w:sz w:val="24"/>
          <w:szCs w:val="24"/>
          <w:lang w:val="es-ES_tradnl"/>
        </w:rPr>
        <w:t>Ley 408-2000, según enmendada, conocida como “Ley de Salud Mental de Puerto Rico”</w:t>
      </w:r>
      <w:r w:rsidR="00057466">
        <w:rPr>
          <w:rFonts w:ascii="Book Antiqua" w:eastAsia="Times New Roman" w:hAnsi="Book Antiqua"/>
          <w:sz w:val="24"/>
          <w:szCs w:val="24"/>
          <w:lang w:val="es-ES_tradnl"/>
        </w:rPr>
        <w:t>; y</w:t>
      </w:r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enm</w:t>
      </w:r>
      <w:r w:rsidR="00057466">
        <w:rPr>
          <w:rFonts w:ascii="Book Antiqua" w:eastAsia="Times New Roman" w:hAnsi="Book Antiqua"/>
          <w:sz w:val="24"/>
          <w:szCs w:val="24"/>
          <w:lang w:val="es-ES"/>
        </w:rPr>
        <w:t>e</w:t>
      </w:r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>nda</w:t>
      </w:r>
      <w:r w:rsidR="00057466">
        <w:rPr>
          <w:rFonts w:ascii="Book Antiqua" w:eastAsia="Times New Roman" w:hAnsi="Book Antiqua"/>
          <w:sz w:val="24"/>
          <w:szCs w:val="24"/>
          <w:lang w:val="es-ES"/>
        </w:rPr>
        <w:t>r</w:t>
      </w:r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el inciso (m) del Artículo 3, el inciso (a) del Artículo 4, y el inciso (d) del Artículo 6 de la Ley 220-2012, conocida como </w:t>
      </w:r>
      <w:r w:rsidR="00057466"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Ley para el Bienestar, Integración y Desarrollo de las personas con Autismo”; 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el Artículo 2 de la Ley </w:t>
      </w:r>
      <w:r w:rsidR="00057466" w:rsidRPr="006D135F">
        <w:rPr>
          <w:rFonts w:ascii="Book Antiqua" w:hAnsi="Book Antiqua"/>
          <w:bCs/>
          <w:sz w:val="24"/>
          <w:szCs w:val="24"/>
          <w:lang w:val="es-ES_tradnl"/>
        </w:rPr>
        <w:t xml:space="preserve">239-2012, conocida como “Ley para </w:t>
      </w:r>
      <w:r w:rsidR="00057466" w:rsidRPr="006D135F">
        <w:rPr>
          <w:rFonts w:ascii="Book Antiqua" w:hAnsi="Book Antiqua"/>
          <w:bCs/>
          <w:sz w:val="24"/>
          <w:szCs w:val="24"/>
          <w:lang w:val="es-ES"/>
        </w:rPr>
        <w:t>requerir a todas las compañías aseguradoras que incluyan, como parte de sus cubiertas, servicios provistos por profesionales de la psicología capacitados por educación a nivel de maestría o doctorado”; y</w:t>
      </w:r>
      <w:r w:rsidR="00057466"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</w:t>
      </w:r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el </w:t>
      </w:r>
      <w:proofErr w:type="spellStart"/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>sub-inciso</w:t>
      </w:r>
      <w:proofErr w:type="spellEnd"/>
      <w:r w:rsidR="00057466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(d) del Artículo 1.12 de la Ley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20-2017, conocida como “Ley del Departamento de Seguridad Pública de Puerto Rico” para conformarlos al estado de derecho establecido por la ley que </w:t>
      </w:r>
      <w:r w:rsidR="00057466" w:rsidRPr="006D135F">
        <w:rPr>
          <w:rFonts w:ascii="Book Antiqua" w:eastAsia="Times New Roman" w:hAnsi="Book Antiqua"/>
          <w:sz w:val="24"/>
          <w:szCs w:val="24"/>
          <w:lang w:val="es-ES_tradnl"/>
        </w:rPr>
        <w:t>regula la profesión de la Psicología en Puerto Rico</w:t>
      </w:r>
      <w:r w:rsidR="00057466" w:rsidRPr="006D135F">
        <w:rPr>
          <w:rFonts w:ascii="Book Antiqua" w:eastAsia="Times New Roman" w:hAnsi="Book Antiqua"/>
          <w:sz w:val="24"/>
          <w:szCs w:val="24"/>
          <w:lang w:val="es-PR"/>
        </w:rPr>
        <w:t>.</w:t>
      </w:r>
      <w:r w:rsidR="00057466" w:rsidRPr="006D135F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</w:p>
    <w:p w14:paraId="06992249" w14:textId="17422A06" w:rsidR="00ED2327" w:rsidRPr="00057466" w:rsidRDefault="00ED2327" w:rsidP="00D92FF8">
      <w:pPr>
        <w:ind w:left="450" w:hanging="45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17B69001" w14:textId="77777777" w:rsidR="00447A62" w:rsidRDefault="00447A62" w:rsidP="00670AD3">
      <w:pPr>
        <w:pStyle w:val="NoSpacing"/>
        <w:rPr>
          <w:lang w:val="es-ES"/>
        </w:rPr>
      </w:pPr>
    </w:p>
    <w:p w14:paraId="517745E5" w14:textId="2BC3F5B9" w:rsidR="00704781" w:rsidRDefault="00704781" w:rsidP="00EA46DF">
      <w:pPr>
        <w:jc w:val="center"/>
        <w:rPr>
          <w:rFonts w:ascii="Book Antiqua" w:hAnsi="Book Antiqua"/>
          <w:b/>
          <w:bCs/>
          <w:u w:val="single"/>
          <w:lang w:val="es-ES_tradnl"/>
        </w:rPr>
      </w:pPr>
      <w:r>
        <w:rPr>
          <w:rFonts w:ascii="Book Antiqua" w:hAnsi="Book Antiqua"/>
          <w:b/>
          <w:bCs/>
          <w:u w:val="single"/>
          <w:lang w:val="es-ES_tradnl"/>
        </w:rPr>
        <w:lastRenderedPageBreak/>
        <w:t>ANÁLISIS Y DISCUSIÓN DE LA MEDIDA</w:t>
      </w:r>
    </w:p>
    <w:p w14:paraId="737D3C99" w14:textId="77777777" w:rsidR="00BF1EAF" w:rsidRDefault="00BF1EAF" w:rsidP="00BF1EAF">
      <w:pPr>
        <w:pStyle w:val="NoSpacing"/>
        <w:rPr>
          <w:lang w:val="es-ES_tradnl"/>
        </w:rPr>
      </w:pPr>
    </w:p>
    <w:p w14:paraId="2CBACB4D" w14:textId="55906887" w:rsidR="00593A9A" w:rsidRDefault="00C52A54" w:rsidP="00DB7300">
      <w:pPr>
        <w:spacing w:after="120" w:line="288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Según se desprende de la </w:t>
      </w:r>
      <w:r w:rsidR="00BC401A">
        <w:rPr>
          <w:rFonts w:ascii="Book Antiqua" w:eastAsia="Times New Roman" w:hAnsi="Book Antiqua"/>
          <w:sz w:val="24"/>
          <w:szCs w:val="24"/>
          <w:lang w:val="es-ES_tradnl"/>
        </w:rPr>
        <w:t xml:space="preserve">Exposición de Motivos </w:t>
      </w:r>
      <w:r w:rsidR="003B1EBE">
        <w:rPr>
          <w:rFonts w:ascii="Book Antiqua" w:eastAsia="Times New Roman" w:hAnsi="Book Antiqua"/>
          <w:sz w:val="24"/>
          <w:szCs w:val="24"/>
          <w:lang w:val="es-ES_tradnl"/>
        </w:rPr>
        <w:t xml:space="preserve">de la pieza legislativa, </w:t>
      </w:r>
      <w:r w:rsidR="00BC401A">
        <w:rPr>
          <w:rFonts w:ascii="Book Antiqua" w:eastAsia="Times New Roman" w:hAnsi="Book Antiqua"/>
          <w:sz w:val="24"/>
          <w:szCs w:val="24"/>
          <w:lang w:val="es-ES_tradnl"/>
        </w:rPr>
        <w:t>a</w:t>
      </w:r>
      <w:r w:rsidR="00593A9A" w:rsidRPr="006D135F">
        <w:rPr>
          <w:rFonts w:ascii="Book Antiqua" w:eastAsia="Times New Roman" w:hAnsi="Book Antiqua"/>
          <w:sz w:val="24"/>
          <w:szCs w:val="24"/>
          <w:lang w:val="es-ES_tradnl"/>
        </w:rPr>
        <w:t>ctualmente, el término Psicólogo o Sicólogo aparece definido de distintas maneras en la legislación vigente, lo cual ocasiona dificultades en la interpretación e implementación de las distintas leyes aprobadas.</w:t>
      </w:r>
      <w:r w:rsidR="00593A9A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593A9A"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 Como ejemplo, podemos mencionar la </w:t>
      </w:r>
      <w:r w:rsidR="00593A9A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Ley 194-2000, conocida como “Carta de Derechos y Responsabilidades del Paciente”; la Ley 296-2000, conocida como </w:t>
      </w:r>
      <w:r w:rsidR="00593A9A" w:rsidRPr="006D135F">
        <w:rPr>
          <w:rFonts w:ascii="Book Antiqua" w:eastAsia="Times New Roman" w:hAnsi="Book Antiqua"/>
          <w:sz w:val="24"/>
          <w:szCs w:val="24"/>
          <w:lang w:val="es-ES_tradnl"/>
        </w:rPr>
        <w:t>"Ley de Conservación de la Salud de Niños y Adolescentes de Puerto Rico";</w:t>
      </w:r>
      <w:r w:rsidR="00593A9A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593A9A" w:rsidRPr="006D135F">
        <w:rPr>
          <w:rFonts w:ascii="Book Antiqua" w:eastAsia="Times New Roman" w:hAnsi="Book Antiqua"/>
          <w:sz w:val="24"/>
          <w:szCs w:val="24"/>
          <w:lang w:val="es-ES_tradnl"/>
        </w:rPr>
        <w:t>y la Ley 408-2000, según enmendada, conocida como “Ley de Salud Mental de Puerto Rico”.</w:t>
      </w:r>
    </w:p>
    <w:p w14:paraId="7F675D96" w14:textId="77777777" w:rsidR="00BF1EAF" w:rsidRPr="006D135F" w:rsidRDefault="00BF1EAF" w:rsidP="00DB7300">
      <w:pPr>
        <w:pStyle w:val="NoSpacing"/>
        <w:spacing w:line="288" w:lineRule="auto"/>
        <w:rPr>
          <w:lang w:val="es-ES_tradnl"/>
        </w:rPr>
      </w:pPr>
    </w:p>
    <w:p w14:paraId="151623CA" w14:textId="7014A912" w:rsidR="00593A9A" w:rsidRDefault="00593A9A" w:rsidP="00DB7300">
      <w:pPr>
        <w:spacing w:after="120" w:line="288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6D135F">
        <w:rPr>
          <w:rFonts w:ascii="Book Antiqua" w:eastAsia="Times New Roman" w:hAnsi="Book Antiqua"/>
          <w:sz w:val="24"/>
          <w:szCs w:val="24"/>
          <w:lang w:val="es-ES_tradnl"/>
        </w:rPr>
        <w:t>Tanto la Ley 1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94,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como la Ley 296,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>definen al Psicólogo como el profesional licenciado por la Junta Examinadora de Psicólogos de Puerto Rico, según definido en la Ley 96 de 4 de junio de 1983, según enmendada, conocida como Ley para Reglamentar el Ejercicio de la Profesión de la Psicología en Puerto Rico.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  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Sin embargo, la Ley 408, </w:t>
      </w:r>
      <w:r w:rsidRPr="00BB5863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,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provee una definición más completa y consistente con las funciones y responsabilidades de los profesionales de la psicología en Puerto Rico. </w:t>
      </w:r>
    </w:p>
    <w:p w14:paraId="1824D55D" w14:textId="77777777" w:rsidR="00BF1EAF" w:rsidRPr="006D135F" w:rsidRDefault="00BF1EAF" w:rsidP="00DB7300">
      <w:pPr>
        <w:pStyle w:val="NoSpacing"/>
        <w:spacing w:line="288" w:lineRule="auto"/>
        <w:rPr>
          <w:lang w:val="es-PR"/>
        </w:rPr>
      </w:pPr>
    </w:p>
    <w:p w14:paraId="0D67B58E" w14:textId="77777777" w:rsidR="00593A9A" w:rsidRDefault="00593A9A" w:rsidP="00DB7300">
      <w:pPr>
        <w:spacing w:after="120" w:line="288" w:lineRule="auto"/>
        <w:jc w:val="both"/>
        <w:rPr>
          <w:rFonts w:ascii="Book Antiqua" w:eastAsia="Times New Roman" w:hAnsi="Book Antiqua"/>
          <w:bCs/>
          <w:sz w:val="24"/>
          <w:szCs w:val="24"/>
          <w:lang w:val="es-PR"/>
        </w:rPr>
      </w:pP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En lo pertinente, la Ley 408, </w:t>
      </w:r>
      <w:r w:rsidRPr="00BB5863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define el termino Psicólogo 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como </w:t>
      </w:r>
      <w:r w:rsidRPr="00675E41">
        <w:rPr>
          <w:rFonts w:ascii="Book Antiqua" w:eastAsia="Times New Roman" w:hAnsi="Book Antiqua"/>
          <w:bCs/>
          <w:sz w:val="24"/>
          <w:szCs w:val="24"/>
          <w:lang w:val="es-PR"/>
        </w:rPr>
        <w:t>“el profesional licenciado por la Junta Examinadora de Psicólogos del Estado Libre Asociado de Puerto Rico, según definido en la Ley 96 de 4 de junio de 1983, según enmendada, conocida como Ley para Reglamentar el Ejercicio de la Profesión de la Psicología en Puerto Rico, que posea adiestramiento, conocimientos, destrezas y experiencia en el ofrecimiento de servicios que incluyen, pero no se limitan a: prevención, descripción o diagnóstico del comportamiento, evaluación psicológica, intervención terapéutica con problemas psicológicos de diversos niveles de severidad y consultoría concerniente al funcionamiento intelectual, emocional, conductual, interpersonal, familiar, social y ocupacional de individuos y grupos.”</w:t>
      </w:r>
    </w:p>
    <w:p w14:paraId="7C4C09C8" w14:textId="77777777" w:rsidR="00BF1EAF" w:rsidRPr="006D135F" w:rsidRDefault="00BF1EAF" w:rsidP="00DB7300">
      <w:pPr>
        <w:pStyle w:val="NoSpacing"/>
        <w:spacing w:line="288" w:lineRule="auto"/>
        <w:rPr>
          <w:lang w:val="es-PR"/>
        </w:rPr>
      </w:pPr>
    </w:p>
    <w:p w14:paraId="5EACD2C3" w14:textId="77777777" w:rsidR="00593A9A" w:rsidRDefault="00593A9A" w:rsidP="00DB7300">
      <w:pPr>
        <w:spacing w:after="120" w:line="288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Por otra parte, la </w:t>
      </w:r>
      <w:r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Ley 220-2012, conocida como 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Ley para el Bienestar, Integración y Desarrollo de las personas con Autismo”;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la Ley </w:t>
      </w:r>
      <w:r w:rsidRPr="006D135F">
        <w:rPr>
          <w:rFonts w:ascii="Book Antiqua" w:hAnsi="Book Antiqua"/>
          <w:bCs/>
          <w:sz w:val="24"/>
          <w:szCs w:val="24"/>
          <w:lang w:val="es-ES_tradnl"/>
        </w:rPr>
        <w:t xml:space="preserve">239-2012, conocida como “Ley para </w:t>
      </w:r>
      <w:r w:rsidRPr="006D135F">
        <w:rPr>
          <w:rFonts w:ascii="Book Antiqua" w:hAnsi="Book Antiqua"/>
          <w:bCs/>
          <w:sz w:val="24"/>
          <w:szCs w:val="24"/>
          <w:lang w:val="es-ES"/>
        </w:rPr>
        <w:t>requerir a todas las compañías aseguradoras que incluyan, como parte de sus cubiertas, servicios provistos por profesionales de la psicología capacitados por educación a nivel de maestría o doctorado”; y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</w:t>
      </w:r>
      <w:r w:rsidRPr="006D135F">
        <w:rPr>
          <w:rFonts w:ascii="Book Antiqua" w:eastAsia="Times New Roman" w:hAnsi="Book Antiqua"/>
          <w:sz w:val="24"/>
          <w:szCs w:val="24"/>
          <w:lang w:val="es-ES"/>
        </w:rPr>
        <w:t>la Ley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20-2017, conocida como “Ley del Departamento de Seguridad Pública de Puerto Rico al referirse a la figura del psicólogo o a la profesión de </w:t>
      </w:r>
      <w:proofErr w:type="gramStart"/>
      <w:r w:rsidRPr="006D135F">
        <w:rPr>
          <w:rFonts w:ascii="Book Antiqua" w:eastAsia="Times New Roman" w:hAnsi="Book Antiqua"/>
          <w:sz w:val="24"/>
          <w:szCs w:val="24"/>
          <w:lang w:val="es-PR"/>
        </w:rPr>
        <w:lastRenderedPageBreak/>
        <w:t>la psicología hacen</w:t>
      </w:r>
      <w:proofErr w:type="gramEnd"/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referencia a áreas de práctica que no están contempladas en la Ley 96, </w:t>
      </w:r>
      <w:r w:rsidRPr="00BF1EAF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>.</w:t>
      </w:r>
    </w:p>
    <w:p w14:paraId="629A8E20" w14:textId="77777777" w:rsidR="004833F4" w:rsidRPr="00D121F1" w:rsidRDefault="004833F4" w:rsidP="00E1195D">
      <w:pPr>
        <w:pStyle w:val="NoSpacing"/>
        <w:rPr>
          <w:lang w:val="es-PR"/>
        </w:rPr>
      </w:pPr>
    </w:p>
    <w:p w14:paraId="271E7C4D" w14:textId="07B615B5" w:rsidR="00593A9A" w:rsidRPr="006D135F" w:rsidRDefault="00593A9A" w:rsidP="00DB7300">
      <w:pPr>
        <w:spacing w:after="120" w:line="288" w:lineRule="auto"/>
        <w:jc w:val="both"/>
        <w:rPr>
          <w:rFonts w:ascii="Book Antiqua" w:eastAsia="Times New Roman" w:hAnsi="Book Antiqua"/>
          <w:bCs/>
          <w:sz w:val="24"/>
          <w:szCs w:val="24"/>
          <w:lang w:val="es-PR"/>
        </w:rPr>
      </w:pP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La Ley 96, </w:t>
      </w:r>
      <w:r w:rsidRPr="00BB5863">
        <w:rPr>
          <w:rFonts w:ascii="Book Antiqua" w:eastAsia="Times New Roman" w:hAnsi="Book Antiqua"/>
          <w:bCs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>, al igual que otras jurisdicciones en los Estados Unidos, reglamenta el ejercicio de la profesión de la psicología en Puerto Rico en forma general y la licencia emitida por la Junta Examinadora de Psicólogos de PR no espe</w:t>
      </w:r>
      <w:r>
        <w:rPr>
          <w:rFonts w:ascii="Book Antiqua" w:eastAsia="Times New Roman" w:hAnsi="Book Antiqua"/>
          <w:bCs/>
          <w:sz w:val="24"/>
          <w:szCs w:val="24"/>
          <w:lang w:val="es-PR"/>
        </w:rPr>
        <w:t>cifica las diversas áreas de prá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>ctica en que se puede ejercer la misma</w:t>
      </w:r>
      <w:r w:rsidRPr="006D135F">
        <w:rPr>
          <w:rFonts w:ascii="Book Antiqua" w:eastAsia="Times New Roman" w:hAnsi="Book Antiqua"/>
          <w:bCs/>
          <w:sz w:val="24"/>
          <w:szCs w:val="24"/>
          <w:lang w:val="es-MX"/>
        </w:rPr>
        <w:t>.</w:t>
      </w:r>
      <w:r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>La licencia conferida por la Junta explícitamente exige a todo profesional de la psicología ejercer conforme a su capacitación y competencias bajo las provisiones legales y las normas éticas que reglamentan esta práctica en Puerto Rico.</w:t>
      </w:r>
      <w:r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Es por ello </w:t>
      </w:r>
      <w:r w:rsidR="00980750" w:rsidRPr="006D135F">
        <w:rPr>
          <w:rFonts w:ascii="Book Antiqua" w:eastAsia="Times New Roman" w:hAnsi="Book Antiqua"/>
          <w:bCs/>
          <w:sz w:val="24"/>
          <w:szCs w:val="24"/>
          <w:lang w:val="es-PR"/>
        </w:rPr>
        <w:t>por lo que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toda referencia al profesional de la psicología en las leyes vigentes debe hacerse de manera consistente con las disposiciones de la Ley 96, </w:t>
      </w:r>
      <w:r w:rsidRPr="00BB5863">
        <w:rPr>
          <w:rFonts w:ascii="Book Antiqua" w:eastAsia="Times New Roman" w:hAnsi="Book Antiqua"/>
          <w:bCs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bCs/>
          <w:sz w:val="24"/>
          <w:szCs w:val="24"/>
          <w:lang w:val="es-PR"/>
        </w:rPr>
        <w:t>.</w:t>
      </w:r>
    </w:p>
    <w:p w14:paraId="49C6304C" w14:textId="77777777" w:rsidR="00BF1EAF" w:rsidRDefault="00BF1EAF" w:rsidP="00DB7300">
      <w:pPr>
        <w:pStyle w:val="NoSpacing"/>
        <w:spacing w:line="288" w:lineRule="auto"/>
        <w:rPr>
          <w:lang w:val="es-ES_tradnl"/>
        </w:rPr>
      </w:pPr>
    </w:p>
    <w:p w14:paraId="57935A4E" w14:textId="4CE00900" w:rsidR="00593A9A" w:rsidRPr="006D135F" w:rsidRDefault="00593A9A" w:rsidP="00DB7300">
      <w:pPr>
        <w:spacing w:after="120" w:line="288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Por tanto, esta Asamblea Legislativa entiende necesario legislar para que la definición del término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“Psicólogo” o “Sicólogo” que establecen la Ley 194,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y la Ley 296,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sean uniformes con la definición que sobre dicho término establece la 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Ley 408,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>.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>Así como atemperar las disposiciones</w:t>
      </w:r>
      <w:r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de la Ley 220,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ES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, de la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Ley </w:t>
      </w:r>
      <w:r w:rsidRPr="006D135F">
        <w:rPr>
          <w:rFonts w:ascii="Book Antiqua" w:hAnsi="Book Antiqua"/>
          <w:bCs/>
          <w:sz w:val="24"/>
          <w:szCs w:val="24"/>
          <w:lang w:val="es-ES_tradnl"/>
        </w:rPr>
        <w:t xml:space="preserve">239-2012, </w:t>
      </w:r>
      <w:r w:rsidRPr="003067B0">
        <w:rPr>
          <w:rFonts w:ascii="Book Antiqua" w:hAnsi="Book Antiqua"/>
          <w:bCs/>
          <w:i/>
          <w:iCs/>
          <w:sz w:val="24"/>
          <w:szCs w:val="24"/>
          <w:lang w:val="es-ES_tradnl"/>
        </w:rPr>
        <w:t>supra</w:t>
      </w:r>
      <w:r w:rsidRPr="006D135F">
        <w:rPr>
          <w:rFonts w:ascii="Book Antiqua" w:hAnsi="Book Antiqua"/>
          <w:bCs/>
          <w:sz w:val="24"/>
          <w:szCs w:val="24"/>
          <w:lang w:val="es-ES_tradnl"/>
        </w:rPr>
        <w:t xml:space="preserve"> y de la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Pr="006D135F">
        <w:rPr>
          <w:rFonts w:ascii="Book Antiqua" w:eastAsia="Times New Roman" w:hAnsi="Book Antiqua"/>
          <w:sz w:val="24"/>
          <w:szCs w:val="24"/>
          <w:lang w:val="es-ES"/>
        </w:rPr>
        <w:t>Ley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20, </w:t>
      </w:r>
      <w:r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 a la reglamentación actual de la </w:t>
      </w:r>
      <w:r w:rsidRPr="006D135F">
        <w:rPr>
          <w:rFonts w:ascii="Book Antiqua" w:eastAsia="Times New Roman" w:hAnsi="Book Antiqua"/>
          <w:sz w:val="24"/>
          <w:szCs w:val="24"/>
          <w:lang w:val="es-ES_tradnl"/>
        </w:rPr>
        <w:t>profesión de la Psicología en Puerto Rico.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6D135F">
        <w:rPr>
          <w:rFonts w:ascii="Book Antiqua" w:eastAsia="Times New Roman" w:hAnsi="Book Antiqua"/>
          <w:sz w:val="24"/>
          <w:szCs w:val="24"/>
          <w:lang w:val="es-PR"/>
        </w:rPr>
        <w:t>Con ello, procuramos una mejor interpretación de los estatutos que reconocen al profesional de la psicología como proveedor de servicios de salud en Puerto Rico.</w:t>
      </w:r>
    </w:p>
    <w:p w14:paraId="7A603D05" w14:textId="0BEF1244" w:rsidR="009333EE" w:rsidRPr="00AE77D4" w:rsidRDefault="009333EE" w:rsidP="00DB7300">
      <w:pPr>
        <w:pStyle w:val="NoSpacing"/>
        <w:spacing w:line="288" w:lineRule="auto"/>
        <w:rPr>
          <w:lang w:val="es-ES"/>
        </w:rPr>
      </w:pPr>
    </w:p>
    <w:p w14:paraId="62B35931" w14:textId="649B0AAA" w:rsidR="00C41B7E" w:rsidRPr="005807B1" w:rsidRDefault="00C41B7E" w:rsidP="00DB7300">
      <w:pPr>
        <w:spacing w:after="0" w:line="288" w:lineRule="auto"/>
        <w:jc w:val="center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  <w:r w:rsidRPr="005807B1"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  <w:t>ALCANCE DEL INFORME</w:t>
      </w:r>
    </w:p>
    <w:p w14:paraId="56278D03" w14:textId="77777777" w:rsidR="00050C02" w:rsidRDefault="00050C02" w:rsidP="00DB7300">
      <w:pPr>
        <w:spacing w:after="0" w:line="288" w:lineRule="auto"/>
        <w:jc w:val="both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</w:p>
    <w:p w14:paraId="106BBCEC" w14:textId="077E17F7" w:rsidR="00BA1A95" w:rsidRDefault="008A0D47" w:rsidP="00DB7300">
      <w:pPr>
        <w:spacing w:after="0" w:line="288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670AD3">
        <w:rPr>
          <w:rFonts w:ascii="Book Antiqua" w:hAnsi="Book Antiqua"/>
          <w:sz w:val="24"/>
          <w:szCs w:val="24"/>
          <w:lang w:val="es-ES"/>
        </w:rPr>
        <w:t xml:space="preserve">El día el </w:t>
      </w:r>
      <w:r w:rsidR="001E5616">
        <w:rPr>
          <w:rFonts w:ascii="Book Antiqua" w:hAnsi="Book Antiqua"/>
          <w:b/>
          <w:bCs/>
          <w:sz w:val="24"/>
          <w:szCs w:val="24"/>
          <w:lang w:val="es-ES"/>
        </w:rPr>
        <w:t>2</w:t>
      </w:r>
      <w:r w:rsidR="005E449B" w:rsidRPr="00670AD3">
        <w:rPr>
          <w:rFonts w:ascii="Book Antiqua" w:hAnsi="Book Antiqua"/>
          <w:b/>
          <w:bCs/>
          <w:sz w:val="24"/>
          <w:szCs w:val="24"/>
          <w:lang w:val="es-ES"/>
        </w:rPr>
        <w:t xml:space="preserve"> de </w:t>
      </w:r>
      <w:r w:rsidR="001E5616">
        <w:rPr>
          <w:rFonts w:ascii="Book Antiqua" w:hAnsi="Book Antiqua"/>
          <w:b/>
          <w:bCs/>
          <w:sz w:val="24"/>
          <w:szCs w:val="24"/>
          <w:lang w:val="es-ES"/>
        </w:rPr>
        <w:t>febrero</w:t>
      </w:r>
      <w:r w:rsidRPr="00670AD3">
        <w:rPr>
          <w:rFonts w:ascii="Book Antiqua" w:hAnsi="Book Antiqua"/>
          <w:b/>
          <w:bCs/>
          <w:sz w:val="24"/>
          <w:szCs w:val="24"/>
          <w:lang w:val="es-ES"/>
        </w:rPr>
        <w:t xml:space="preserve"> de 202</w:t>
      </w:r>
      <w:r w:rsidR="001E5616">
        <w:rPr>
          <w:rFonts w:ascii="Book Antiqua" w:hAnsi="Book Antiqua"/>
          <w:b/>
          <w:bCs/>
          <w:sz w:val="24"/>
          <w:szCs w:val="24"/>
          <w:lang w:val="es-ES"/>
        </w:rPr>
        <w:t>1</w:t>
      </w:r>
      <w:r w:rsidRPr="00670AD3">
        <w:rPr>
          <w:rFonts w:ascii="Book Antiqua" w:hAnsi="Book Antiqua"/>
          <w:sz w:val="24"/>
          <w:szCs w:val="24"/>
          <w:lang w:val="es-ES"/>
        </w:rPr>
        <w:t xml:space="preserve">, el Hon. </w:t>
      </w:r>
      <w:r w:rsidR="00993C31">
        <w:rPr>
          <w:rFonts w:ascii="Book Antiqua" w:hAnsi="Book Antiqua"/>
          <w:sz w:val="24"/>
          <w:szCs w:val="24"/>
          <w:lang w:val="es-ES"/>
        </w:rPr>
        <w:t>Henry Neumann Zayas</w:t>
      </w:r>
      <w:r w:rsidRPr="00670AD3">
        <w:rPr>
          <w:rFonts w:ascii="Book Antiqua" w:hAnsi="Book Antiqua"/>
          <w:sz w:val="24"/>
          <w:szCs w:val="24"/>
          <w:lang w:val="es-ES"/>
        </w:rPr>
        <w:t>, radic</w:t>
      </w:r>
      <w:r w:rsidR="00DA14DC" w:rsidRPr="00670AD3">
        <w:rPr>
          <w:rFonts w:ascii="Book Antiqua" w:hAnsi="Book Antiqua"/>
          <w:sz w:val="24"/>
          <w:szCs w:val="24"/>
          <w:lang w:val="es-ES"/>
        </w:rPr>
        <w:t>ó</w:t>
      </w:r>
      <w:r w:rsidRPr="00670AD3">
        <w:rPr>
          <w:rFonts w:ascii="Book Antiqua" w:hAnsi="Book Antiqua"/>
          <w:sz w:val="24"/>
          <w:szCs w:val="24"/>
          <w:lang w:val="es-ES"/>
        </w:rPr>
        <w:t xml:space="preserve"> el Proyecto d</w:t>
      </w:r>
      <w:r w:rsidR="00DA14DC" w:rsidRPr="00670AD3">
        <w:rPr>
          <w:rFonts w:ascii="Book Antiqua" w:hAnsi="Book Antiqua"/>
          <w:sz w:val="24"/>
          <w:szCs w:val="24"/>
          <w:lang w:val="es-ES"/>
        </w:rPr>
        <w:t>el Senado</w:t>
      </w:r>
      <w:r w:rsidRPr="00670AD3">
        <w:rPr>
          <w:rFonts w:ascii="Book Antiqua" w:hAnsi="Book Antiqua"/>
          <w:sz w:val="24"/>
          <w:szCs w:val="24"/>
          <w:lang w:val="es-ES"/>
        </w:rPr>
        <w:t xml:space="preserve"> </w:t>
      </w:r>
      <w:r w:rsidR="00387B9F">
        <w:rPr>
          <w:rFonts w:ascii="Book Antiqua" w:hAnsi="Book Antiqua"/>
          <w:sz w:val="24"/>
          <w:szCs w:val="24"/>
          <w:lang w:val="es-ES"/>
        </w:rPr>
        <w:t>157</w:t>
      </w:r>
      <w:r w:rsidR="00BF1EAF">
        <w:rPr>
          <w:rFonts w:ascii="Book Antiqua" w:hAnsi="Book Antiqua"/>
          <w:sz w:val="24"/>
          <w:szCs w:val="24"/>
          <w:lang w:val="es-ES"/>
        </w:rPr>
        <w:t xml:space="preserve"> el cual proponía</w:t>
      </w:r>
      <w:r w:rsidR="00BB1DB3">
        <w:rPr>
          <w:rFonts w:ascii="Book Antiqua" w:hAnsi="Book Antiqua"/>
          <w:sz w:val="24"/>
          <w:szCs w:val="24"/>
          <w:lang w:val="es-ES"/>
        </w:rPr>
        <w:t>:</w:t>
      </w:r>
    </w:p>
    <w:p w14:paraId="762EF57A" w14:textId="1847C555" w:rsidR="00A652CE" w:rsidRPr="00DB7300" w:rsidRDefault="00BA1A95" w:rsidP="00DB7300">
      <w:pPr>
        <w:spacing w:after="0" w:line="288" w:lineRule="auto"/>
        <w:ind w:left="720"/>
        <w:jc w:val="both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>“</w:t>
      </w:r>
      <w:r w:rsidR="00A652CE"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enmendar los incisos (n) y (q) del Artículo 2 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y el inciso (d) del Artículo 6 </w:t>
      </w:r>
      <w:r w:rsidR="00A652CE" w:rsidRPr="006D135F">
        <w:rPr>
          <w:rFonts w:ascii="Book Antiqua" w:eastAsia="Times New Roman" w:hAnsi="Book Antiqua"/>
          <w:sz w:val="24"/>
          <w:szCs w:val="24"/>
          <w:lang w:val="es-ES_tradnl"/>
        </w:rPr>
        <w:t xml:space="preserve">de la Ley 194-2000, según enmendada, conocida como “Carta de Derechos y Responsabilidades del Paciente”; y el inciso (c) del Artículo 2 de la Ley 296-2000, según enmendada, conocida como “Ley de Conservación de la Salud de Niños y Adolescentes de Puerto Rico”, a los fines de que la definición del término </w:t>
      </w:r>
      <w:r w:rsidR="00A652CE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“Psicólogo” o “Sicólogo” que establecen la Ley 194, </w:t>
      </w:r>
      <w:r w:rsidR="00A652CE"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="00A652CE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y la Ley 296, </w:t>
      </w:r>
      <w:r w:rsidR="00A652CE" w:rsidRPr="003067B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="00A652CE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, sean uniformes con la definición que sobre dicho término establece la </w:t>
      </w:r>
      <w:r w:rsidR="00A652CE" w:rsidRPr="006D135F">
        <w:rPr>
          <w:rFonts w:ascii="Book Antiqua" w:eastAsia="Times New Roman" w:hAnsi="Book Antiqua"/>
          <w:sz w:val="24"/>
          <w:szCs w:val="24"/>
          <w:lang w:val="es-ES_tradnl"/>
        </w:rPr>
        <w:t>Ley 408-2000, según enmendada, conocida como “Ley de Salud Mental de Puerto Rico”</w:t>
      </w:r>
      <w:r w:rsidR="00A652CE">
        <w:rPr>
          <w:rFonts w:ascii="Book Antiqua" w:eastAsia="Times New Roman" w:hAnsi="Book Antiqua"/>
          <w:sz w:val="24"/>
          <w:szCs w:val="24"/>
          <w:lang w:val="es-ES_tradnl"/>
        </w:rPr>
        <w:t>; y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enm</w:t>
      </w:r>
      <w:r w:rsidR="00A652CE">
        <w:rPr>
          <w:rFonts w:ascii="Book Antiqua" w:eastAsia="Times New Roman" w:hAnsi="Book Antiqua"/>
          <w:sz w:val="24"/>
          <w:szCs w:val="24"/>
          <w:lang w:val="es-ES"/>
        </w:rPr>
        <w:t>e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>nda</w:t>
      </w:r>
      <w:r w:rsidR="00A652CE">
        <w:rPr>
          <w:rFonts w:ascii="Book Antiqua" w:eastAsia="Times New Roman" w:hAnsi="Book Antiqua"/>
          <w:sz w:val="24"/>
          <w:szCs w:val="24"/>
          <w:lang w:val="es-ES"/>
        </w:rPr>
        <w:t>r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el inciso (m) del Artículo 3, el inciso (a) del Artículo 4, y el inciso (d) del 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lastRenderedPageBreak/>
        <w:t xml:space="preserve">Artículo 6 de la Ley 220-2012, conocida como </w:t>
      </w:r>
      <w:r w:rsidR="00A652CE"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Ley para el Bienestar, Integración y Desarrollo de las personas con Autismo”; </w:t>
      </w:r>
      <w:r w:rsidR="00A652CE" w:rsidRPr="006D135F">
        <w:rPr>
          <w:rFonts w:ascii="Book Antiqua" w:eastAsia="Times New Roman" w:hAnsi="Book Antiqua"/>
          <w:sz w:val="24"/>
          <w:szCs w:val="24"/>
          <w:lang w:val="es-PR"/>
        </w:rPr>
        <w:t xml:space="preserve">el Artículo 2 de la Ley </w:t>
      </w:r>
      <w:r w:rsidR="00A652CE" w:rsidRPr="006D135F">
        <w:rPr>
          <w:rFonts w:ascii="Book Antiqua" w:hAnsi="Book Antiqua"/>
          <w:bCs/>
          <w:sz w:val="24"/>
          <w:szCs w:val="24"/>
          <w:lang w:val="es-ES_tradnl"/>
        </w:rPr>
        <w:t xml:space="preserve">239-2012, conocida como “Ley para </w:t>
      </w:r>
      <w:r w:rsidR="00A652CE" w:rsidRPr="006D135F">
        <w:rPr>
          <w:rFonts w:ascii="Book Antiqua" w:hAnsi="Book Antiqua"/>
          <w:bCs/>
          <w:sz w:val="24"/>
          <w:szCs w:val="24"/>
          <w:lang w:val="es-ES"/>
        </w:rPr>
        <w:t>requerir a todas las compañías aseguradoras que incluyan, como parte de sus cubiertas, servicios provistos por profesionales de la psicología capacitados por educación a nivel de maestría o doctorado”; y</w:t>
      </w:r>
      <w:r w:rsidR="00A652CE" w:rsidRPr="006D135F">
        <w:rPr>
          <w:rFonts w:ascii="Book Antiqua" w:eastAsia="Times New Roman" w:hAnsi="Book Antiqua"/>
          <w:bCs/>
          <w:sz w:val="24"/>
          <w:szCs w:val="24"/>
          <w:lang w:val="es-PR"/>
        </w:rPr>
        <w:t xml:space="preserve"> </w:t>
      </w:r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el </w:t>
      </w:r>
      <w:proofErr w:type="spellStart"/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>sub-inciso</w:t>
      </w:r>
      <w:proofErr w:type="spellEnd"/>
      <w:r w:rsidR="00A652CE" w:rsidRPr="006D135F">
        <w:rPr>
          <w:rFonts w:ascii="Book Antiqua" w:eastAsia="Times New Roman" w:hAnsi="Book Antiqua"/>
          <w:sz w:val="24"/>
          <w:szCs w:val="24"/>
          <w:lang w:val="es-ES"/>
        </w:rPr>
        <w:t xml:space="preserve"> (d) del </w:t>
      </w:r>
      <w:r w:rsidR="00A652CE" w:rsidRPr="00DB7300">
        <w:rPr>
          <w:rFonts w:ascii="Book Antiqua" w:eastAsia="Times New Roman" w:hAnsi="Book Antiqua"/>
          <w:sz w:val="24"/>
          <w:szCs w:val="24"/>
          <w:lang w:val="es-ES"/>
        </w:rPr>
        <w:t>Artículo 1.12 de la Ley</w:t>
      </w:r>
      <w:r w:rsidR="00A652CE"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 20-2017, conocida como “Ley del Departamento de Seguridad Pública de Puerto Rico” para conformarlos al estado de derecho establecido por la ley que </w:t>
      </w:r>
      <w:r w:rsidR="00A652CE" w:rsidRPr="00DB7300">
        <w:rPr>
          <w:rFonts w:ascii="Book Antiqua" w:eastAsia="Times New Roman" w:hAnsi="Book Antiqua"/>
          <w:sz w:val="24"/>
          <w:szCs w:val="24"/>
          <w:lang w:val="es-ES_tradnl"/>
        </w:rPr>
        <w:t>regula la profesión de la Psicología en Puerto Rico</w:t>
      </w:r>
      <w:r w:rsidR="00A652CE" w:rsidRPr="00DB7300">
        <w:rPr>
          <w:rFonts w:ascii="Book Antiqua" w:eastAsia="Times New Roman" w:hAnsi="Book Antiqua"/>
          <w:sz w:val="24"/>
          <w:szCs w:val="24"/>
          <w:lang w:val="es-PR"/>
        </w:rPr>
        <w:t>.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>”</w:t>
      </w:r>
    </w:p>
    <w:p w14:paraId="30D628DA" w14:textId="028C4734" w:rsidR="008A0D47" w:rsidRPr="00DB7300" w:rsidRDefault="008A0D47" w:rsidP="00DB7300">
      <w:pPr>
        <w:pStyle w:val="NoSpacing"/>
        <w:spacing w:line="288" w:lineRule="auto"/>
        <w:rPr>
          <w:lang w:val="es-PR"/>
        </w:rPr>
      </w:pPr>
    </w:p>
    <w:p w14:paraId="5B7CF6B4" w14:textId="07941FC4" w:rsidR="00B76556" w:rsidRPr="00DB7300" w:rsidRDefault="00B76556" w:rsidP="00DB7300">
      <w:pPr>
        <w:suppressLineNumbers/>
        <w:spacing w:line="288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DB7300">
        <w:rPr>
          <w:rFonts w:ascii="Book Antiqua" w:eastAsia="Times New Roman" w:hAnsi="Book Antiqua"/>
          <w:sz w:val="24"/>
          <w:szCs w:val="24"/>
          <w:lang w:val="es-ES_tradnl"/>
        </w:rPr>
        <w:t xml:space="preserve">Con el propósito de uniformar la definición del término 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“Psicólogo” o “Sicólogo” que establecen la Ley 194, </w:t>
      </w:r>
      <w:r w:rsidRPr="00DB730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, y la Ley 296, </w:t>
      </w:r>
      <w:r w:rsidRPr="00DB730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, con la definición que sobre dicho término establece la </w:t>
      </w:r>
      <w:r w:rsidRPr="00DB7300">
        <w:rPr>
          <w:rFonts w:ascii="Book Antiqua" w:eastAsia="Times New Roman" w:hAnsi="Book Antiqua"/>
          <w:sz w:val="24"/>
          <w:szCs w:val="24"/>
          <w:lang w:val="es-ES_tradnl"/>
        </w:rPr>
        <w:t xml:space="preserve">Ley 408, </w:t>
      </w:r>
      <w:r w:rsidRPr="00DB7300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supra</w:t>
      </w:r>
      <w:r w:rsidRPr="00DB7300">
        <w:rPr>
          <w:rFonts w:ascii="Book Antiqua" w:eastAsia="Times New Roman" w:hAnsi="Book Antiqua"/>
          <w:sz w:val="24"/>
          <w:szCs w:val="24"/>
          <w:lang w:val="es-ES_tradnl"/>
        </w:rPr>
        <w:t>, además</w:t>
      </w:r>
      <w:r w:rsidR="00BB1DB3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DB7300">
        <w:rPr>
          <w:rFonts w:ascii="Book Antiqua" w:eastAsia="Times New Roman" w:hAnsi="Book Antiqua"/>
          <w:sz w:val="24"/>
          <w:szCs w:val="24"/>
          <w:lang w:val="es-ES_tradnl"/>
        </w:rPr>
        <w:t xml:space="preserve"> de 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>atemperar las disposiciones</w:t>
      </w:r>
      <w:r w:rsidRPr="00DB7300">
        <w:rPr>
          <w:rFonts w:ascii="Book Antiqua" w:eastAsia="Times New Roman" w:hAnsi="Book Antiqua"/>
          <w:sz w:val="24"/>
          <w:szCs w:val="24"/>
          <w:lang w:val="es-ES"/>
        </w:rPr>
        <w:t xml:space="preserve"> de la Ley 220</w:t>
      </w:r>
      <w:r w:rsidRPr="00DB7300">
        <w:rPr>
          <w:rFonts w:ascii="Book Antiqua" w:eastAsia="Times New Roman" w:hAnsi="Book Antiqua"/>
          <w:i/>
          <w:iCs/>
          <w:sz w:val="24"/>
          <w:szCs w:val="24"/>
          <w:lang w:val="es-ES"/>
        </w:rPr>
        <w:t>, supra</w:t>
      </w:r>
      <w:r w:rsidRPr="00DB7300">
        <w:rPr>
          <w:rFonts w:ascii="Book Antiqua" w:eastAsia="Times New Roman" w:hAnsi="Book Antiqua"/>
          <w:sz w:val="24"/>
          <w:szCs w:val="24"/>
          <w:lang w:val="es-ES"/>
        </w:rPr>
        <w:t xml:space="preserve">,  la 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Ley </w:t>
      </w:r>
      <w:r w:rsidRPr="00DB7300">
        <w:rPr>
          <w:rFonts w:ascii="Book Antiqua" w:hAnsi="Book Antiqua"/>
          <w:bCs/>
          <w:sz w:val="24"/>
          <w:szCs w:val="24"/>
          <w:lang w:val="es-ES_tradnl"/>
        </w:rPr>
        <w:t xml:space="preserve">239-2012, </w:t>
      </w:r>
      <w:r w:rsidRPr="00DB7300">
        <w:rPr>
          <w:rFonts w:ascii="Book Antiqua" w:hAnsi="Book Antiqua"/>
          <w:bCs/>
          <w:i/>
          <w:iCs/>
          <w:sz w:val="24"/>
          <w:szCs w:val="24"/>
          <w:lang w:val="es-ES_tradnl"/>
        </w:rPr>
        <w:t xml:space="preserve">supra </w:t>
      </w:r>
      <w:r w:rsidRPr="00DB7300">
        <w:rPr>
          <w:rFonts w:ascii="Book Antiqua" w:hAnsi="Book Antiqua"/>
          <w:bCs/>
          <w:sz w:val="24"/>
          <w:szCs w:val="24"/>
          <w:lang w:val="es-ES_tradnl"/>
        </w:rPr>
        <w:t>y la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Pr="00DB7300">
        <w:rPr>
          <w:rFonts w:ascii="Book Antiqua" w:eastAsia="Times New Roman" w:hAnsi="Book Antiqua"/>
          <w:sz w:val="24"/>
          <w:szCs w:val="24"/>
          <w:lang w:val="es-ES"/>
        </w:rPr>
        <w:t>Ley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 20, </w:t>
      </w:r>
      <w:r w:rsidRPr="00DB7300">
        <w:rPr>
          <w:rFonts w:ascii="Book Antiqua" w:eastAsia="Times New Roman" w:hAnsi="Book Antiqua"/>
          <w:i/>
          <w:iCs/>
          <w:sz w:val="24"/>
          <w:szCs w:val="24"/>
          <w:lang w:val="es-PR"/>
        </w:rPr>
        <w:t>supra</w:t>
      </w:r>
      <w:r w:rsidRPr="00DB7300">
        <w:rPr>
          <w:rFonts w:ascii="Book Antiqua" w:eastAsia="Times New Roman" w:hAnsi="Book Antiqua"/>
          <w:sz w:val="24"/>
          <w:szCs w:val="24"/>
          <w:lang w:val="es-PR"/>
        </w:rPr>
        <w:t xml:space="preserve"> a la reglamentación actual de la </w:t>
      </w:r>
      <w:r w:rsidRPr="00DB7300">
        <w:rPr>
          <w:rFonts w:ascii="Book Antiqua" w:eastAsia="Times New Roman" w:hAnsi="Book Antiqua"/>
          <w:sz w:val="24"/>
          <w:szCs w:val="24"/>
          <w:lang w:val="es-ES_tradnl"/>
        </w:rPr>
        <w:t xml:space="preserve">profesión de la </w:t>
      </w:r>
      <w:r w:rsidR="00BB1DB3">
        <w:rPr>
          <w:rFonts w:ascii="Book Antiqua" w:eastAsia="Times New Roman" w:hAnsi="Book Antiqua"/>
          <w:sz w:val="24"/>
          <w:szCs w:val="24"/>
          <w:lang w:val="es-ES_tradnl"/>
        </w:rPr>
        <w:t>p</w:t>
      </w:r>
      <w:r w:rsidRPr="00DB7300">
        <w:rPr>
          <w:rFonts w:ascii="Book Antiqua" w:eastAsia="Times New Roman" w:hAnsi="Book Antiqua"/>
          <w:sz w:val="24"/>
          <w:szCs w:val="24"/>
          <w:lang w:val="es-ES_tradnl"/>
        </w:rPr>
        <w:t>sicología en Puerto Rico, d</w:t>
      </w:r>
      <w:r w:rsidR="00BB1DB3">
        <w:rPr>
          <w:rFonts w:ascii="Book Antiqua" w:hAnsi="Book Antiqua"/>
          <w:sz w:val="24"/>
          <w:szCs w:val="24"/>
          <w:lang w:val="es-ES_tradnl"/>
        </w:rPr>
        <w:t>icha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 medida fue aprobada tanto por la Cámara de Representantes como por el Senado </w:t>
      </w:r>
      <w:r w:rsidR="00BB1DB3">
        <w:rPr>
          <w:rFonts w:ascii="Book Antiqua" w:hAnsi="Book Antiqua"/>
          <w:sz w:val="24"/>
          <w:szCs w:val="24"/>
          <w:lang w:val="es-ES"/>
        </w:rPr>
        <w:t xml:space="preserve">de Puerto Rico </w:t>
      </w:r>
      <w:r w:rsidRPr="00DB7300">
        <w:rPr>
          <w:rFonts w:ascii="Book Antiqua" w:hAnsi="Book Antiqua"/>
          <w:sz w:val="24"/>
          <w:szCs w:val="24"/>
          <w:lang w:val="es-ES"/>
        </w:rPr>
        <w:t>el pasado cuatrienio y firmad</w:t>
      </w:r>
      <w:r w:rsidR="00BB1DB3">
        <w:rPr>
          <w:rFonts w:ascii="Book Antiqua" w:hAnsi="Book Antiqua"/>
          <w:sz w:val="24"/>
          <w:szCs w:val="24"/>
          <w:lang w:val="es-ES"/>
        </w:rPr>
        <w:t>a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 por el entonces gobernador, </w:t>
      </w:r>
      <w:proofErr w:type="spellStart"/>
      <w:r w:rsidR="00BB1DB3">
        <w:rPr>
          <w:rFonts w:ascii="Book Antiqua" w:hAnsi="Book Antiqua"/>
          <w:sz w:val="24"/>
          <w:szCs w:val="24"/>
          <w:lang w:val="es-ES"/>
        </w:rPr>
        <w:t>Hon</w:t>
      </w:r>
      <w:proofErr w:type="spellEnd"/>
      <w:r w:rsidR="00BB1DB3">
        <w:rPr>
          <w:rFonts w:ascii="Book Antiqua" w:hAnsi="Book Antiqua"/>
          <w:sz w:val="24"/>
          <w:szCs w:val="24"/>
          <w:lang w:val="es-ES"/>
        </w:rPr>
        <w:t xml:space="preserve">. 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Pedro </w:t>
      </w:r>
      <w:proofErr w:type="spellStart"/>
      <w:r w:rsidRPr="00DB7300">
        <w:rPr>
          <w:rFonts w:ascii="Book Antiqua" w:hAnsi="Book Antiqua"/>
          <w:sz w:val="24"/>
          <w:szCs w:val="24"/>
          <w:lang w:val="es-ES"/>
        </w:rPr>
        <w:t>Pierluisi</w:t>
      </w:r>
      <w:proofErr w:type="spellEnd"/>
      <w:r w:rsidRPr="00DB7300">
        <w:rPr>
          <w:rFonts w:ascii="Book Antiqua" w:hAnsi="Book Antiqua"/>
          <w:sz w:val="24"/>
          <w:szCs w:val="24"/>
          <w:lang w:val="es-ES"/>
        </w:rPr>
        <w:t xml:space="preserve"> el 30 de diciembre de 2021. La misma se convirtió en la </w:t>
      </w:r>
      <w:r w:rsidRPr="00DB7300">
        <w:rPr>
          <w:rFonts w:ascii="Book Antiqua" w:hAnsi="Book Antiqua"/>
          <w:b/>
          <w:bCs/>
          <w:sz w:val="24"/>
          <w:szCs w:val="24"/>
          <w:lang w:val="es-ES"/>
        </w:rPr>
        <w:t>Ley 79-2021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. </w:t>
      </w:r>
    </w:p>
    <w:p w14:paraId="764CC0FD" w14:textId="77777777" w:rsidR="00B76556" w:rsidRPr="00BB1DB3" w:rsidRDefault="00B76556" w:rsidP="00AD20CD">
      <w:pPr>
        <w:pStyle w:val="NoSpacing"/>
        <w:rPr>
          <w:lang w:val="es-PR"/>
        </w:rPr>
      </w:pPr>
    </w:p>
    <w:p w14:paraId="6190A52A" w14:textId="704FA8B6" w:rsidR="00B76556" w:rsidRPr="00DB7300" w:rsidRDefault="00DA54C3" w:rsidP="00DB7300">
      <w:pPr>
        <w:suppressLineNumbers/>
        <w:spacing w:line="288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DB7300">
        <w:rPr>
          <w:rFonts w:ascii="Book Antiqua" w:hAnsi="Book Antiqua"/>
          <w:sz w:val="24"/>
          <w:szCs w:val="24"/>
          <w:lang w:val="es-ES"/>
        </w:rPr>
        <w:t xml:space="preserve">Atendiendo su responsabilidad y deber ministerial en el estudio y evaluación del </w:t>
      </w:r>
      <w:r w:rsidR="00B76556" w:rsidRPr="00DB7300">
        <w:rPr>
          <w:rFonts w:ascii="Book Antiqua" w:hAnsi="Book Antiqua"/>
          <w:b/>
          <w:bCs/>
          <w:sz w:val="24"/>
          <w:szCs w:val="24"/>
          <w:lang w:val="es-ES"/>
        </w:rPr>
        <w:t>P. del S. 367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, </w:t>
      </w:r>
      <w:r w:rsidR="00BA1A95" w:rsidRPr="00DB7300">
        <w:rPr>
          <w:rFonts w:ascii="Book Antiqua" w:eastAsia="Times New Roman" w:hAnsi="Book Antiqua" w:cs="Times New Roman"/>
          <w:sz w:val="24"/>
          <w:szCs w:val="24"/>
          <w:lang w:val="es-ES"/>
        </w:rPr>
        <w:t>l</w:t>
      </w:r>
      <w:r w:rsidRPr="00DB7300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a Comisión de Salud </w:t>
      </w:r>
      <w:r w:rsidRPr="00DB7300">
        <w:rPr>
          <w:rFonts w:ascii="Book Antiqua" w:hAnsi="Book Antiqua"/>
          <w:sz w:val="24"/>
          <w:szCs w:val="24"/>
          <w:lang w:val="es-ES"/>
        </w:rPr>
        <w:t xml:space="preserve">del Senado de Puerto Rico, luego de evaluar la medida ante nuestra consideración, concluyó que el propósito que persigue esta pieza legislativa ya fue previamente atendido </w:t>
      </w:r>
      <w:r w:rsidR="00B76556" w:rsidRPr="00DB7300">
        <w:rPr>
          <w:rFonts w:ascii="Book Antiqua" w:hAnsi="Book Antiqua"/>
          <w:sz w:val="24"/>
          <w:szCs w:val="24"/>
          <w:lang w:val="es-ES"/>
        </w:rPr>
        <w:t xml:space="preserve">en </w:t>
      </w:r>
      <w:r w:rsidR="00B76556" w:rsidRPr="00DB7300">
        <w:rPr>
          <w:rFonts w:ascii="Book Antiqua" w:hAnsi="Book Antiqua"/>
          <w:sz w:val="24"/>
          <w:szCs w:val="24"/>
          <w:lang w:val="es-419"/>
        </w:rPr>
        <w:t xml:space="preserve">la </w:t>
      </w:r>
      <w:r w:rsidR="00B76556" w:rsidRPr="00BB1DB3">
        <w:rPr>
          <w:rFonts w:ascii="Book Antiqua" w:hAnsi="Book Antiqua"/>
          <w:b/>
          <w:bCs/>
          <w:sz w:val="24"/>
          <w:szCs w:val="24"/>
          <w:lang w:val="es-419"/>
        </w:rPr>
        <w:t>Ley 79-2021</w:t>
      </w:r>
      <w:r w:rsidR="00B76556" w:rsidRPr="00DB7300">
        <w:rPr>
          <w:rFonts w:ascii="Book Antiqua" w:hAnsi="Book Antiqua"/>
          <w:sz w:val="24"/>
          <w:szCs w:val="24"/>
          <w:lang w:val="es-419"/>
        </w:rPr>
        <w:t xml:space="preserve"> (P. del S. 157 del pasado cuatrienio).</w:t>
      </w:r>
    </w:p>
    <w:p w14:paraId="65D04F2A" w14:textId="77777777" w:rsidR="00B76556" w:rsidRPr="00BB1DB3" w:rsidRDefault="00B76556" w:rsidP="007568FA">
      <w:pPr>
        <w:pStyle w:val="NoSpacing"/>
        <w:rPr>
          <w:lang w:val="es-PR"/>
        </w:rPr>
      </w:pPr>
    </w:p>
    <w:p w14:paraId="721265D5" w14:textId="1AF0F3F3" w:rsidR="0044156F" w:rsidRDefault="00B76556" w:rsidP="00DB7300">
      <w:pPr>
        <w:spacing w:after="0" w:line="288" w:lineRule="auto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Cabe destacar, que c</w:t>
      </w:r>
      <w:r w:rsidR="009A6629" w:rsidRPr="00050C02">
        <w:rPr>
          <w:rFonts w:ascii="Book Antiqua" w:hAnsi="Book Antiqua"/>
          <w:sz w:val="24"/>
          <w:szCs w:val="24"/>
          <w:lang w:val="es-ES"/>
        </w:rPr>
        <w:t>omo parte del proceso de análisis y evaluación de</w:t>
      </w:r>
      <w:r w:rsidR="002F65A7">
        <w:rPr>
          <w:rFonts w:ascii="Book Antiqua" w:hAnsi="Book Antiqua"/>
          <w:sz w:val="24"/>
          <w:szCs w:val="24"/>
          <w:lang w:val="es-ES"/>
        </w:rPr>
        <w:t xml:space="preserve">l </w:t>
      </w:r>
      <w:r w:rsidR="002F65A7" w:rsidRPr="00FD019B">
        <w:rPr>
          <w:rFonts w:ascii="Book Antiqua" w:hAnsi="Book Antiqua"/>
          <w:b/>
          <w:bCs/>
          <w:sz w:val="24"/>
          <w:szCs w:val="24"/>
          <w:lang w:val="es-ES"/>
        </w:rPr>
        <w:t>P. del S. 367</w:t>
      </w:r>
      <w:r w:rsidR="009A6629" w:rsidRPr="00050C02">
        <w:rPr>
          <w:rFonts w:ascii="Book Antiqua" w:hAnsi="Book Antiqua"/>
          <w:sz w:val="24"/>
          <w:szCs w:val="24"/>
          <w:lang w:val="es-ES"/>
        </w:rPr>
        <w:t xml:space="preserve">, </w:t>
      </w:r>
      <w:r w:rsidR="009A6629">
        <w:rPr>
          <w:rFonts w:ascii="Book Antiqua" w:hAnsi="Book Antiqua"/>
          <w:sz w:val="24"/>
          <w:szCs w:val="24"/>
          <w:lang w:val="es-ES"/>
        </w:rPr>
        <w:t xml:space="preserve">la </w:t>
      </w:r>
      <w:r w:rsidR="009A6629" w:rsidRPr="00050C02">
        <w:rPr>
          <w:rFonts w:ascii="Book Antiqua" w:hAnsi="Book Antiqua"/>
          <w:sz w:val="24"/>
          <w:szCs w:val="24"/>
          <w:lang w:val="es-ES"/>
        </w:rPr>
        <w:t xml:space="preserve">Honorable Comisión </w:t>
      </w:r>
      <w:r w:rsidR="009A6629">
        <w:rPr>
          <w:rFonts w:ascii="Book Antiqua" w:hAnsi="Book Antiqua"/>
          <w:sz w:val="24"/>
          <w:szCs w:val="24"/>
          <w:lang w:val="es-ES"/>
        </w:rPr>
        <w:t xml:space="preserve">de Salud del Senado </w:t>
      </w:r>
      <w:r w:rsidR="009A6629" w:rsidRPr="00050C02">
        <w:rPr>
          <w:rFonts w:ascii="Book Antiqua" w:hAnsi="Book Antiqua"/>
          <w:sz w:val="24"/>
          <w:szCs w:val="24"/>
          <w:lang w:val="es-ES"/>
        </w:rPr>
        <w:t>solicitó comentarios sobre la medida a diversos componentes gubernamentales y no gubernamentales</w:t>
      </w:r>
      <w:r>
        <w:rPr>
          <w:rFonts w:ascii="Book Antiqua" w:hAnsi="Book Antiqua"/>
          <w:sz w:val="24"/>
          <w:szCs w:val="24"/>
          <w:lang w:val="es-ES"/>
        </w:rPr>
        <w:t xml:space="preserve"> de los cuales recibimos memoriales explicativos del </w:t>
      </w:r>
      <w:r w:rsidR="009A6629">
        <w:rPr>
          <w:rFonts w:ascii="Book Antiqua" w:hAnsi="Book Antiqua"/>
          <w:sz w:val="24"/>
          <w:szCs w:val="24"/>
          <w:lang w:val="es-ES"/>
        </w:rPr>
        <w:t>Departamento de Salud</w:t>
      </w:r>
      <w:r w:rsidR="004E08DC">
        <w:rPr>
          <w:rFonts w:ascii="Book Antiqua" w:hAnsi="Book Antiqua"/>
          <w:sz w:val="24"/>
          <w:szCs w:val="24"/>
          <w:lang w:val="es-ES"/>
        </w:rPr>
        <w:t xml:space="preserve">, </w:t>
      </w:r>
      <w:r>
        <w:rPr>
          <w:rFonts w:ascii="Book Antiqua" w:hAnsi="Book Antiqua"/>
          <w:sz w:val="24"/>
          <w:szCs w:val="24"/>
          <w:lang w:val="es-ES"/>
        </w:rPr>
        <w:t xml:space="preserve">la </w:t>
      </w:r>
      <w:r w:rsidR="004E08DC">
        <w:rPr>
          <w:rFonts w:ascii="Book Antiqua" w:hAnsi="Book Antiqua"/>
          <w:sz w:val="24"/>
          <w:szCs w:val="24"/>
          <w:lang w:val="es-ES"/>
        </w:rPr>
        <w:t>Oficina del Procurador del Paciente</w:t>
      </w:r>
      <w:r w:rsidR="007207E3">
        <w:rPr>
          <w:rFonts w:ascii="Book Antiqua" w:hAnsi="Book Antiqua"/>
          <w:sz w:val="24"/>
          <w:szCs w:val="24"/>
          <w:lang w:val="es-ES"/>
        </w:rPr>
        <w:t xml:space="preserve"> y </w:t>
      </w:r>
      <w:r>
        <w:rPr>
          <w:rFonts w:ascii="Book Antiqua" w:hAnsi="Book Antiqua"/>
          <w:sz w:val="24"/>
          <w:szCs w:val="24"/>
          <w:lang w:val="es-ES"/>
        </w:rPr>
        <w:t>d</w:t>
      </w:r>
      <w:r w:rsidR="00582451">
        <w:rPr>
          <w:rFonts w:ascii="Book Antiqua" w:hAnsi="Book Antiqua"/>
          <w:sz w:val="24"/>
          <w:szCs w:val="24"/>
          <w:lang w:val="es-ES"/>
        </w:rPr>
        <w:t>el Dr. Leslie E. Maldonado</w:t>
      </w:r>
      <w:r w:rsidR="00A604A7">
        <w:rPr>
          <w:rFonts w:ascii="Book Antiqua" w:hAnsi="Book Antiqua"/>
          <w:sz w:val="24"/>
          <w:szCs w:val="24"/>
          <w:lang w:val="es-ES"/>
        </w:rPr>
        <w:t xml:space="preserve"> Feliciano</w:t>
      </w:r>
      <w:r w:rsidR="0044156F">
        <w:rPr>
          <w:rFonts w:ascii="Book Antiqua" w:hAnsi="Book Antiqua"/>
          <w:sz w:val="24"/>
          <w:szCs w:val="24"/>
          <w:lang w:val="es-ES"/>
        </w:rPr>
        <w:t>.</w:t>
      </w:r>
      <w:r w:rsidR="00066FEA">
        <w:rPr>
          <w:rFonts w:ascii="Book Antiqua" w:hAnsi="Book Antiqua"/>
          <w:sz w:val="24"/>
          <w:szCs w:val="24"/>
          <w:lang w:val="es-ES"/>
        </w:rPr>
        <w:t xml:space="preserve"> Todos lo</w:t>
      </w:r>
      <w:r w:rsidR="002B79A3">
        <w:rPr>
          <w:rFonts w:ascii="Book Antiqua" w:hAnsi="Book Antiqua"/>
          <w:sz w:val="24"/>
          <w:szCs w:val="24"/>
          <w:lang w:val="es-ES"/>
        </w:rPr>
        <w:t>s</w:t>
      </w:r>
      <w:r w:rsidR="00066FEA">
        <w:rPr>
          <w:rFonts w:ascii="Book Antiqua" w:hAnsi="Book Antiqua"/>
          <w:sz w:val="24"/>
          <w:szCs w:val="24"/>
          <w:lang w:val="es-ES"/>
        </w:rPr>
        <w:t xml:space="preserve"> </w:t>
      </w:r>
      <w:r w:rsidR="003B181F">
        <w:rPr>
          <w:rFonts w:ascii="Book Antiqua" w:hAnsi="Book Antiqua"/>
          <w:sz w:val="24"/>
          <w:szCs w:val="24"/>
          <w:lang w:val="es-ES"/>
        </w:rPr>
        <w:t>m</w:t>
      </w:r>
      <w:r w:rsidR="00066FEA">
        <w:rPr>
          <w:rFonts w:ascii="Book Antiqua" w:hAnsi="Book Antiqua"/>
          <w:sz w:val="24"/>
          <w:szCs w:val="24"/>
          <w:lang w:val="es-ES"/>
        </w:rPr>
        <w:t xml:space="preserve">emoriales recibidos </w:t>
      </w:r>
      <w:r w:rsidR="00D729DB">
        <w:rPr>
          <w:rFonts w:ascii="Book Antiqua" w:hAnsi="Book Antiqua"/>
          <w:sz w:val="24"/>
          <w:szCs w:val="24"/>
          <w:lang w:val="es-ES"/>
        </w:rPr>
        <w:t>advirtieron</w:t>
      </w:r>
      <w:r w:rsidR="00066FEA">
        <w:rPr>
          <w:rFonts w:ascii="Book Antiqua" w:hAnsi="Book Antiqua"/>
          <w:sz w:val="24"/>
          <w:szCs w:val="24"/>
          <w:lang w:val="es-ES"/>
        </w:rPr>
        <w:t xml:space="preserve"> que lo propuesto en la </w:t>
      </w:r>
      <w:r w:rsidR="00DB7300">
        <w:rPr>
          <w:rFonts w:ascii="Book Antiqua" w:hAnsi="Book Antiqua"/>
          <w:sz w:val="24"/>
          <w:szCs w:val="24"/>
          <w:lang w:val="es-ES"/>
        </w:rPr>
        <w:t xml:space="preserve">presente </w:t>
      </w:r>
      <w:r w:rsidR="00066FEA">
        <w:rPr>
          <w:rFonts w:ascii="Book Antiqua" w:hAnsi="Book Antiqua"/>
          <w:sz w:val="24"/>
          <w:szCs w:val="24"/>
          <w:lang w:val="es-ES"/>
        </w:rPr>
        <w:t>pie</w:t>
      </w:r>
      <w:r w:rsidR="0054301E">
        <w:rPr>
          <w:rFonts w:ascii="Book Antiqua" w:hAnsi="Book Antiqua"/>
          <w:sz w:val="24"/>
          <w:szCs w:val="24"/>
          <w:lang w:val="es-ES"/>
        </w:rPr>
        <w:t xml:space="preserve">za legislativa ya había sido </w:t>
      </w:r>
      <w:r w:rsidR="00942C65">
        <w:rPr>
          <w:rFonts w:ascii="Book Antiqua" w:hAnsi="Book Antiqua"/>
          <w:sz w:val="24"/>
          <w:szCs w:val="24"/>
          <w:lang w:val="es-ES"/>
        </w:rPr>
        <w:t xml:space="preserve">legislado mediante </w:t>
      </w:r>
      <w:r w:rsidR="0054301E">
        <w:rPr>
          <w:rFonts w:ascii="Book Antiqua" w:hAnsi="Book Antiqua"/>
          <w:sz w:val="24"/>
          <w:szCs w:val="24"/>
          <w:lang w:val="es-ES"/>
        </w:rPr>
        <w:t xml:space="preserve">la Ley </w:t>
      </w:r>
      <w:r w:rsidR="00D729DB">
        <w:rPr>
          <w:rFonts w:ascii="Book Antiqua" w:hAnsi="Book Antiqua"/>
          <w:sz w:val="24"/>
          <w:szCs w:val="24"/>
          <w:lang w:val="es-ES"/>
        </w:rPr>
        <w:t>Núm.</w:t>
      </w:r>
      <w:r w:rsidR="0054301E">
        <w:rPr>
          <w:rFonts w:ascii="Book Antiqua" w:hAnsi="Book Antiqua"/>
          <w:sz w:val="24"/>
          <w:szCs w:val="24"/>
          <w:lang w:val="es-ES"/>
        </w:rPr>
        <w:t xml:space="preserve"> </w:t>
      </w:r>
      <w:r w:rsidR="00D729DB">
        <w:rPr>
          <w:rFonts w:ascii="Book Antiqua" w:hAnsi="Book Antiqua"/>
          <w:sz w:val="24"/>
          <w:szCs w:val="24"/>
          <w:lang w:val="es-ES"/>
        </w:rPr>
        <w:t>79-2021</w:t>
      </w:r>
      <w:r w:rsidR="00DB7300">
        <w:rPr>
          <w:rFonts w:ascii="Book Antiqua" w:hAnsi="Book Antiqua"/>
          <w:sz w:val="24"/>
          <w:szCs w:val="24"/>
          <w:lang w:val="es-ES"/>
        </w:rPr>
        <w:t>, reiterando así los hallazgos de la Comisión</w:t>
      </w:r>
      <w:r w:rsidR="00D729DB">
        <w:rPr>
          <w:rFonts w:ascii="Book Antiqua" w:hAnsi="Book Antiqua"/>
          <w:sz w:val="24"/>
          <w:szCs w:val="24"/>
          <w:lang w:val="es-ES"/>
        </w:rPr>
        <w:t>.</w:t>
      </w:r>
    </w:p>
    <w:p w14:paraId="44CFAE57" w14:textId="77777777" w:rsidR="009A6629" w:rsidRPr="00050C02" w:rsidRDefault="009A6629" w:rsidP="007568FA">
      <w:pPr>
        <w:pStyle w:val="NoSpacing"/>
        <w:rPr>
          <w:lang w:val="es-ES"/>
        </w:rPr>
      </w:pPr>
    </w:p>
    <w:p w14:paraId="2D955034" w14:textId="64F0F982" w:rsidR="00447A62" w:rsidRDefault="003B181F" w:rsidP="00DB7300">
      <w:pPr>
        <w:spacing w:after="0" w:line="288" w:lineRule="auto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Tratándose de un asunto previamente legislado por</w:t>
      </w:r>
      <w:r w:rsidR="008A0D47" w:rsidRPr="00670AD3">
        <w:rPr>
          <w:rFonts w:ascii="Book Antiqua" w:hAnsi="Book Antiqua"/>
          <w:sz w:val="24"/>
          <w:szCs w:val="24"/>
          <w:lang w:val="es-ES"/>
        </w:rPr>
        <w:t xml:space="preserve"> </w:t>
      </w:r>
      <w:r w:rsidR="00577560">
        <w:rPr>
          <w:rFonts w:ascii="Book Antiqua" w:hAnsi="Book Antiqua"/>
          <w:sz w:val="24"/>
          <w:szCs w:val="24"/>
          <w:lang w:val="es-ES"/>
        </w:rPr>
        <w:t>la</w:t>
      </w:r>
      <w:r w:rsidR="008A0D47" w:rsidRPr="00670AD3">
        <w:rPr>
          <w:rFonts w:ascii="Book Antiqua" w:hAnsi="Book Antiqua"/>
          <w:sz w:val="24"/>
          <w:szCs w:val="24"/>
          <w:lang w:val="es-ES"/>
        </w:rPr>
        <w:t xml:space="preserve"> Asamblea Legislativa, la</w:t>
      </w:r>
      <w:r w:rsidR="00311483">
        <w:rPr>
          <w:rFonts w:ascii="Book Antiqua" w:hAnsi="Book Antiqua"/>
          <w:sz w:val="24"/>
          <w:szCs w:val="24"/>
          <w:lang w:val="es-ES"/>
        </w:rPr>
        <w:t xml:space="preserve"> </w:t>
      </w:r>
      <w:r w:rsidR="00D52121" w:rsidRPr="00670AD3">
        <w:rPr>
          <w:rFonts w:ascii="Book Antiqua" w:hAnsi="Book Antiqua"/>
          <w:sz w:val="24"/>
          <w:szCs w:val="24"/>
          <w:lang w:val="es-ES"/>
        </w:rPr>
        <w:t>Comisi</w:t>
      </w:r>
      <w:r w:rsidR="00D52121">
        <w:rPr>
          <w:rFonts w:ascii="Book Antiqua" w:hAnsi="Book Antiqua"/>
          <w:sz w:val="24"/>
          <w:szCs w:val="24"/>
          <w:lang w:val="es-ES"/>
        </w:rPr>
        <w:t xml:space="preserve">ón </w:t>
      </w:r>
      <w:r w:rsidR="00DB7300">
        <w:rPr>
          <w:rFonts w:ascii="Book Antiqua" w:hAnsi="Book Antiqua"/>
          <w:sz w:val="24"/>
          <w:szCs w:val="24"/>
          <w:lang w:val="es-ES"/>
        </w:rPr>
        <w:t xml:space="preserve">de Salud del Senado de Puerto Rico </w:t>
      </w:r>
      <w:r w:rsidR="00D52121" w:rsidRPr="00670AD3">
        <w:rPr>
          <w:rFonts w:ascii="Book Antiqua" w:hAnsi="Book Antiqua"/>
          <w:sz w:val="24"/>
          <w:szCs w:val="24"/>
          <w:lang w:val="es-ES"/>
        </w:rPr>
        <w:t>se</w:t>
      </w:r>
      <w:r w:rsidR="008A0D47" w:rsidRPr="00670AD3">
        <w:rPr>
          <w:rFonts w:ascii="Book Antiqua" w:hAnsi="Book Antiqua"/>
          <w:sz w:val="24"/>
          <w:szCs w:val="24"/>
          <w:lang w:val="es-ES"/>
        </w:rPr>
        <w:t xml:space="preserve"> ve impedida de recomendar la aprobación del </w:t>
      </w:r>
      <w:r w:rsidR="008A0D47" w:rsidRPr="00036F1D">
        <w:rPr>
          <w:rFonts w:ascii="Book Antiqua" w:hAnsi="Book Antiqua"/>
          <w:b/>
          <w:bCs/>
          <w:sz w:val="24"/>
          <w:szCs w:val="24"/>
          <w:lang w:val="es-ES"/>
        </w:rPr>
        <w:t xml:space="preserve">P. </w:t>
      </w:r>
      <w:r w:rsidR="003C0D98" w:rsidRPr="00036F1D">
        <w:rPr>
          <w:rFonts w:ascii="Book Antiqua" w:hAnsi="Book Antiqua"/>
          <w:b/>
          <w:bCs/>
          <w:sz w:val="24"/>
          <w:szCs w:val="24"/>
          <w:lang w:val="es-ES"/>
        </w:rPr>
        <w:t>del S</w:t>
      </w:r>
      <w:r w:rsidR="008A0D47" w:rsidRPr="00036F1D">
        <w:rPr>
          <w:rFonts w:ascii="Book Antiqua" w:hAnsi="Book Antiqua"/>
          <w:b/>
          <w:bCs/>
          <w:sz w:val="24"/>
          <w:szCs w:val="24"/>
          <w:lang w:val="es-ES"/>
        </w:rPr>
        <w:t xml:space="preserve">. </w:t>
      </w:r>
      <w:r w:rsidR="00036F1D" w:rsidRPr="00036F1D">
        <w:rPr>
          <w:rFonts w:ascii="Book Antiqua" w:hAnsi="Book Antiqua"/>
          <w:b/>
          <w:bCs/>
          <w:sz w:val="24"/>
          <w:szCs w:val="24"/>
          <w:lang w:val="es-ES"/>
        </w:rPr>
        <w:t>367</w:t>
      </w:r>
      <w:r w:rsidR="008A0D47" w:rsidRPr="00670AD3">
        <w:rPr>
          <w:rFonts w:ascii="Book Antiqua" w:hAnsi="Book Antiqua"/>
          <w:sz w:val="24"/>
          <w:szCs w:val="24"/>
          <w:lang w:val="es-ES"/>
        </w:rPr>
        <w:t>, toda vez que</w:t>
      </w:r>
      <w:r w:rsidR="00D729DB">
        <w:rPr>
          <w:rFonts w:ascii="Book Antiqua" w:hAnsi="Book Antiqua"/>
          <w:sz w:val="24"/>
          <w:szCs w:val="24"/>
          <w:lang w:val="es-ES"/>
        </w:rPr>
        <w:t xml:space="preserve"> </w:t>
      </w:r>
      <w:r w:rsidR="00974CC8">
        <w:rPr>
          <w:rFonts w:ascii="Book Antiqua" w:hAnsi="Book Antiqua"/>
          <w:sz w:val="24"/>
          <w:szCs w:val="24"/>
          <w:lang w:val="es-ES"/>
        </w:rPr>
        <w:t>lo propuesto en la medida ya fue convertido en Ley</w:t>
      </w:r>
      <w:r w:rsidR="002B79A3">
        <w:rPr>
          <w:rFonts w:ascii="Book Antiqua" w:hAnsi="Book Antiqua"/>
          <w:sz w:val="24"/>
          <w:szCs w:val="24"/>
          <w:lang w:val="es-ES"/>
        </w:rPr>
        <w:t xml:space="preserve">. </w:t>
      </w:r>
    </w:p>
    <w:p w14:paraId="2304453E" w14:textId="7B344565" w:rsidR="00044471" w:rsidRPr="000E62CB" w:rsidRDefault="00426A07" w:rsidP="002D036E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</w:pPr>
      <w:r w:rsidRPr="000E62CB">
        <w:rPr>
          <w:rFonts w:ascii="Book Antiqua" w:eastAsia="Times New Roman" w:hAnsi="Book Antiqua" w:cs="Times New Roman"/>
          <w:b/>
          <w:sz w:val="24"/>
          <w:szCs w:val="24"/>
          <w:u w:val="single"/>
          <w:lang w:val="es-ES"/>
        </w:rPr>
        <w:lastRenderedPageBreak/>
        <w:t>CONCLUSIÓN</w:t>
      </w:r>
    </w:p>
    <w:p w14:paraId="7B6999A3" w14:textId="77777777" w:rsidR="00044471" w:rsidRPr="00044471" w:rsidRDefault="00044471" w:rsidP="002D036E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3F5D92D6" w14:textId="5D9AC5E2" w:rsidR="00AC628E" w:rsidRDefault="00AC628E" w:rsidP="00D92FF8">
      <w:pPr>
        <w:spacing w:after="0" w:line="36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377730">
        <w:rPr>
          <w:rFonts w:ascii="Book Antiqua" w:eastAsia="Times New Roman" w:hAnsi="Book Antiqua"/>
          <w:b/>
          <w:sz w:val="24"/>
          <w:szCs w:val="24"/>
          <w:lang w:val="es-PR"/>
        </w:rPr>
        <w:t>POR TODO LO ANTES EXPUESTO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>
        <w:rPr>
          <w:rFonts w:ascii="Book Antiqua" w:eastAsia="Times New Roman" w:hAnsi="Book Antiqua"/>
          <w:sz w:val="24"/>
          <w:szCs w:val="20"/>
          <w:lang w:val="es-ES_tradnl"/>
        </w:rPr>
        <w:t>la</w:t>
      </w:r>
      <w:r w:rsidR="00E015E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E0DB8">
        <w:rPr>
          <w:rFonts w:ascii="Book Antiqua" w:eastAsia="Times New Roman" w:hAnsi="Book Antiqua"/>
          <w:sz w:val="24"/>
          <w:szCs w:val="20"/>
          <w:lang w:val="es-ES_tradnl"/>
        </w:rPr>
        <w:t xml:space="preserve">Comisión 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de Salud del </w:t>
      </w:r>
      <w:r w:rsidRPr="00377730">
        <w:rPr>
          <w:rFonts w:ascii="Book Antiqua" w:eastAsia="Times New Roman" w:hAnsi="Book Antiqua"/>
          <w:sz w:val="24"/>
          <w:szCs w:val="24"/>
          <w:lang w:val="es-ES_tradnl"/>
        </w:rPr>
        <w:t>Senado de Puerto Rico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 xml:space="preserve">luego de la consideración correspondiente, tiene a bien someter a este Alto Cuerpo su </w:t>
      </w:r>
      <w:r w:rsidR="003C0D98" w:rsidRP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Informe Negativo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 xml:space="preserve"> sobre el </w:t>
      </w:r>
      <w:r w:rsidR="003C0D98" w:rsidRP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P. de</w:t>
      </w:r>
      <w:r w:rsid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 xml:space="preserve">l S. </w:t>
      </w:r>
      <w:r w:rsidR="00FD53B6">
        <w:rPr>
          <w:rFonts w:ascii="Book Antiqua" w:eastAsia="Times New Roman" w:hAnsi="Book Antiqua"/>
          <w:b/>
          <w:bCs/>
          <w:sz w:val="24"/>
          <w:szCs w:val="24"/>
          <w:lang w:val="es-PR"/>
        </w:rPr>
        <w:t>367</w:t>
      </w:r>
      <w:r w:rsidR="002C7693">
        <w:rPr>
          <w:rFonts w:ascii="Book Antiqua" w:eastAsia="Times New Roman" w:hAnsi="Book Antiqua"/>
          <w:b/>
          <w:bCs/>
          <w:sz w:val="24"/>
          <w:szCs w:val="24"/>
          <w:lang w:val="es-PR"/>
        </w:rPr>
        <w:t>,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 xml:space="preserve"> No Recomendando su aprobación</w:t>
      </w:r>
      <w:r w:rsidR="00A66397">
        <w:rPr>
          <w:rFonts w:ascii="Book Antiqua" w:eastAsia="Times New Roman" w:hAnsi="Book Antiqua"/>
          <w:b/>
          <w:sz w:val="24"/>
          <w:szCs w:val="24"/>
          <w:lang w:val="es-PR"/>
        </w:rPr>
        <w:t xml:space="preserve">. </w:t>
      </w:r>
    </w:p>
    <w:p w14:paraId="31D6ADD0" w14:textId="77777777" w:rsidR="00044471" w:rsidRPr="00AC628E" w:rsidRDefault="00044471" w:rsidP="00D92FF8">
      <w:pPr>
        <w:pStyle w:val="NoSpacing"/>
        <w:jc w:val="both"/>
        <w:rPr>
          <w:lang w:val="es-ES_tradnl"/>
        </w:rPr>
      </w:pPr>
    </w:p>
    <w:p w14:paraId="41B51E0A" w14:textId="77777777" w:rsidR="00E015E3" w:rsidRDefault="00E015E3" w:rsidP="00D92FF8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</w:p>
    <w:p w14:paraId="1914FB0A" w14:textId="7283B49F" w:rsidR="00E22516" w:rsidRPr="00044471" w:rsidRDefault="00E22516" w:rsidP="00D92FF8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044471">
        <w:rPr>
          <w:rFonts w:ascii="Book Antiqua" w:eastAsia="Batang" w:hAnsi="Book Antiqua" w:cs="Times New Roman"/>
          <w:sz w:val="24"/>
          <w:szCs w:val="24"/>
          <w:lang w:val="es-ES"/>
        </w:rPr>
        <w:t>Respetuosamente sometido,</w:t>
      </w:r>
    </w:p>
    <w:p w14:paraId="393E9926" w14:textId="77777777" w:rsidR="00E616CD" w:rsidRPr="00E015E3" w:rsidRDefault="00E616CD" w:rsidP="00D92FF8">
      <w:pPr>
        <w:spacing w:after="0" w:line="276" w:lineRule="auto"/>
        <w:jc w:val="both"/>
        <w:rPr>
          <w:rFonts w:ascii="Book Antiqua" w:eastAsia="Batang" w:hAnsi="Book Antiqua" w:cs="Times New Roman"/>
          <w:sz w:val="26"/>
          <w:szCs w:val="26"/>
          <w:lang w:val="es-ES"/>
        </w:rPr>
      </w:pPr>
    </w:p>
    <w:p w14:paraId="4D291429" w14:textId="77777777" w:rsidR="00A37E22" w:rsidRPr="00E015E3" w:rsidRDefault="00A37E22" w:rsidP="00D92FF8">
      <w:pPr>
        <w:spacing w:after="0" w:line="276" w:lineRule="auto"/>
        <w:jc w:val="both"/>
        <w:rPr>
          <w:rFonts w:ascii="Book Antiqua" w:eastAsia="Batang" w:hAnsi="Book Antiqua" w:cs="Times New Roman"/>
          <w:sz w:val="26"/>
          <w:szCs w:val="26"/>
          <w:lang w:val="es-ES"/>
        </w:rPr>
      </w:pPr>
    </w:p>
    <w:p w14:paraId="54EF6A93" w14:textId="2971A933" w:rsidR="00E22516" w:rsidRPr="00E616CD" w:rsidRDefault="00AC628E" w:rsidP="00D92FF8">
      <w:pPr>
        <w:spacing w:after="0" w:line="276" w:lineRule="auto"/>
        <w:jc w:val="both"/>
        <w:outlineLvl w:val="0"/>
        <w:rPr>
          <w:rFonts w:ascii="Book Antiqua" w:eastAsia="Batang" w:hAnsi="Book Antiqua" w:cs="Times New Roman"/>
          <w:b/>
          <w:sz w:val="24"/>
          <w:szCs w:val="24"/>
          <w:lang w:val="es-ES"/>
        </w:rPr>
      </w:pPr>
      <w:r>
        <w:rPr>
          <w:rFonts w:ascii="Book Antiqua" w:eastAsia="Batang" w:hAnsi="Book Antiqua" w:cs="Times New Roman"/>
          <w:b/>
          <w:sz w:val="24"/>
          <w:szCs w:val="24"/>
          <w:lang w:val="es-ES"/>
        </w:rPr>
        <w:t>Juan Oscar Morales</w:t>
      </w:r>
      <w:r w:rsidR="00E015E3">
        <w:rPr>
          <w:rFonts w:ascii="Book Antiqua" w:eastAsia="Batang" w:hAnsi="Book Antiqua" w:cs="Times New Roman"/>
          <w:b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b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b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b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b/>
          <w:sz w:val="24"/>
          <w:szCs w:val="24"/>
          <w:lang w:val="es-ES"/>
        </w:rPr>
        <w:tab/>
      </w:r>
    </w:p>
    <w:p w14:paraId="7FD86F3A" w14:textId="403389E3" w:rsidR="00E22516" w:rsidRPr="00E616CD" w:rsidRDefault="00E22516" w:rsidP="00D92FF8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>Presidente</w:t>
      </w:r>
      <w:r w:rsidR="00E015E3">
        <w:rPr>
          <w:rFonts w:ascii="Book Antiqua" w:eastAsia="Batang" w:hAnsi="Book Antiqua" w:cs="Times New Roman"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sz w:val="24"/>
          <w:szCs w:val="24"/>
          <w:lang w:val="es-ES"/>
        </w:rPr>
        <w:tab/>
      </w:r>
      <w:r w:rsidR="00E015E3">
        <w:rPr>
          <w:rFonts w:ascii="Book Antiqua" w:eastAsia="Batang" w:hAnsi="Book Antiqua" w:cs="Times New Roman"/>
          <w:sz w:val="24"/>
          <w:szCs w:val="24"/>
          <w:lang w:val="es-ES"/>
        </w:rPr>
        <w:tab/>
      </w:r>
    </w:p>
    <w:p w14:paraId="4CA30EE5" w14:textId="18F93912" w:rsidR="00A2416A" w:rsidRPr="00FC6C67" w:rsidRDefault="00E22516" w:rsidP="00E015E3">
      <w:pPr>
        <w:spacing w:after="0" w:line="276" w:lineRule="auto"/>
        <w:ind w:left="5040" w:hanging="5040"/>
        <w:jc w:val="both"/>
        <w:rPr>
          <w:rFonts w:ascii="Book Antiqua" w:eastAsia="Batang" w:hAnsi="Book Antiqua" w:cs="Times New Roman"/>
          <w:sz w:val="24"/>
          <w:szCs w:val="24"/>
          <w:lang w:val="es-ES_tradnl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 xml:space="preserve">Comisión </w:t>
      </w:r>
      <w:r w:rsidR="00FD53B6">
        <w:rPr>
          <w:rFonts w:ascii="Book Antiqua" w:eastAsia="Batang" w:hAnsi="Book Antiqua" w:cs="Times New Roman"/>
          <w:sz w:val="24"/>
          <w:szCs w:val="24"/>
          <w:lang w:val="es-ES"/>
        </w:rPr>
        <w:t>de Salud</w:t>
      </w:r>
    </w:p>
    <w:sectPr w:rsidR="00A2416A" w:rsidRPr="00FC6C67" w:rsidSect="00426A07">
      <w:headerReference w:type="even" r:id="rId12"/>
      <w:headerReference w:type="default" r:id="rId13"/>
      <w:footerReference w:type="default" r:id="rId14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8370F" w14:textId="77777777" w:rsidR="00C72398" w:rsidRDefault="00C72398" w:rsidP="00426A07">
      <w:pPr>
        <w:spacing w:after="0" w:line="240" w:lineRule="auto"/>
      </w:pPr>
      <w:r>
        <w:separator/>
      </w:r>
    </w:p>
  </w:endnote>
  <w:endnote w:type="continuationSeparator" w:id="0">
    <w:p w14:paraId="4B8432D2" w14:textId="77777777" w:rsidR="00C72398" w:rsidRDefault="00C72398" w:rsidP="0042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5E1" w14:textId="7B857101" w:rsidR="00245CF4" w:rsidRDefault="00245CF4">
    <w:pPr>
      <w:pStyle w:val="Footer"/>
      <w:jc w:val="right"/>
    </w:pPr>
  </w:p>
  <w:p w14:paraId="65329F6B" w14:textId="77777777" w:rsidR="00245CF4" w:rsidRDefault="00245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B1281" w14:textId="77777777" w:rsidR="00C72398" w:rsidRDefault="00C72398" w:rsidP="00426A07">
      <w:pPr>
        <w:spacing w:after="0" w:line="240" w:lineRule="auto"/>
      </w:pPr>
      <w:r>
        <w:separator/>
      </w:r>
    </w:p>
  </w:footnote>
  <w:footnote w:type="continuationSeparator" w:id="0">
    <w:p w14:paraId="47AE61B6" w14:textId="77777777" w:rsidR="00C72398" w:rsidRDefault="00C72398" w:rsidP="0042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DC170" w14:textId="77777777" w:rsidR="00970C8D" w:rsidRDefault="0076193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BF11A9A" wp14:editId="4B966B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85510" cy="2393950"/>
              <wp:effectExtent l="0" t="1524000" r="0" b="13779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5510" cy="23939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03D97" w14:textId="77777777" w:rsidR="00970C8D" w:rsidRDefault="0076193A" w:rsidP="00F65B1B">
                          <w:pPr>
                            <w:pStyle w:val="Title"/>
                            <w:spacing w:after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11A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471.3pt;height:188.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41403D97" w14:textId="77777777" w:rsidR="00970C8D" w:rsidRDefault="0076193A" w:rsidP="00F65B1B">
                    <w:pPr>
                      <w:pStyle w:val="Title"/>
                      <w:spacing w:after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993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342AA9" w14:textId="3C48D19A" w:rsidR="00EA3604" w:rsidRPr="001C09CB" w:rsidRDefault="00EA3604">
        <w:pPr>
          <w:pStyle w:val="Header"/>
          <w:jc w:val="right"/>
          <w:rPr>
            <w:lang w:val="es-PR"/>
          </w:rPr>
        </w:pPr>
        <w:r>
          <w:fldChar w:fldCharType="begin"/>
        </w:r>
        <w:r w:rsidRPr="001C09CB">
          <w:rPr>
            <w:lang w:val="es-PR"/>
          </w:rPr>
          <w:instrText xml:space="preserve"> PAGE   \* MERGEFORMAT </w:instrText>
        </w:r>
        <w:r>
          <w:fldChar w:fldCharType="separate"/>
        </w:r>
        <w:r w:rsidRPr="001C09CB">
          <w:rPr>
            <w:noProof/>
            <w:lang w:val="es-PR"/>
          </w:rPr>
          <w:t>2</w:t>
        </w:r>
        <w:r>
          <w:rPr>
            <w:noProof/>
          </w:rPr>
          <w:fldChar w:fldCharType="end"/>
        </w:r>
      </w:p>
    </w:sdtContent>
  </w:sdt>
  <w:p w14:paraId="5EB7E202" w14:textId="57DDB187" w:rsidR="00670AD3" w:rsidRDefault="00670AD3" w:rsidP="00DC6814">
    <w:pPr>
      <w:pStyle w:val="Header"/>
      <w:pBdr>
        <w:bottom w:val="single" w:sz="12" w:space="1" w:color="auto"/>
      </w:pBdr>
      <w:rPr>
        <w:rFonts w:ascii="Book Antiqua" w:hAnsi="Book Antiqua" w:cs="Arial"/>
        <w:b/>
        <w:bCs/>
        <w:sz w:val="20"/>
        <w:szCs w:val="20"/>
        <w:lang w:val="es-419"/>
      </w:rPr>
    </w:pPr>
    <w:r w:rsidRPr="00670AD3">
      <w:rPr>
        <w:rFonts w:ascii="Book Antiqua" w:hAnsi="Book Antiqua" w:cs="Arial"/>
        <w:b/>
        <w:bCs/>
        <w:sz w:val="20"/>
        <w:szCs w:val="20"/>
        <w:lang w:val="es-419"/>
      </w:rPr>
      <w:t>Comisi</w:t>
    </w:r>
    <w:r w:rsidR="002B79A3">
      <w:rPr>
        <w:rFonts w:ascii="Book Antiqua" w:hAnsi="Book Antiqua" w:cs="Arial"/>
        <w:b/>
        <w:bCs/>
        <w:sz w:val="20"/>
        <w:szCs w:val="20"/>
        <w:lang w:val="es-419"/>
      </w:rPr>
      <w:t>ón</w:t>
    </w:r>
    <w:r w:rsidRPr="00670AD3">
      <w:rPr>
        <w:rFonts w:ascii="Book Antiqua" w:hAnsi="Book Antiqua" w:cs="Arial"/>
        <w:b/>
        <w:bCs/>
        <w:sz w:val="20"/>
        <w:szCs w:val="20"/>
        <w:lang w:val="es-419"/>
      </w:rPr>
      <w:t xml:space="preserve"> de Salud</w:t>
    </w:r>
  </w:p>
  <w:p w14:paraId="6B6FA937" w14:textId="386057F2" w:rsidR="00EA3604" w:rsidRDefault="00EA3604" w:rsidP="00DC6814">
    <w:pPr>
      <w:pStyle w:val="Header"/>
      <w:pBdr>
        <w:bottom w:val="single" w:sz="12" w:space="1" w:color="auto"/>
      </w:pBdr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Informe </w:t>
    </w:r>
    <w:r w:rsidR="00E84CA7">
      <w:rPr>
        <w:rFonts w:ascii="Book Antiqua" w:hAnsi="Book Antiqua" w:cs="Arial"/>
        <w:b/>
        <w:bCs/>
        <w:sz w:val="20"/>
        <w:szCs w:val="20"/>
        <w:lang w:val="es-419"/>
      </w:rPr>
      <w:t>Nega</w:t>
    </w: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tivo del Proyecto </w:t>
    </w:r>
    <w:r w:rsidR="00E84CA7">
      <w:rPr>
        <w:rFonts w:ascii="Book Antiqua" w:hAnsi="Book Antiqua" w:cs="Arial"/>
        <w:b/>
        <w:bCs/>
        <w:sz w:val="20"/>
        <w:szCs w:val="20"/>
        <w:lang w:val="es-419"/>
      </w:rPr>
      <w:t xml:space="preserve">del Senado </w:t>
    </w:r>
    <w:r w:rsidR="00705EBE">
      <w:rPr>
        <w:rFonts w:ascii="Book Antiqua" w:hAnsi="Book Antiqua" w:cs="Arial"/>
        <w:b/>
        <w:bCs/>
        <w:sz w:val="20"/>
        <w:szCs w:val="20"/>
        <w:lang w:val="es-419"/>
      </w:rPr>
      <w:t>367</w:t>
    </w:r>
  </w:p>
  <w:p w14:paraId="236588BC" w14:textId="77777777" w:rsidR="00EE5266" w:rsidRPr="00EE5266" w:rsidRDefault="00EE5266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BB3"/>
    <w:multiLevelType w:val="hybridMultilevel"/>
    <w:tmpl w:val="424A8E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65D7E"/>
    <w:multiLevelType w:val="multilevel"/>
    <w:tmpl w:val="3590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5003B"/>
    <w:multiLevelType w:val="hybridMultilevel"/>
    <w:tmpl w:val="7840B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A0554"/>
    <w:multiLevelType w:val="hybridMultilevel"/>
    <w:tmpl w:val="0F42CCC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11B7D"/>
    <w:multiLevelType w:val="multilevel"/>
    <w:tmpl w:val="93BE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2B3B19"/>
    <w:multiLevelType w:val="multilevel"/>
    <w:tmpl w:val="C6B0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F47F4"/>
    <w:multiLevelType w:val="multilevel"/>
    <w:tmpl w:val="9B6E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4A4E0D"/>
    <w:multiLevelType w:val="hybridMultilevel"/>
    <w:tmpl w:val="3F84053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EE480B"/>
    <w:multiLevelType w:val="multilevel"/>
    <w:tmpl w:val="FF6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F714A"/>
    <w:multiLevelType w:val="multilevel"/>
    <w:tmpl w:val="E80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750484">
    <w:abstractNumId w:val="6"/>
  </w:num>
  <w:num w:numId="2" w16cid:durableId="2020693400">
    <w:abstractNumId w:val="1"/>
  </w:num>
  <w:num w:numId="3" w16cid:durableId="587807769">
    <w:abstractNumId w:val="4"/>
  </w:num>
  <w:num w:numId="4" w16cid:durableId="965046320">
    <w:abstractNumId w:val="2"/>
  </w:num>
  <w:num w:numId="5" w16cid:durableId="96758950">
    <w:abstractNumId w:val="8"/>
  </w:num>
  <w:num w:numId="6" w16cid:durableId="1647588523">
    <w:abstractNumId w:val="9"/>
  </w:num>
  <w:num w:numId="7" w16cid:durableId="1210799447">
    <w:abstractNumId w:val="5"/>
  </w:num>
  <w:num w:numId="8" w16cid:durableId="1791895634">
    <w:abstractNumId w:val="0"/>
  </w:num>
  <w:num w:numId="9" w16cid:durableId="1404450626">
    <w:abstractNumId w:val="3"/>
  </w:num>
  <w:num w:numId="10" w16cid:durableId="9355519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07"/>
    <w:rsid w:val="00014A81"/>
    <w:rsid w:val="00014B9B"/>
    <w:rsid w:val="000220F0"/>
    <w:rsid w:val="0002358E"/>
    <w:rsid w:val="000244CD"/>
    <w:rsid w:val="0002692C"/>
    <w:rsid w:val="00027F4E"/>
    <w:rsid w:val="00027FB4"/>
    <w:rsid w:val="00036F1D"/>
    <w:rsid w:val="00042970"/>
    <w:rsid w:val="00044471"/>
    <w:rsid w:val="00050C02"/>
    <w:rsid w:val="00052747"/>
    <w:rsid w:val="00055F34"/>
    <w:rsid w:val="00057466"/>
    <w:rsid w:val="00064CB7"/>
    <w:rsid w:val="00066964"/>
    <w:rsid w:val="00066FEA"/>
    <w:rsid w:val="00067918"/>
    <w:rsid w:val="000713DF"/>
    <w:rsid w:val="0008359E"/>
    <w:rsid w:val="0008420D"/>
    <w:rsid w:val="0009185C"/>
    <w:rsid w:val="000B7421"/>
    <w:rsid w:val="000C4519"/>
    <w:rsid w:val="000C6862"/>
    <w:rsid w:val="000D6D51"/>
    <w:rsid w:val="000E3382"/>
    <w:rsid w:val="000E360A"/>
    <w:rsid w:val="000E62CB"/>
    <w:rsid w:val="000E7DD7"/>
    <w:rsid w:val="000F067D"/>
    <w:rsid w:val="000F1B91"/>
    <w:rsid w:val="001007C2"/>
    <w:rsid w:val="00101BCE"/>
    <w:rsid w:val="00102103"/>
    <w:rsid w:val="00103496"/>
    <w:rsid w:val="00103D4D"/>
    <w:rsid w:val="00107E83"/>
    <w:rsid w:val="001138DC"/>
    <w:rsid w:val="00114466"/>
    <w:rsid w:val="00115431"/>
    <w:rsid w:val="00115B27"/>
    <w:rsid w:val="00121C66"/>
    <w:rsid w:val="001242A1"/>
    <w:rsid w:val="00131CEE"/>
    <w:rsid w:val="00132189"/>
    <w:rsid w:val="00136FCB"/>
    <w:rsid w:val="00143F4A"/>
    <w:rsid w:val="0016187F"/>
    <w:rsid w:val="001630F2"/>
    <w:rsid w:val="00163B7A"/>
    <w:rsid w:val="001665C8"/>
    <w:rsid w:val="00171190"/>
    <w:rsid w:val="00173401"/>
    <w:rsid w:val="001746A0"/>
    <w:rsid w:val="001752C0"/>
    <w:rsid w:val="00182681"/>
    <w:rsid w:val="001826A5"/>
    <w:rsid w:val="0018317C"/>
    <w:rsid w:val="00187045"/>
    <w:rsid w:val="001877B5"/>
    <w:rsid w:val="001A2329"/>
    <w:rsid w:val="001B7A9B"/>
    <w:rsid w:val="001C09CB"/>
    <w:rsid w:val="001C3557"/>
    <w:rsid w:val="001D046A"/>
    <w:rsid w:val="001E18B6"/>
    <w:rsid w:val="001E28D8"/>
    <w:rsid w:val="001E5616"/>
    <w:rsid w:val="001E723F"/>
    <w:rsid w:val="00202B89"/>
    <w:rsid w:val="00205268"/>
    <w:rsid w:val="00207ECD"/>
    <w:rsid w:val="00211C12"/>
    <w:rsid w:val="002129CF"/>
    <w:rsid w:val="0022515C"/>
    <w:rsid w:val="0023195A"/>
    <w:rsid w:val="002339D2"/>
    <w:rsid w:val="00243BBA"/>
    <w:rsid w:val="0024506B"/>
    <w:rsid w:val="0024559D"/>
    <w:rsid w:val="00245CF4"/>
    <w:rsid w:val="0024719A"/>
    <w:rsid w:val="00250869"/>
    <w:rsid w:val="0025686A"/>
    <w:rsid w:val="00261304"/>
    <w:rsid w:val="00264347"/>
    <w:rsid w:val="002667B9"/>
    <w:rsid w:val="002667E6"/>
    <w:rsid w:val="00271566"/>
    <w:rsid w:val="00282A21"/>
    <w:rsid w:val="0028500A"/>
    <w:rsid w:val="00285A38"/>
    <w:rsid w:val="00295568"/>
    <w:rsid w:val="002A1EFD"/>
    <w:rsid w:val="002A68F3"/>
    <w:rsid w:val="002A7552"/>
    <w:rsid w:val="002B0ADE"/>
    <w:rsid w:val="002B0E81"/>
    <w:rsid w:val="002B15D2"/>
    <w:rsid w:val="002B53BE"/>
    <w:rsid w:val="002B58BF"/>
    <w:rsid w:val="002B79A3"/>
    <w:rsid w:val="002B7C37"/>
    <w:rsid w:val="002C30C0"/>
    <w:rsid w:val="002C7693"/>
    <w:rsid w:val="002D036E"/>
    <w:rsid w:val="002D2EE2"/>
    <w:rsid w:val="002D38DE"/>
    <w:rsid w:val="002D53C6"/>
    <w:rsid w:val="002E349C"/>
    <w:rsid w:val="002F3357"/>
    <w:rsid w:val="002F65A7"/>
    <w:rsid w:val="0030144D"/>
    <w:rsid w:val="00303724"/>
    <w:rsid w:val="00304053"/>
    <w:rsid w:val="00305FAE"/>
    <w:rsid w:val="003067B0"/>
    <w:rsid w:val="00307357"/>
    <w:rsid w:val="00311229"/>
    <w:rsid w:val="00311483"/>
    <w:rsid w:val="003133B6"/>
    <w:rsid w:val="003144C1"/>
    <w:rsid w:val="003164F9"/>
    <w:rsid w:val="00344ADE"/>
    <w:rsid w:val="00354DC8"/>
    <w:rsid w:val="00361147"/>
    <w:rsid w:val="00364E2E"/>
    <w:rsid w:val="0036586B"/>
    <w:rsid w:val="0036586D"/>
    <w:rsid w:val="003727C5"/>
    <w:rsid w:val="003825FF"/>
    <w:rsid w:val="0038402F"/>
    <w:rsid w:val="00385B34"/>
    <w:rsid w:val="00385D57"/>
    <w:rsid w:val="0038786D"/>
    <w:rsid w:val="00387B9F"/>
    <w:rsid w:val="00393A60"/>
    <w:rsid w:val="00394110"/>
    <w:rsid w:val="0039486F"/>
    <w:rsid w:val="003A065C"/>
    <w:rsid w:val="003A56B1"/>
    <w:rsid w:val="003A6B27"/>
    <w:rsid w:val="003B181F"/>
    <w:rsid w:val="003B1EBE"/>
    <w:rsid w:val="003B3211"/>
    <w:rsid w:val="003C0D98"/>
    <w:rsid w:val="003C2347"/>
    <w:rsid w:val="003D1330"/>
    <w:rsid w:val="003D176A"/>
    <w:rsid w:val="003D57DC"/>
    <w:rsid w:val="003E0AB6"/>
    <w:rsid w:val="003E0C83"/>
    <w:rsid w:val="003E49DB"/>
    <w:rsid w:val="003F47A7"/>
    <w:rsid w:val="003F5C5D"/>
    <w:rsid w:val="004023BD"/>
    <w:rsid w:val="00404C0C"/>
    <w:rsid w:val="0041005F"/>
    <w:rsid w:val="004171FC"/>
    <w:rsid w:val="00426A07"/>
    <w:rsid w:val="00431DF9"/>
    <w:rsid w:val="004335F5"/>
    <w:rsid w:val="004379CB"/>
    <w:rsid w:val="0044156F"/>
    <w:rsid w:val="00441E2B"/>
    <w:rsid w:val="00443B96"/>
    <w:rsid w:val="00445C3E"/>
    <w:rsid w:val="00447817"/>
    <w:rsid w:val="00447A62"/>
    <w:rsid w:val="00457DE8"/>
    <w:rsid w:val="0047020E"/>
    <w:rsid w:val="00473585"/>
    <w:rsid w:val="0047762C"/>
    <w:rsid w:val="004833F4"/>
    <w:rsid w:val="00491376"/>
    <w:rsid w:val="004A0375"/>
    <w:rsid w:val="004A234C"/>
    <w:rsid w:val="004A749E"/>
    <w:rsid w:val="004B25AD"/>
    <w:rsid w:val="004B2DB0"/>
    <w:rsid w:val="004B3993"/>
    <w:rsid w:val="004B3D9A"/>
    <w:rsid w:val="004B4832"/>
    <w:rsid w:val="004B6507"/>
    <w:rsid w:val="004B6CAC"/>
    <w:rsid w:val="004C1C8A"/>
    <w:rsid w:val="004C1F0F"/>
    <w:rsid w:val="004C2432"/>
    <w:rsid w:val="004C32B1"/>
    <w:rsid w:val="004D0D4C"/>
    <w:rsid w:val="004D1DB2"/>
    <w:rsid w:val="004D4887"/>
    <w:rsid w:val="004D57DE"/>
    <w:rsid w:val="004D7782"/>
    <w:rsid w:val="004E08DC"/>
    <w:rsid w:val="004E0DB8"/>
    <w:rsid w:val="004E6478"/>
    <w:rsid w:val="004E6BFD"/>
    <w:rsid w:val="004F08A2"/>
    <w:rsid w:val="004F5DD4"/>
    <w:rsid w:val="00501E8E"/>
    <w:rsid w:val="00505311"/>
    <w:rsid w:val="00525EA5"/>
    <w:rsid w:val="0053664D"/>
    <w:rsid w:val="0054301E"/>
    <w:rsid w:val="00546410"/>
    <w:rsid w:val="005512E5"/>
    <w:rsid w:val="00555766"/>
    <w:rsid w:val="00560C4D"/>
    <w:rsid w:val="0056266F"/>
    <w:rsid w:val="0056470B"/>
    <w:rsid w:val="0056602E"/>
    <w:rsid w:val="00570935"/>
    <w:rsid w:val="00573C7B"/>
    <w:rsid w:val="00577560"/>
    <w:rsid w:val="005807B1"/>
    <w:rsid w:val="00581A62"/>
    <w:rsid w:val="00582451"/>
    <w:rsid w:val="00583918"/>
    <w:rsid w:val="00584443"/>
    <w:rsid w:val="00585856"/>
    <w:rsid w:val="00586F42"/>
    <w:rsid w:val="005903B7"/>
    <w:rsid w:val="0059350D"/>
    <w:rsid w:val="00593A9A"/>
    <w:rsid w:val="00594FC0"/>
    <w:rsid w:val="00596B42"/>
    <w:rsid w:val="005A3907"/>
    <w:rsid w:val="005A3E2E"/>
    <w:rsid w:val="005B2E7F"/>
    <w:rsid w:val="005C0081"/>
    <w:rsid w:val="005C2855"/>
    <w:rsid w:val="005C2919"/>
    <w:rsid w:val="005D2E68"/>
    <w:rsid w:val="005E243D"/>
    <w:rsid w:val="005E449B"/>
    <w:rsid w:val="005E4AA8"/>
    <w:rsid w:val="005E5101"/>
    <w:rsid w:val="006044B9"/>
    <w:rsid w:val="006059D4"/>
    <w:rsid w:val="00605A09"/>
    <w:rsid w:val="00607F19"/>
    <w:rsid w:val="006155C4"/>
    <w:rsid w:val="00620AC2"/>
    <w:rsid w:val="0062515A"/>
    <w:rsid w:val="00637AA4"/>
    <w:rsid w:val="006423B9"/>
    <w:rsid w:val="0064308C"/>
    <w:rsid w:val="0064319C"/>
    <w:rsid w:val="00652D76"/>
    <w:rsid w:val="00654C08"/>
    <w:rsid w:val="006557A5"/>
    <w:rsid w:val="00670AD3"/>
    <w:rsid w:val="00670D4D"/>
    <w:rsid w:val="00673C97"/>
    <w:rsid w:val="00675D5C"/>
    <w:rsid w:val="00675E41"/>
    <w:rsid w:val="0068118A"/>
    <w:rsid w:val="006911A8"/>
    <w:rsid w:val="00692C4E"/>
    <w:rsid w:val="00693271"/>
    <w:rsid w:val="006942F3"/>
    <w:rsid w:val="00696626"/>
    <w:rsid w:val="006A2792"/>
    <w:rsid w:val="006B1A89"/>
    <w:rsid w:val="006B1D8B"/>
    <w:rsid w:val="006B2DD7"/>
    <w:rsid w:val="006C57CD"/>
    <w:rsid w:val="006D172A"/>
    <w:rsid w:val="006D4354"/>
    <w:rsid w:val="006D4D2D"/>
    <w:rsid w:val="006E6CD6"/>
    <w:rsid w:val="006E7293"/>
    <w:rsid w:val="006E764D"/>
    <w:rsid w:val="006F0413"/>
    <w:rsid w:val="006F139E"/>
    <w:rsid w:val="006F7C1D"/>
    <w:rsid w:val="00704781"/>
    <w:rsid w:val="00705EBE"/>
    <w:rsid w:val="007136A5"/>
    <w:rsid w:val="00714352"/>
    <w:rsid w:val="00715AEA"/>
    <w:rsid w:val="00715E89"/>
    <w:rsid w:val="007207E3"/>
    <w:rsid w:val="00734D01"/>
    <w:rsid w:val="00735BAE"/>
    <w:rsid w:val="00737B58"/>
    <w:rsid w:val="00741104"/>
    <w:rsid w:val="00743DC7"/>
    <w:rsid w:val="00750578"/>
    <w:rsid w:val="0075094C"/>
    <w:rsid w:val="00754CB9"/>
    <w:rsid w:val="007568FA"/>
    <w:rsid w:val="0076193A"/>
    <w:rsid w:val="007658B7"/>
    <w:rsid w:val="007730A6"/>
    <w:rsid w:val="00777918"/>
    <w:rsid w:val="00784615"/>
    <w:rsid w:val="00784CC2"/>
    <w:rsid w:val="00790B2F"/>
    <w:rsid w:val="00790FEB"/>
    <w:rsid w:val="007969B9"/>
    <w:rsid w:val="0079710A"/>
    <w:rsid w:val="0079725F"/>
    <w:rsid w:val="007A07E0"/>
    <w:rsid w:val="007D3B61"/>
    <w:rsid w:val="007E3D4C"/>
    <w:rsid w:val="007E656E"/>
    <w:rsid w:val="007F67FB"/>
    <w:rsid w:val="00811351"/>
    <w:rsid w:val="00812A4F"/>
    <w:rsid w:val="00815594"/>
    <w:rsid w:val="00820015"/>
    <w:rsid w:val="00822EE3"/>
    <w:rsid w:val="00822F46"/>
    <w:rsid w:val="00823B49"/>
    <w:rsid w:val="0082413F"/>
    <w:rsid w:val="008259CC"/>
    <w:rsid w:val="00830915"/>
    <w:rsid w:val="00834290"/>
    <w:rsid w:val="00837BDD"/>
    <w:rsid w:val="00846D5A"/>
    <w:rsid w:val="00847104"/>
    <w:rsid w:val="00853AB1"/>
    <w:rsid w:val="00856F89"/>
    <w:rsid w:val="00857B6A"/>
    <w:rsid w:val="00857E10"/>
    <w:rsid w:val="00863829"/>
    <w:rsid w:val="00872B07"/>
    <w:rsid w:val="00873A58"/>
    <w:rsid w:val="00875E04"/>
    <w:rsid w:val="00880153"/>
    <w:rsid w:val="0089459D"/>
    <w:rsid w:val="00895226"/>
    <w:rsid w:val="0089597A"/>
    <w:rsid w:val="008A02D7"/>
    <w:rsid w:val="008A0D47"/>
    <w:rsid w:val="008A0F91"/>
    <w:rsid w:val="008A66FA"/>
    <w:rsid w:val="008B0662"/>
    <w:rsid w:val="008B0B4A"/>
    <w:rsid w:val="008B65A9"/>
    <w:rsid w:val="008B6B59"/>
    <w:rsid w:val="008B7380"/>
    <w:rsid w:val="008C4012"/>
    <w:rsid w:val="008C4CF4"/>
    <w:rsid w:val="008C60E2"/>
    <w:rsid w:val="008C63DB"/>
    <w:rsid w:val="008C670B"/>
    <w:rsid w:val="008D5CD5"/>
    <w:rsid w:val="008E1B99"/>
    <w:rsid w:val="008E1BDF"/>
    <w:rsid w:val="008E504E"/>
    <w:rsid w:val="008E5057"/>
    <w:rsid w:val="008E5652"/>
    <w:rsid w:val="008F7B23"/>
    <w:rsid w:val="00903165"/>
    <w:rsid w:val="009033E0"/>
    <w:rsid w:val="00903BC2"/>
    <w:rsid w:val="00905C9D"/>
    <w:rsid w:val="0090642F"/>
    <w:rsid w:val="009070B9"/>
    <w:rsid w:val="0091125D"/>
    <w:rsid w:val="00913256"/>
    <w:rsid w:val="00927A32"/>
    <w:rsid w:val="00932C0E"/>
    <w:rsid w:val="009333EE"/>
    <w:rsid w:val="00934869"/>
    <w:rsid w:val="00935BF5"/>
    <w:rsid w:val="00941841"/>
    <w:rsid w:val="00942C65"/>
    <w:rsid w:val="00945434"/>
    <w:rsid w:val="00945AE9"/>
    <w:rsid w:val="00946428"/>
    <w:rsid w:val="009559B5"/>
    <w:rsid w:val="00960C5A"/>
    <w:rsid w:val="00970A7F"/>
    <w:rsid w:val="00970C8D"/>
    <w:rsid w:val="00973953"/>
    <w:rsid w:val="00974CC8"/>
    <w:rsid w:val="009758F2"/>
    <w:rsid w:val="00976808"/>
    <w:rsid w:val="00980750"/>
    <w:rsid w:val="00981A85"/>
    <w:rsid w:val="00982738"/>
    <w:rsid w:val="0099019D"/>
    <w:rsid w:val="00991038"/>
    <w:rsid w:val="00993C31"/>
    <w:rsid w:val="009947BB"/>
    <w:rsid w:val="009A5186"/>
    <w:rsid w:val="009A6629"/>
    <w:rsid w:val="009B12D6"/>
    <w:rsid w:val="009B15B9"/>
    <w:rsid w:val="009B1F80"/>
    <w:rsid w:val="009C0F58"/>
    <w:rsid w:val="009C303A"/>
    <w:rsid w:val="009C4659"/>
    <w:rsid w:val="009C7756"/>
    <w:rsid w:val="009C7CCD"/>
    <w:rsid w:val="009D53BD"/>
    <w:rsid w:val="009F1CA2"/>
    <w:rsid w:val="009F2C59"/>
    <w:rsid w:val="009F4110"/>
    <w:rsid w:val="009F6FA3"/>
    <w:rsid w:val="009F7B8D"/>
    <w:rsid w:val="00A021D5"/>
    <w:rsid w:val="00A03231"/>
    <w:rsid w:val="00A03E13"/>
    <w:rsid w:val="00A10509"/>
    <w:rsid w:val="00A12D6F"/>
    <w:rsid w:val="00A146AF"/>
    <w:rsid w:val="00A14818"/>
    <w:rsid w:val="00A15632"/>
    <w:rsid w:val="00A2392F"/>
    <w:rsid w:val="00A2416A"/>
    <w:rsid w:val="00A37E22"/>
    <w:rsid w:val="00A50CF5"/>
    <w:rsid w:val="00A52183"/>
    <w:rsid w:val="00A54688"/>
    <w:rsid w:val="00A551D6"/>
    <w:rsid w:val="00A604A7"/>
    <w:rsid w:val="00A62D01"/>
    <w:rsid w:val="00A63121"/>
    <w:rsid w:val="00A652CE"/>
    <w:rsid w:val="00A66208"/>
    <w:rsid w:val="00A66397"/>
    <w:rsid w:val="00A66D63"/>
    <w:rsid w:val="00A72CAB"/>
    <w:rsid w:val="00A73D5D"/>
    <w:rsid w:val="00A7513C"/>
    <w:rsid w:val="00A76CC0"/>
    <w:rsid w:val="00A854E8"/>
    <w:rsid w:val="00A87A70"/>
    <w:rsid w:val="00A92BB8"/>
    <w:rsid w:val="00A92DFE"/>
    <w:rsid w:val="00A95913"/>
    <w:rsid w:val="00AA169E"/>
    <w:rsid w:val="00AA5383"/>
    <w:rsid w:val="00AB275A"/>
    <w:rsid w:val="00AB43F3"/>
    <w:rsid w:val="00AC628E"/>
    <w:rsid w:val="00AD1510"/>
    <w:rsid w:val="00AD20CD"/>
    <w:rsid w:val="00AE3133"/>
    <w:rsid w:val="00AE77D4"/>
    <w:rsid w:val="00AF772B"/>
    <w:rsid w:val="00B1528E"/>
    <w:rsid w:val="00B3725F"/>
    <w:rsid w:val="00B41848"/>
    <w:rsid w:val="00B437B4"/>
    <w:rsid w:val="00B5302B"/>
    <w:rsid w:val="00B62321"/>
    <w:rsid w:val="00B7072B"/>
    <w:rsid w:val="00B7269A"/>
    <w:rsid w:val="00B727F9"/>
    <w:rsid w:val="00B73596"/>
    <w:rsid w:val="00B73770"/>
    <w:rsid w:val="00B76556"/>
    <w:rsid w:val="00B829FB"/>
    <w:rsid w:val="00B907CC"/>
    <w:rsid w:val="00B915A6"/>
    <w:rsid w:val="00B920DA"/>
    <w:rsid w:val="00B93805"/>
    <w:rsid w:val="00B93DB0"/>
    <w:rsid w:val="00B9492A"/>
    <w:rsid w:val="00B97BCB"/>
    <w:rsid w:val="00BA1A95"/>
    <w:rsid w:val="00BA1C54"/>
    <w:rsid w:val="00BA5086"/>
    <w:rsid w:val="00BB1747"/>
    <w:rsid w:val="00BB1912"/>
    <w:rsid w:val="00BB1DB3"/>
    <w:rsid w:val="00BB28D2"/>
    <w:rsid w:val="00BB2E81"/>
    <w:rsid w:val="00BB4341"/>
    <w:rsid w:val="00BB5863"/>
    <w:rsid w:val="00BB708A"/>
    <w:rsid w:val="00BC401A"/>
    <w:rsid w:val="00BC74A8"/>
    <w:rsid w:val="00BE00C2"/>
    <w:rsid w:val="00BE0D51"/>
    <w:rsid w:val="00BE1115"/>
    <w:rsid w:val="00BE154F"/>
    <w:rsid w:val="00BF1EAF"/>
    <w:rsid w:val="00BF27E3"/>
    <w:rsid w:val="00BF2DE1"/>
    <w:rsid w:val="00C0137F"/>
    <w:rsid w:val="00C04C96"/>
    <w:rsid w:val="00C12DB2"/>
    <w:rsid w:val="00C15669"/>
    <w:rsid w:val="00C211D8"/>
    <w:rsid w:val="00C3020F"/>
    <w:rsid w:val="00C319A6"/>
    <w:rsid w:val="00C34095"/>
    <w:rsid w:val="00C35293"/>
    <w:rsid w:val="00C41B7E"/>
    <w:rsid w:val="00C41DC3"/>
    <w:rsid w:val="00C46995"/>
    <w:rsid w:val="00C50AF5"/>
    <w:rsid w:val="00C50D34"/>
    <w:rsid w:val="00C52A54"/>
    <w:rsid w:val="00C52C85"/>
    <w:rsid w:val="00C54C88"/>
    <w:rsid w:val="00C54EE1"/>
    <w:rsid w:val="00C618A8"/>
    <w:rsid w:val="00C64FEF"/>
    <w:rsid w:val="00C70EB4"/>
    <w:rsid w:val="00C72398"/>
    <w:rsid w:val="00C75BDE"/>
    <w:rsid w:val="00C766B6"/>
    <w:rsid w:val="00C84F5C"/>
    <w:rsid w:val="00C87595"/>
    <w:rsid w:val="00C965B5"/>
    <w:rsid w:val="00C97A9D"/>
    <w:rsid w:val="00CA352E"/>
    <w:rsid w:val="00CA62E8"/>
    <w:rsid w:val="00CB1613"/>
    <w:rsid w:val="00CB1B2B"/>
    <w:rsid w:val="00CB3C81"/>
    <w:rsid w:val="00CB64C1"/>
    <w:rsid w:val="00CC19B5"/>
    <w:rsid w:val="00CC6FC9"/>
    <w:rsid w:val="00CD02BC"/>
    <w:rsid w:val="00CD58B5"/>
    <w:rsid w:val="00CE4112"/>
    <w:rsid w:val="00CF0661"/>
    <w:rsid w:val="00CF157B"/>
    <w:rsid w:val="00D121F1"/>
    <w:rsid w:val="00D12C50"/>
    <w:rsid w:val="00D12D7A"/>
    <w:rsid w:val="00D14E06"/>
    <w:rsid w:val="00D15AA4"/>
    <w:rsid w:val="00D1725C"/>
    <w:rsid w:val="00D21F65"/>
    <w:rsid w:val="00D23D1A"/>
    <w:rsid w:val="00D32366"/>
    <w:rsid w:val="00D360F4"/>
    <w:rsid w:val="00D45D3F"/>
    <w:rsid w:val="00D47748"/>
    <w:rsid w:val="00D52121"/>
    <w:rsid w:val="00D54D9E"/>
    <w:rsid w:val="00D566A9"/>
    <w:rsid w:val="00D56CC0"/>
    <w:rsid w:val="00D6093A"/>
    <w:rsid w:val="00D729DB"/>
    <w:rsid w:val="00D80200"/>
    <w:rsid w:val="00D8627E"/>
    <w:rsid w:val="00D92E85"/>
    <w:rsid w:val="00D92FF8"/>
    <w:rsid w:val="00D931FF"/>
    <w:rsid w:val="00D935EB"/>
    <w:rsid w:val="00D93714"/>
    <w:rsid w:val="00D9432E"/>
    <w:rsid w:val="00DA0B1E"/>
    <w:rsid w:val="00DA14DC"/>
    <w:rsid w:val="00DA2BD2"/>
    <w:rsid w:val="00DA4501"/>
    <w:rsid w:val="00DA54C3"/>
    <w:rsid w:val="00DB1880"/>
    <w:rsid w:val="00DB3F21"/>
    <w:rsid w:val="00DB5243"/>
    <w:rsid w:val="00DB7300"/>
    <w:rsid w:val="00DC0D6E"/>
    <w:rsid w:val="00DC23D9"/>
    <w:rsid w:val="00DC38F4"/>
    <w:rsid w:val="00DC4633"/>
    <w:rsid w:val="00DD40B2"/>
    <w:rsid w:val="00DD618C"/>
    <w:rsid w:val="00DE4337"/>
    <w:rsid w:val="00DE7E51"/>
    <w:rsid w:val="00DF4A9B"/>
    <w:rsid w:val="00E015E3"/>
    <w:rsid w:val="00E06128"/>
    <w:rsid w:val="00E1195D"/>
    <w:rsid w:val="00E206E7"/>
    <w:rsid w:val="00E22516"/>
    <w:rsid w:val="00E35BCE"/>
    <w:rsid w:val="00E40806"/>
    <w:rsid w:val="00E429B2"/>
    <w:rsid w:val="00E43A42"/>
    <w:rsid w:val="00E51B20"/>
    <w:rsid w:val="00E525BA"/>
    <w:rsid w:val="00E56CD7"/>
    <w:rsid w:val="00E616CD"/>
    <w:rsid w:val="00E63AE5"/>
    <w:rsid w:val="00E6485B"/>
    <w:rsid w:val="00E70BAA"/>
    <w:rsid w:val="00E7132B"/>
    <w:rsid w:val="00E72848"/>
    <w:rsid w:val="00E738FA"/>
    <w:rsid w:val="00E80D4F"/>
    <w:rsid w:val="00E8271B"/>
    <w:rsid w:val="00E84CA7"/>
    <w:rsid w:val="00E85D49"/>
    <w:rsid w:val="00E90AE3"/>
    <w:rsid w:val="00EA20BB"/>
    <w:rsid w:val="00EA2A75"/>
    <w:rsid w:val="00EA3604"/>
    <w:rsid w:val="00EA46DF"/>
    <w:rsid w:val="00EA7611"/>
    <w:rsid w:val="00EB1BBF"/>
    <w:rsid w:val="00EB70B4"/>
    <w:rsid w:val="00EC291A"/>
    <w:rsid w:val="00EC675A"/>
    <w:rsid w:val="00EC75AE"/>
    <w:rsid w:val="00ED2327"/>
    <w:rsid w:val="00ED27C2"/>
    <w:rsid w:val="00ED5B64"/>
    <w:rsid w:val="00EE281C"/>
    <w:rsid w:val="00EE428D"/>
    <w:rsid w:val="00EE5266"/>
    <w:rsid w:val="00EE5CE6"/>
    <w:rsid w:val="00EE67F9"/>
    <w:rsid w:val="00EF3FDA"/>
    <w:rsid w:val="00EF687A"/>
    <w:rsid w:val="00EF7045"/>
    <w:rsid w:val="00F02250"/>
    <w:rsid w:val="00F113B0"/>
    <w:rsid w:val="00F1327E"/>
    <w:rsid w:val="00F14ACA"/>
    <w:rsid w:val="00F15EC5"/>
    <w:rsid w:val="00F17096"/>
    <w:rsid w:val="00F217D2"/>
    <w:rsid w:val="00F23B9B"/>
    <w:rsid w:val="00F335F6"/>
    <w:rsid w:val="00F43E50"/>
    <w:rsid w:val="00F50386"/>
    <w:rsid w:val="00F60527"/>
    <w:rsid w:val="00F6728B"/>
    <w:rsid w:val="00F73F27"/>
    <w:rsid w:val="00F74AA9"/>
    <w:rsid w:val="00F778E4"/>
    <w:rsid w:val="00F7790D"/>
    <w:rsid w:val="00F92967"/>
    <w:rsid w:val="00F95544"/>
    <w:rsid w:val="00FA1A6B"/>
    <w:rsid w:val="00FA5C11"/>
    <w:rsid w:val="00FA5EAD"/>
    <w:rsid w:val="00FB1365"/>
    <w:rsid w:val="00FB18BB"/>
    <w:rsid w:val="00FB239B"/>
    <w:rsid w:val="00FB2671"/>
    <w:rsid w:val="00FB28EA"/>
    <w:rsid w:val="00FB2BB6"/>
    <w:rsid w:val="00FC6C67"/>
    <w:rsid w:val="00FD019B"/>
    <w:rsid w:val="00FD17DE"/>
    <w:rsid w:val="00FD2611"/>
    <w:rsid w:val="00FD53B6"/>
    <w:rsid w:val="00FE2680"/>
    <w:rsid w:val="00FE3494"/>
    <w:rsid w:val="00FE7382"/>
    <w:rsid w:val="00FF42E0"/>
    <w:rsid w:val="00FF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C72A6"/>
  <w15:chartTrackingRefBased/>
  <w15:docId w15:val="{E1A70297-B391-4B5D-AA62-8F465D63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A0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6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6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6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0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6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0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6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6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A07"/>
    <w:rPr>
      <w:kern w:val="0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426A0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26A07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426A07"/>
    <w:rPr>
      <w:vertAlign w:val="superscript"/>
    </w:rPr>
  </w:style>
  <w:style w:type="table" w:styleId="PlainTable5">
    <w:name w:val="Plain Table 5"/>
    <w:basedOn w:val="TableNormal"/>
    <w:uiPriority w:val="45"/>
    <w:rsid w:val="00426A0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C3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95"/>
    <w:rPr>
      <w:kern w:val="0"/>
      <w14:ligatures w14:val="none"/>
    </w:rPr>
  </w:style>
  <w:style w:type="table" w:styleId="TableGrid">
    <w:name w:val="Table Grid"/>
    <w:basedOn w:val="TableNormal"/>
    <w:uiPriority w:val="39"/>
    <w:rsid w:val="00FB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16CD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853AB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8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4SQX5P7U7WPY-958212181-813554</_dlc_DocId>
    <_dlc_DocIdUrl xmlns="c890fddd-4e87-4e08-8b51-545f2a3f7b06">
      <Url>https://senpr.sharepoint.com/sites/obralegislativa/_layouts/15/DocIdRedir.aspx?ID=4SQX5P7U7WPY-958212181-813554</Url>
      <Description>4SQX5P7U7WPY-958212181-813554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E18AF-2A47-4BC9-8AEF-B102995AAA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21CD2D-BDC1-4742-ABDD-2C113D8847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979C13-7DFA-4997-9952-55F64F3B79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95B67C24-D6C1-4C27-A464-797AFF03E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6A95FC2-8E26-45C0-B541-7A5A67F6583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Ramagui Rivera</dc:creator>
  <cp:keywords/>
  <dc:description/>
  <cp:lastModifiedBy>Jessica M. Caraballo Rivera (Trámites y Récords)</cp:lastModifiedBy>
  <cp:revision>2</cp:revision>
  <cp:lastPrinted>2025-05-21T23:11:00Z</cp:lastPrinted>
  <dcterms:created xsi:type="dcterms:W3CDTF">2025-05-23T15:01:00Z</dcterms:created>
  <dcterms:modified xsi:type="dcterms:W3CDTF">2025-05-23T15:01:00Z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dd2e8c8a-1ef7-4093-9f19-79cce50eaa89</vt:lpwstr>
  </property>
  <property fmtid="{D5CDD505-2E9C-101B-9397-08002B2CF9AE}" pid="4" name="MediaServiceImageTags">
    <vt:lpwstr/>
  </property>
</Properties>
</file>