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proofErr w:type="spellStart"/>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proofErr w:type="spellEnd"/>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0634DBD6" w14:textId="77777777" w:rsidR="00D716EF" w:rsidRPr="00D716EF" w:rsidRDefault="00D716EF" w:rsidP="00D716EF">
      <w:pPr>
        <w:spacing w:line="360" w:lineRule="auto"/>
        <w:jc w:val="center"/>
        <w:rPr>
          <w:rFonts w:ascii="Book Antiqua" w:hAnsi="Book Antiqua"/>
          <w:b/>
          <w:sz w:val="36"/>
          <w:szCs w:val="36"/>
          <w:lang w:val="es-ES"/>
        </w:rPr>
      </w:pPr>
      <w:bookmarkStart w:id="0" w:name="_Hlk191047724"/>
      <w:r w:rsidRPr="00D716EF">
        <w:rPr>
          <w:rFonts w:ascii="Book Antiqua" w:hAnsi="Book Antiqua"/>
          <w:b/>
          <w:sz w:val="36"/>
          <w:szCs w:val="36"/>
          <w:lang w:val="es-ES"/>
        </w:rPr>
        <w:t>CÁMARA DE REPRESENTANTES</w:t>
      </w:r>
    </w:p>
    <w:p w14:paraId="34E24588" w14:textId="376A81CF" w:rsidR="00D716EF" w:rsidRPr="00D716EF" w:rsidRDefault="00D716EF" w:rsidP="00D716EF">
      <w:pPr>
        <w:spacing w:line="360" w:lineRule="auto"/>
        <w:jc w:val="center"/>
        <w:rPr>
          <w:rFonts w:ascii="Book Antiqua" w:hAnsi="Book Antiqua"/>
          <w:b/>
          <w:sz w:val="52"/>
          <w:szCs w:val="52"/>
          <w:lang w:val="es-ES"/>
        </w:rPr>
      </w:pPr>
      <w:r w:rsidRPr="00D716EF">
        <w:rPr>
          <w:rFonts w:ascii="Book Antiqua" w:hAnsi="Book Antiqua"/>
          <w:b/>
          <w:sz w:val="52"/>
          <w:szCs w:val="52"/>
          <w:lang w:val="es-ES"/>
        </w:rPr>
        <w:t xml:space="preserve">P. del S. </w:t>
      </w:r>
      <w:r>
        <w:rPr>
          <w:rFonts w:ascii="Book Antiqua" w:hAnsi="Book Antiqua"/>
          <w:b/>
          <w:sz w:val="52"/>
          <w:szCs w:val="52"/>
          <w:lang w:val="es-ES"/>
        </w:rPr>
        <w:t>372</w:t>
      </w:r>
    </w:p>
    <w:p w14:paraId="6792535D" w14:textId="77777777" w:rsidR="00D716EF" w:rsidRPr="00D716EF" w:rsidRDefault="00D716EF" w:rsidP="00D716EF">
      <w:pPr>
        <w:contextualSpacing/>
        <w:jc w:val="center"/>
        <w:rPr>
          <w:rFonts w:ascii="Book Antiqua" w:hAnsi="Book Antiqua"/>
          <w:b/>
          <w:sz w:val="28"/>
          <w:szCs w:val="28"/>
          <w:lang w:val="es-ES"/>
        </w:rPr>
      </w:pPr>
      <w:r w:rsidRPr="00D716EF">
        <w:rPr>
          <w:rFonts w:ascii="Book Antiqua" w:hAnsi="Book Antiqua"/>
          <w:b/>
          <w:sz w:val="28"/>
          <w:szCs w:val="28"/>
          <w:lang w:val="es-ES"/>
        </w:rPr>
        <w:t>INFORME POSITIVO</w:t>
      </w:r>
    </w:p>
    <w:p w14:paraId="7394F245" w14:textId="77777777" w:rsidR="00D716EF" w:rsidRPr="00D716EF" w:rsidRDefault="00D716EF" w:rsidP="00D716EF">
      <w:pPr>
        <w:contextualSpacing/>
        <w:jc w:val="center"/>
        <w:rPr>
          <w:rFonts w:ascii="Book Antiqua" w:hAnsi="Book Antiqua"/>
          <w:lang w:val="es-ES"/>
        </w:rPr>
      </w:pPr>
    </w:p>
    <w:p w14:paraId="341F38F4" w14:textId="77E51DA8" w:rsidR="00D716EF" w:rsidRPr="00D716EF" w:rsidRDefault="005C2DC4" w:rsidP="00D716EF">
      <w:pPr>
        <w:contextualSpacing/>
        <w:jc w:val="center"/>
        <w:rPr>
          <w:rFonts w:ascii="Book Antiqua" w:hAnsi="Book Antiqua"/>
          <w:lang w:val="es-ES"/>
        </w:rPr>
      </w:pPr>
      <w:r>
        <w:rPr>
          <w:rFonts w:ascii="Book Antiqua" w:hAnsi="Book Antiqua"/>
          <w:lang w:val="es-ES"/>
        </w:rPr>
        <w:t xml:space="preserve">14 </w:t>
      </w:r>
      <w:r w:rsidR="00D716EF" w:rsidRPr="00D716EF">
        <w:rPr>
          <w:rFonts w:ascii="Book Antiqua" w:hAnsi="Book Antiqua"/>
          <w:lang w:val="es-ES"/>
        </w:rPr>
        <w:t>de mayo de 2026</w:t>
      </w:r>
    </w:p>
    <w:p w14:paraId="2CD8B418" w14:textId="77777777" w:rsidR="00D716EF" w:rsidRPr="00D716EF" w:rsidRDefault="00D716EF" w:rsidP="00D716EF">
      <w:pPr>
        <w:contextualSpacing/>
        <w:rPr>
          <w:rFonts w:ascii="Book Antiqua" w:hAnsi="Book Antiqua"/>
          <w:lang w:val="es-ES"/>
        </w:rPr>
      </w:pPr>
    </w:p>
    <w:p w14:paraId="1081D330" w14:textId="77777777" w:rsidR="00D716EF" w:rsidRPr="00D716EF" w:rsidRDefault="00D716EF" w:rsidP="00D716EF">
      <w:pPr>
        <w:contextualSpacing/>
        <w:rPr>
          <w:rFonts w:ascii="Book Antiqua" w:hAnsi="Book Antiqua"/>
          <w:lang w:val="es-ES"/>
        </w:rPr>
      </w:pPr>
    </w:p>
    <w:p w14:paraId="5F8FA370" w14:textId="77777777" w:rsidR="00D716EF" w:rsidRPr="00D716EF" w:rsidRDefault="00D716EF" w:rsidP="00D716EF">
      <w:pPr>
        <w:contextualSpacing/>
        <w:rPr>
          <w:rFonts w:ascii="Book Antiqua" w:hAnsi="Book Antiqua"/>
          <w:lang w:val="es-ES"/>
        </w:rPr>
      </w:pPr>
      <w:r w:rsidRPr="00D716EF">
        <w:rPr>
          <w:rFonts w:ascii="Book Antiqua" w:hAnsi="Book Antiqua"/>
          <w:b/>
          <w:bCs/>
          <w:lang w:val="es-ES"/>
        </w:rPr>
        <w:t>A LA CÁMARA DE REPRESENTANTES DE PUERTO RICO:</w:t>
      </w:r>
      <w:r w:rsidRPr="00D716EF">
        <w:rPr>
          <w:lang w:val="es-ES"/>
        </w:rPr>
        <w:t>  </w:t>
      </w:r>
      <w:r w:rsidRPr="00D716EF">
        <w:rPr>
          <w:rFonts w:ascii="Book Antiqua" w:hAnsi="Book Antiqua"/>
          <w:lang w:val="es-ES"/>
        </w:rPr>
        <w:t> </w:t>
      </w:r>
    </w:p>
    <w:p w14:paraId="369B1D30" w14:textId="77777777" w:rsidR="00D716EF" w:rsidRDefault="00D716EF" w:rsidP="00D716EF">
      <w:pPr>
        <w:ind w:firstLine="720"/>
        <w:contextualSpacing/>
        <w:jc w:val="both"/>
        <w:rPr>
          <w:rFonts w:ascii="Book Antiqua" w:hAnsi="Book Antiqua"/>
          <w:lang w:val="es-PR"/>
        </w:rPr>
      </w:pPr>
    </w:p>
    <w:p w14:paraId="32DE4FDF" w14:textId="35B9DE8A" w:rsidR="00F70E67" w:rsidRPr="00C1650E" w:rsidRDefault="00F70E67" w:rsidP="00D716EF">
      <w:pPr>
        <w:ind w:firstLine="720"/>
        <w:contextualSpacing/>
        <w:jc w:val="both"/>
        <w:rPr>
          <w:rFonts w:ascii="Book Antiqua" w:hAnsi="Book Antiqua"/>
          <w:lang w:val="es-PR"/>
        </w:rPr>
      </w:pPr>
      <w:r w:rsidRPr="00C1650E">
        <w:rPr>
          <w:rFonts w:ascii="Book Antiqua" w:hAnsi="Book Antiqua"/>
          <w:lang w:val="es-PR"/>
        </w:rPr>
        <w:t xml:space="preserve">La Comisión de </w:t>
      </w:r>
      <w:r w:rsidR="00C825F0">
        <w:rPr>
          <w:rFonts w:ascii="Book Antiqua" w:hAnsi="Book Antiqua"/>
          <w:lang w:val="es-PR"/>
        </w:rPr>
        <w:t>Gobierno</w:t>
      </w:r>
      <w:r w:rsidRPr="00C1650E">
        <w:rPr>
          <w:rFonts w:ascii="Book Antiqua" w:hAnsi="Book Antiqua"/>
          <w:lang w:val="es-PR"/>
        </w:rPr>
        <w:t>, tras un exhaustivo análisis y evaluación, recomienda respetuosamente a este Honorable Cuerpo Legislativo la aprobación de</w:t>
      </w:r>
      <w:r w:rsidR="00C07B92">
        <w:rPr>
          <w:rFonts w:ascii="Book Antiqua" w:hAnsi="Book Antiqua"/>
          <w:lang w:val="es-PR"/>
        </w:rPr>
        <w:t>l Proyecto de</w:t>
      </w:r>
      <w:r w:rsidR="008B2804">
        <w:rPr>
          <w:rFonts w:ascii="Book Antiqua" w:hAnsi="Book Antiqua"/>
          <w:lang w:val="es-PR"/>
        </w:rPr>
        <w:t>l Senado</w:t>
      </w:r>
      <w:r w:rsidR="00C07B92">
        <w:rPr>
          <w:rFonts w:ascii="Book Antiqua" w:hAnsi="Book Antiqua"/>
          <w:lang w:val="es-PR"/>
        </w:rPr>
        <w:t xml:space="preserve"> </w:t>
      </w:r>
      <w:r w:rsidR="008B2804">
        <w:rPr>
          <w:rFonts w:ascii="Book Antiqua" w:hAnsi="Book Antiqua"/>
          <w:lang w:val="es-PR"/>
        </w:rPr>
        <w:t>37</w:t>
      </w:r>
      <w:r w:rsidR="00367B05">
        <w:rPr>
          <w:rFonts w:ascii="Book Antiqua" w:hAnsi="Book Antiqua"/>
          <w:lang w:val="es-PR"/>
        </w:rPr>
        <w:t>2</w:t>
      </w:r>
      <w:r w:rsidR="00C07B92">
        <w:rPr>
          <w:rFonts w:ascii="Book Antiqua" w:hAnsi="Book Antiqua"/>
          <w:lang w:val="es-PR"/>
        </w:rPr>
        <w:t xml:space="preserve"> </w:t>
      </w:r>
      <w:r w:rsidRPr="00C1650E">
        <w:rPr>
          <w:rFonts w:ascii="Book Antiqua" w:hAnsi="Book Antiqua"/>
          <w:lang w:val="es-PR"/>
        </w:rPr>
        <w:t xml:space="preserve">(en adelante, </w:t>
      </w:r>
      <w:r w:rsidR="00C07B92">
        <w:rPr>
          <w:rFonts w:ascii="Book Antiqua" w:hAnsi="Book Antiqua"/>
          <w:lang w:val="es-PR"/>
        </w:rPr>
        <w:t>P. de</w:t>
      </w:r>
      <w:r w:rsidR="008B2804">
        <w:rPr>
          <w:rFonts w:ascii="Book Antiqua" w:hAnsi="Book Antiqua"/>
          <w:lang w:val="es-PR"/>
        </w:rPr>
        <w:t>l S</w:t>
      </w:r>
      <w:r w:rsidR="00C07B92">
        <w:rPr>
          <w:rFonts w:ascii="Book Antiqua" w:hAnsi="Book Antiqua"/>
          <w:lang w:val="es-PR"/>
        </w:rPr>
        <w:t xml:space="preserve">. </w:t>
      </w:r>
      <w:r w:rsidR="008B2804">
        <w:rPr>
          <w:rFonts w:ascii="Book Antiqua" w:hAnsi="Book Antiqua"/>
          <w:lang w:val="es-PR"/>
        </w:rPr>
        <w:t>37</w:t>
      </w:r>
      <w:r w:rsidR="00367B05">
        <w:rPr>
          <w:rFonts w:ascii="Book Antiqua" w:hAnsi="Book Antiqua"/>
          <w:lang w:val="es-PR"/>
        </w:rPr>
        <w:t>2</w:t>
      </w:r>
      <w:r w:rsidRPr="00C1650E">
        <w:rPr>
          <w:rFonts w:ascii="Book Antiqua" w:hAnsi="Book Antiqua"/>
          <w:lang w:val="es-PR"/>
        </w:rPr>
        <w:t xml:space="preserve">), mediante el presente Informe Positivo </w:t>
      </w:r>
      <w:r w:rsidRPr="000A419E">
        <w:rPr>
          <w:rFonts w:ascii="Book Antiqua" w:hAnsi="Book Antiqua"/>
          <w:color w:val="000000" w:themeColor="text1"/>
          <w:lang w:val="es-PR"/>
        </w:rPr>
        <w:t>incorporando las enmiendas sugeridas al contenido, que se detallan en el entirillado electrónico que se acompaña.</w:t>
      </w:r>
    </w:p>
    <w:p w14:paraId="6C4C4276" w14:textId="77777777" w:rsidR="00D716EF" w:rsidRDefault="00D716EF" w:rsidP="00D716EF">
      <w:pPr>
        <w:contextualSpacing/>
        <w:rPr>
          <w:rFonts w:ascii="Book Antiqua" w:hAnsi="Book Antiqua"/>
          <w:b/>
          <w:bCs/>
          <w:lang w:val="es-ES_tradnl"/>
        </w:rPr>
      </w:pPr>
    </w:p>
    <w:p w14:paraId="49988954" w14:textId="0AAEBB18" w:rsidR="00FD6CB7" w:rsidRPr="00C1650E" w:rsidRDefault="001A4A89" w:rsidP="00D716EF">
      <w:pPr>
        <w:contextualSpacing/>
        <w:jc w:val="center"/>
        <w:rPr>
          <w:rFonts w:ascii="Book Antiqua" w:hAnsi="Book Antiqua"/>
          <w:b/>
          <w:bCs/>
          <w:lang w:val="es-ES_tradnl"/>
        </w:rPr>
      </w:pPr>
      <w:r w:rsidRPr="00C1650E">
        <w:rPr>
          <w:rFonts w:ascii="Book Antiqua" w:hAnsi="Book Antiqua"/>
          <w:b/>
          <w:bCs/>
          <w:lang w:val="es-ES_tradnl"/>
        </w:rPr>
        <w:t>ALCANCE DE LA MEDIDA</w:t>
      </w:r>
    </w:p>
    <w:bookmarkEnd w:id="0"/>
    <w:p w14:paraId="6B6A7345" w14:textId="77777777" w:rsidR="00D716EF" w:rsidRDefault="00D716EF" w:rsidP="00D716EF">
      <w:pPr>
        <w:ind w:firstLine="720"/>
        <w:contextualSpacing/>
        <w:jc w:val="both"/>
        <w:rPr>
          <w:rFonts w:ascii="Book Antiqua" w:hAnsi="Book Antiqua"/>
          <w:szCs w:val="24"/>
          <w:lang w:val="es-US"/>
        </w:rPr>
      </w:pPr>
    </w:p>
    <w:p w14:paraId="720EF5D6" w14:textId="50947C1E" w:rsidR="00DE5604" w:rsidRPr="00C1650E" w:rsidRDefault="00821EC3" w:rsidP="00D716EF">
      <w:pPr>
        <w:ind w:firstLine="720"/>
        <w:contextualSpacing/>
        <w:jc w:val="both"/>
        <w:rPr>
          <w:rFonts w:ascii="Book Antiqua" w:hAnsi="Book Antiqua"/>
          <w:szCs w:val="24"/>
          <w:lang w:val="es-PR"/>
        </w:rPr>
      </w:pPr>
      <w:r w:rsidRPr="00821EC3">
        <w:rPr>
          <w:rFonts w:ascii="Book Antiqua" w:hAnsi="Book Antiqua"/>
          <w:szCs w:val="24"/>
          <w:lang w:val="es-US"/>
        </w:rPr>
        <w:t>El Proyecto del Senado 372 propone enmendar los Artículos 4 y 53 de la Ley Núm. 73-2019, según enmendada, conocida como la Ley de la Administración de Servicios Generales para la Centralización de las Compras del Gobierno de Puerto Rico de 2019, con el propósito de aclarar quién se considerará licitador participante en los procesos de licitación gubernamental; establecer el término aplicable para impugnar el rechazo de ofertas presentadas fuera de término; y precisar el procedimiento de notificación de resoluciones de adjudicación enmendadas</w:t>
      </w:r>
      <w:r w:rsidR="000B4C54" w:rsidRPr="000B4C54">
        <w:rPr>
          <w:rFonts w:ascii="Book Antiqua" w:hAnsi="Book Antiqua"/>
          <w:szCs w:val="24"/>
          <w:lang w:val="es-PR"/>
        </w:rPr>
        <w:t>.</w:t>
      </w:r>
    </w:p>
    <w:p w14:paraId="5BF29253" w14:textId="77777777" w:rsidR="00FA6951" w:rsidRPr="00C1650E" w:rsidRDefault="00FA6951" w:rsidP="00D716EF">
      <w:pPr>
        <w:ind w:firstLine="720"/>
        <w:contextualSpacing/>
        <w:jc w:val="both"/>
        <w:rPr>
          <w:rFonts w:ascii="Book Antiqua" w:hAnsi="Book Antiqua"/>
          <w:lang w:val="es-ES_tradnl"/>
        </w:rPr>
      </w:pPr>
    </w:p>
    <w:p w14:paraId="26C62843" w14:textId="4400E99D" w:rsidR="00364902" w:rsidRPr="00C1650E" w:rsidRDefault="00364902" w:rsidP="00D716EF">
      <w:pPr>
        <w:contextualSpacing/>
        <w:jc w:val="center"/>
        <w:rPr>
          <w:rFonts w:ascii="Book Antiqua" w:hAnsi="Book Antiqua"/>
          <w:szCs w:val="24"/>
          <w:lang w:val="es-PR"/>
        </w:rPr>
      </w:pPr>
      <w:r w:rsidRPr="00C1650E">
        <w:rPr>
          <w:rFonts w:ascii="Book Antiqua" w:hAnsi="Book Antiqua"/>
          <w:b/>
          <w:bCs/>
          <w:lang w:val="es-ES_tradnl"/>
        </w:rPr>
        <w:t>INTRODUCCIÓN</w:t>
      </w:r>
    </w:p>
    <w:p w14:paraId="241C6D0F" w14:textId="77777777" w:rsidR="00D716EF" w:rsidRDefault="00D716EF" w:rsidP="00D716EF">
      <w:pPr>
        <w:ind w:firstLine="720"/>
        <w:contextualSpacing/>
        <w:jc w:val="both"/>
        <w:rPr>
          <w:rFonts w:ascii="Book Antiqua" w:hAnsi="Book Antiqua"/>
          <w:szCs w:val="24"/>
          <w:lang w:val="es-US"/>
        </w:rPr>
      </w:pPr>
    </w:p>
    <w:p w14:paraId="7B267BEF" w14:textId="6DD51F3E" w:rsidR="001517E7" w:rsidRPr="001517E7" w:rsidRDefault="001517E7" w:rsidP="00D716EF">
      <w:pPr>
        <w:ind w:firstLine="720"/>
        <w:contextualSpacing/>
        <w:jc w:val="both"/>
        <w:rPr>
          <w:rFonts w:ascii="Book Antiqua" w:hAnsi="Book Antiqua"/>
          <w:szCs w:val="24"/>
          <w:lang w:val="es-US"/>
        </w:rPr>
      </w:pPr>
      <w:r w:rsidRPr="001517E7">
        <w:rPr>
          <w:rFonts w:ascii="Book Antiqua" w:hAnsi="Book Antiqua"/>
          <w:szCs w:val="24"/>
          <w:lang w:val="es-US"/>
        </w:rPr>
        <w:t>El Proyecto del Senado 372 propone enmendar los Artículos 4 y 53 de la Ley Núm. 73</w:t>
      </w:r>
      <w:r w:rsidRPr="001517E7">
        <w:rPr>
          <w:rFonts w:ascii="Book Antiqua" w:hAnsi="Book Antiqua"/>
          <w:szCs w:val="24"/>
          <w:lang w:val="es-US"/>
        </w:rPr>
        <w:noBreakHyphen/>
        <w:t xml:space="preserve">2019, según enmendada, conocida como la </w:t>
      </w:r>
      <w:r w:rsidRPr="001517E7">
        <w:rPr>
          <w:rFonts w:ascii="Book Antiqua" w:hAnsi="Book Antiqua"/>
          <w:i/>
          <w:iCs/>
          <w:szCs w:val="24"/>
          <w:lang w:val="es-US"/>
        </w:rPr>
        <w:t>“Ley de la Administración de Servicios Generales para la Centralización de las Compras del Gobierno de Puerto Rico de 2019”</w:t>
      </w:r>
      <w:r w:rsidRPr="001517E7">
        <w:rPr>
          <w:rFonts w:ascii="Book Antiqua" w:hAnsi="Book Antiqua"/>
          <w:szCs w:val="24"/>
          <w:lang w:val="es-US"/>
        </w:rPr>
        <w:t>, con el propósito principal de aclarar el alcance del término “licitador participante” dentro de los procesos de licitación pública.</w:t>
      </w:r>
    </w:p>
    <w:p w14:paraId="54BEAD74" w14:textId="77777777" w:rsidR="00D716EF" w:rsidRDefault="00D716EF" w:rsidP="00D716EF">
      <w:pPr>
        <w:ind w:firstLine="720"/>
        <w:contextualSpacing/>
        <w:jc w:val="both"/>
        <w:rPr>
          <w:rFonts w:ascii="Book Antiqua" w:hAnsi="Book Antiqua"/>
          <w:szCs w:val="24"/>
          <w:lang w:val="es-US"/>
        </w:rPr>
      </w:pPr>
    </w:p>
    <w:p w14:paraId="0E6D7C23" w14:textId="7190A2B3" w:rsidR="001517E7" w:rsidRPr="001517E7" w:rsidRDefault="001517E7" w:rsidP="00D716EF">
      <w:pPr>
        <w:ind w:firstLine="720"/>
        <w:contextualSpacing/>
        <w:jc w:val="both"/>
        <w:rPr>
          <w:rFonts w:ascii="Book Antiqua" w:hAnsi="Book Antiqua"/>
          <w:szCs w:val="24"/>
          <w:lang w:val="es-US"/>
        </w:rPr>
      </w:pPr>
      <w:r w:rsidRPr="001517E7">
        <w:rPr>
          <w:rFonts w:ascii="Book Antiqua" w:hAnsi="Book Antiqua"/>
          <w:szCs w:val="24"/>
          <w:lang w:val="es-US"/>
        </w:rPr>
        <w:lastRenderedPageBreak/>
        <w:t>La medida atiende situaciones surgidas en la práctica administrativa en las que licitadores que no cumplieron con requisitos esenciales del proceso —tales como la presentación oportuna de ofertas o la participación en eventos compulsorios— han intentado impugnar adjudicaciones finales, provocando retrasos innecesarios en la ejecución de obras y en la prestación de servicios al Estado. A tales fines, el proyecto establece de forma expresa que un licitador cuya oferta sea rechazada por haberse presentado fuera del término anunciado deja de considerarse un licitador participante y que dicha determinación constituye una determinación final para ese licitador, iniciándose en ese momento el término para impugnación.</w:t>
      </w:r>
    </w:p>
    <w:p w14:paraId="564D1C9C" w14:textId="77777777" w:rsidR="00D716EF" w:rsidRDefault="00D716EF" w:rsidP="00D716EF">
      <w:pPr>
        <w:ind w:firstLine="720"/>
        <w:contextualSpacing/>
        <w:jc w:val="both"/>
        <w:rPr>
          <w:rFonts w:ascii="Book Antiqua" w:hAnsi="Book Antiqua"/>
          <w:szCs w:val="24"/>
          <w:lang w:val="es-US"/>
        </w:rPr>
      </w:pPr>
    </w:p>
    <w:p w14:paraId="193FF08E" w14:textId="321121DE" w:rsidR="001517E7" w:rsidRPr="001517E7" w:rsidRDefault="001517E7" w:rsidP="00D716EF">
      <w:pPr>
        <w:ind w:firstLine="720"/>
        <w:contextualSpacing/>
        <w:jc w:val="both"/>
        <w:rPr>
          <w:rFonts w:ascii="Book Antiqua" w:hAnsi="Book Antiqua"/>
          <w:szCs w:val="24"/>
          <w:lang w:val="es-US"/>
        </w:rPr>
      </w:pPr>
      <w:r w:rsidRPr="001517E7">
        <w:rPr>
          <w:rFonts w:ascii="Book Antiqua" w:hAnsi="Book Antiqua"/>
          <w:szCs w:val="24"/>
          <w:lang w:val="es-US"/>
        </w:rPr>
        <w:t>Asimismo, el Proyecto del Senado 372 aclara el procedimiento de notificación de resoluciones de adjudicación cuando estas sean enmendadas, disponiendo que dichas enmiendas deberán notificarse de la misma forma y a las mismas partes que la resolución original. Esta disposición busca distinguir claramente entre el proceso adjudicativo de las subastas y los procedimientos de revisión administrativa o judicial, promoviendo uniformidad, certeza jurídica y debido proceso.</w:t>
      </w:r>
    </w:p>
    <w:p w14:paraId="6F0D9F60" w14:textId="77777777" w:rsidR="00D716EF" w:rsidRDefault="00D716EF" w:rsidP="00D716EF">
      <w:pPr>
        <w:ind w:firstLine="720"/>
        <w:contextualSpacing/>
        <w:jc w:val="both"/>
        <w:rPr>
          <w:rFonts w:ascii="Book Antiqua" w:hAnsi="Book Antiqua"/>
          <w:szCs w:val="24"/>
          <w:lang w:val="es-US"/>
        </w:rPr>
      </w:pPr>
    </w:p>
    <w:p w14:paraId="44FC4703" w14:textId="674F7A24" w:rsidR="001517E7" w:rsidRPr="001517E7" w:rsidRDefault="001517E7" w:rsidP="00D716EF">
      <w:pPr>
        <w:ind w:firstLine="720"/>
        <w:contextualSpacing/>
        <w:jc w:val="both"/>
        <w:rPr>
          <w:rFonts w:ascii="Book Antiqua" w:hAnsi="Book Antiqua"/>
          <w:szCs w:val="24"/>
          <w:lang w:val="es-US"/>
        </w:rPr>
      </w:pPr>
      <w:r w:rsidRPr="001517E7">
        <w:rPr>
          <w:rFonts w:ascii="Book Antiqua" w:hAnsi="Book Antiqua"/>
          <w:szCs w:val="24"/>
          <w:lang w:val="es-US"/>
        </w:rPr>
        <w:t>En conjunto, la medida persigue fortalecer la eficiencia, transparencia y equidad de los procesos de compras gubernamentales, reducir impugnaciones frívolas, evitar dilaciones indebidas y proteger el mejor uso de los fondos públicos, todo ello en armonía con las garantías del debido proceso de ley y la política pública de centralización de compras del Gobierno de Puerto Rico.</w:t>
      </w:r>
    </w:p>
    <w:p w14:paraId="64E3A95B" w14:textId="77777777" w:rsidR="00D716EF" w:rsidRDefault="00D716EF" w:rsidP="00D716EF">
      <w:pPr>
        <w:contextualSpacing/>
        <w:jc w:val="center"/>
        <w:rPr>
          <w:rFonts w:ascii="Book Antiqua" w:hAnsi="Book Antiqua"/>
          <w:b/>
          <w:bCs/>
          <w:szCs w:val="24"/>
          <w:lang w:val="es-PR"/>
        </w:rPr>
      </w:pPr>
    </w:p>
    <w:p w14:paraId="6D6403C5" w14:textId="78A82014" w:rsidR="004E4E62" w:rsidRPr="00C1650E" w:rsidRDefault="00B7320F" w:rsidP="00D716EF">
      <w:pPr>
        <w:contextualSpacing/>
        <w:jc w:val="center"/>
        <w:rPr>
          <w:rFonts w:ascii="Book Antiqua" w:hAnsi="Book Antiqua"/>
          <w:b/>
          <w:bCs/>
          <w:szCs w:val="24"/>
          <w:lang w:val="es-PR"/>
        </w:rPr>
      </w:pPr>
      <w:r w:rsidRPr="00C1650E">
        <w:rPr>
          <w:rFonts w:ascii="Book Antiqua" w:hAnsi="Book Antiqua"/>
          <w:b/>
          <w:bCs/>
          <w:szCs w:val="24"/>
          <w:lang w:val="es-PR"/>
        </w:rPr>
        <w:t>ANÁLISIS DE LA MEDIDA</w:t>
      </w:r>
    </w:p>
    <w:p w14:paraId="4821D388" w14:textId="77777777" w:rsidR="00D716EF" w:rsidRDefault="00D716EF" w:rsidP="00D716EF">
      <w:pPr>
        <w:ind w:firstLine="720"/>
        <w:contextualSpacing/>
        <w:jc w:val="both"/>
        <w:rPr>
          <w:rFonts w:ascii="Book Antiqua" w:hAnsi="Book Antiqua"/>
          <w:szCs w:val="24"/>
          <w:lang w:val="es-PR"/>
        </w:rPr>
      </w:pPr>
    </w:p>
    <w:p w14:paraId="527273ED" w14:textId="0CE4FF46" w:rsidR="00FE2F05" w:rsidRDefault="00891733" w:rsidP="00D716EF">
      <w:pPr>
        <w:ind w:firstLine="720"/>
        <w:contextualSpacing/>
        <w:jc w:val="both"/>
        <w:rPr>
          <w:rFonts w:ascii="Book Antiqua" w:hAnsi="Book Antiqua"/>
          <w:color w:val="000000" w:themeColor="text1"/>
          <w:szCs w:val="24"/>
          <w:lang w:val="es-PR"/>
        </w:rPr>
      </w:pPr>
      <w:r>
        <w:rPr>
          <w:rFonts w:ascii="Book Antiqua" w:hAnsi="Book Antiqua"/>
          <w:szCs w:val="24"/>
          <w:lang w:val="es-PR"/>
        </w:rPr>
        <w:t>El P. de</w:t>
      </w:r>
      <w:r w:rsidR="00EE7533">
        <w:rPr>
          <w:rFonts w:ascii="Book Antiqua" w:hAnsi="Book Antiqua"/>
          <w:szCs w:val="24"/>
          <w:lang w:val="es-PR"/>
        </w:rPr>
        <w:t>l S. 37</w:t>
      </w:r>
      <w:r w:rsidR="0045659A">
        <w:rPr>
          <w:rFonts w:ascii="Book Antiqua" w:hAnsi="Book Antiqua"/>
          <w:szCs w:val="24"/>
          <w:lang w:val="es-PR"/>
        </w:rPr>
        <w:t>2</w:t>
      </w:r>
      <w:r w:rsidR="00DD3F5E">
        <w:rPr>
          <w:rFonts w:ascii="Book Antiqua" w:hAnsi="Book Antiqua"/>
          <w:szCs w:val="24"/>
          <w:lang w:val="es-PR"/>
        </w:rPr>
        <w:t xml:space="preserve"> f</w:t>
      </w:r>
      <w:r w:rsidR="00B7320F" w:rsidRPr="00C1650E">
        <w:rPr>
          <w:rFonts w:ascii="Book Antiqua" w:hAnsi="Book Antiqua"/>
          <w:szCs w:val="24"/>
          <w:lang w:val="es-PR"/>
        </w:rPr>
        <w:t xml:space="preserve">ue </w:t>
      </w:r>
      <w:r w:rsidR="00D2565F">
        <w:rPr>
          <w:rFonts w:ascii="Book Antiqua" w:hAnsi="Book Antiqua"/>
          <w:lang w:val="es-ES_tradnl"/>
        </w:rPr>
        <w:t>p</w:t>
      </w:r>
      <w:r w:rsidR="00D2565F" w:rsidRPr="00FF6C7D">
        <w:rPr>
          <w:rFonts w:ascii="Book Antiqua" w:hAnsi="Book Antiqua"/>
          <w:lang w:val="es-ES_tradnl"/>
        </w:rPr>
        <w:t xml:space="preserve">resentado por </w:t>
      </w:r>
      <w:r w:rsidR="00FE6FD9">
        <w:rPr>
          <w:rFonts w:ascii="Book Antiqua" w:hAnsi="Book Antiqua"/>
          <w:lang w:val="es-ES_tradnl"/>
        </w:rPr>
        <w:t>el</w:t>
      </w:r>
      <w:r w:rsidR="00D2565F" w:rsidRPr="00FF6C7D">
        <w:rPr>
          <w:rFonts w:ascii="Book Antiqua" w:hAnsi="Book Antiqua"/>
          <w:lang w:val="es-ES_tradnl"/>
        </w:rPr>
        <w:t xml:space="preserve"> se</w:t>
      </w:r>
      <w:r w:rsidR="00D2565F">
        <w:rPr>
          <w:rFonts w:ascii="Book Antiqua" w:hAnsi="Book Antiqua"/>
          <w:lang w:val="es-ES_tradnl"/>
        </w:rPr>
        <w:t>nador</w:t>
      </w:r>
      <w:r w:rsidR="00D2565F" w:rsidRPr="00FF6C7D">
        <w:rPr>
          <w:rFonts w:ascii="Book Antiqua" w:hAnsi="Book Antiqua"/>
          <w:lang w:val="es-ES_tradnl"/>
        </w:rPr>
        <w:t xml:space="preserve"> </w:t>
      </w:r>
      <w:r w:rsidR="00FE6FD9">
        <w:rPr>
          <w:rFonts w:ascii="Book Antiqua" w:hAnsi="Book Antiqua"/>
          <w:lang w:val="es-ES_tradnl"/>
        </w:rPr>
        <w:t>Rios Santiago</w:t>
      </w:r>
      <w:r w:rsidR="00D2565F">
        <w:rPr>
          <w:rFonts w:ascii="Book Antiqua" w:hAnsi="Book Antiqua"/>
          <w:lang w:val="es-ES_tradnl"/>
        </w:rPr>
        <w:t xml:space="preserve">. Dicho proyecto fue </w:t>
      </w:r>
      <w:r w:rsidR="00B7320F" w:rsidRPr="00C1650E">
        <w:rPr>
          <w:rFonts w:ascii="Book Antiqua" w:hAnsi="Book Antiqua"/>
          <w:szCs w:val="24"/>
          <w:lang w:val="es-PR"/>
        </w:rPr>
        <w:t>radicad</w:t>
      </w:r>
      <w:r>
        <w:rPr>
          <w:rFonts w:ascii="Book Antiqua" w:hAnsi="Book Antiqua"/>
          <w:szCs w:val="24"/>
          <w:lang w:val="es-PR"/>
        </w:rPr>
        <w:t>o</w:t>
      </w:r>
      <w:r w:rsidR="00B7320F" w:rsidRPr="00C1650E">
        <w:rPr>
          <w:rFonts w:ascii="Book Antiqua" w:hAnsi="Book Antiqua"/>
          <w:szCs w:val="24"/>
          <w:lang w:val="es-PR"/>
        </w:rPr>
        <w:t xml:space="preserve"> </w:t>
      </w:r>
      <w:r w:rsidR="002E36C3">
        <w:rPr>
          <w:rFonts w:ascii="Book Antiqua" w:hAnsi="Book Antiqua"/>
          <w:szCs w:val="24"/>
          <w:lang w:val="es-PR"/>
        </w:rPr>
        <w:t xml:space="preserve">el </w:t>
      </w:r>
      <w:r w:rsidR="00480F2B">
        <w:rPr>
          <w:rFonts w:ascii="Book Antiqua" w:hAnsi="Book Antiqua"/>
          <w:szCs w:val="24"/>
          <w:lang w:val="es-PR"/>
        </w:rPr>
        <w:t>2</w:t>
      </w:r>
      <w:r w:rsidR="00C4370F">
        <w:rPr>
          <w:rFonts w:ascii="Book Antiqua" w:hAnsi="Book Antiqua"/>
          <w:szCs w:val="24"/>
          <w:lang w:val="es-PR"/>
        </w:rPr>
        <w:t>5</w:t>
      </w:r>
      <w:r w:rsidR="00480F2B">
        <w:rPr>
          <w:rFonts w:ascii="Book Antiqua" w:hAnsi="Book Antiqua"/>
          <w:szCs w:val="24"/>
          <w:lang w:val="es-PR"/>
        </w:rPr>
        <w:t xml:space="preserve"> de </w:t>
      </w:r>
      <w:r w:rsidR="00EE7533">
        <w:rPr>
          <w:rFonts w:ascii="Book Antiqua" w:hAnsi="Book Antiqua"/>
          <w:szCs w:val="24"/>
          <w:lang w:val="es-PR"/>
        </w:rPr>
        <w:t>febr</w:t>
      </w:r>
      <w:r w:rsidR="00480F2B">
        <w:rPr>
          <w:rFonts w:ascii="Book Antiqua" w:hAnsi="Book Antiqua"/>
          <w:szCs w:val="24"/>
          <w:lang w:val="es-PR"/>
        </w:rPr>
        <w:t xml:space="preserve">ero </w:t>
      </w:r>
      <w:r w:rsidR="002E36C3">
        <w:rPr>
          <w:rFonts w:ascii="Book Antiqua" w:hAnsi="Book Antiqua"/>
          <w:szCs w:val="24"/>
          <w:lang w:val="es-PR"/>
        </w:rPr>
        <w:t>de 2025 y referid</w:t>
      </w:r>
      <w:r w:rsidR="00F166E2">
        <w:rPr>
          <w:rFonts w:ascii="Book Antiqua" w:hAnsi="Book Antiqua"/>
          <w:szCs w:val="24"/>
          <w:lang w:val="es-PR"/>
        </w:rPr>
        <w:t>o</w:t>
      </w:r>
      <w:r w:rsidR="002E36C3">
        <w:rPr>
          <w:rFonts w:ascii="Book Antiqua" w:hAnsi="Book Antiqua"/>
          <w:szCs w:val="24"/>
          <w:lang w:val="es-PR"/>
        </w:rPr>
        <w:t xml:space="preserve"> a la Comisión de </w:t>
      </w:r>
      <w:r w:rsidR="00172A5C">
        <w:rPr>
          <w:rFonts w:ascii="Book Antiqua" w:hAnsi="Book Antiqua"/>
          <w:szCs w:val="24"/>
          <w:lang w:val="es-PR"/>
        </w:rPr>
        <w:t>Gobierno</w:t>
      </w:r>
      <w:r w:rsidR="002E36C3">
        <w:rPr>
          <w:rFonts w:ascii="Book Antiqua" w:hAnsi="Book Antiqua"/>
          <w:szCs w:val="24"/>
          <w:lang w:val="es-PR"/>
        </w:rPr>
        <w:t xml:space="preserve"> el </w:t>
      </w:r>
      <w:r w:rsidR="00EE7533">
        <w:rPr>
          <w:rFonts w:ascii="Book Antiqua" w:hAnsi="Book Antiqua"/>
          <w:szCs w:val="24"/>
          <w:lang w:val="es-PR"/>
        </w:rPr>
        <w:t>1</w:t>
      </w:r>
      <w:r w:rsidR="00B93D3D">
        <w:rPr>
          <w:rFonts w:ascii="Book Antiqua" w:hAnsi="Book Antiqua"/>
          <w:szCs w:val="24"/>
          <w:lang w:val="es-PR"/>
        </w:rPr>
        <w:t>0</w:t>
      </w:r>
      <w:r w:rsidR="00EE7533">
        <w:rPr>
          <w:rFonts w:ascii="Book Antiqua" w:hAnsi="Book Antiqua"/>
          <w:szCs w:val="24"/>
          <w:lang w:val="es-PR"/>
        </w:rPr>
        <w:t xml:space="preserve"> </w:t>
      </w:r>
      <w:r w:rsidR="00480F2B">
        <w:rPr>
          <w:rFonts w:ascii="Book Antiqua" w:hAnsi="Book Antiqua"/>
          <w:szCs w:val="24"/>
          <w:lang w:val="es-PR"/>
        </w:rPr>
        <w:t>de</w:t>
      </w:r>
      <w:r w:rsidR="00E01603">
        <w:rPr>
          <w:rFonts w:ascii="Book Antiqua" w:hAnsi="Book Antiqua"/>
          <w:szCs w:val="24"/>
          <w:lang w:val="es-PR"/>
        </w:rPr>
        <w:t xml:space="preserve"> abril</w:t>
      </w:r>
      <w:r w:rsidR="00480F2B">
        <w:rPr>
          <w:rFonts w:ascii="Book Antiqua" w:hAnsi="Book Antiqua"/>
          <w:szCs w:val="24"/>
          <w:lang w:val="es-PR"/>
        </w:rPr>
        <w:t xml:space="preserve"> </w:t>
      </w:r>
      <w:r w:rsidR="002E36C3">
        <w:rPr>
          <w:rFonts w:ascii="Book Antiqua" w:hAnsi="Book Antiqua"/>
          <w:szCs w:val="24"/>
          <w:lang w:val="es-PR"/>
        </w:rPr>
        <w:t xml:space="preserve">de 2025. </w:t>
      </w:r>
      <w:r w:rsidR="0029726D" w:rsidRPr="00C1650E">
        <w:rPr>
          <w:rFonts w:ascii="Book Antiqua" w:hAnsi="Book Antiqua"/>
          <w:szCs w:val="24"/>
          <w:lang w:val="es-PR"/>
        </w:rPr>
        <w:t>Para la evaluación y análisis de la referida medida</w:t>
      </w:r>
      <w:r w:rsidR="0001561B" w:rsidRPr="00C1650E">
        <w:rPr>
          <w:rFonts w:ascii="Book Antiqua" w:hAnsi="Book Antiqua"/>
          <w:szCs w:val="24"/>
          <w:lang w:val="es-PR"/>
        </w:rPr>
        <w:t xml:space="preserve"> fue</w:t>
      </w:r>
      <w:r w:rsidR="001D6FC5">
        <w:rPr>
          <w:rFonts w:ascii="Book Antiqua" w:hAnsi="Book Antiqua"/>
          <w:szCs w:val="24"/>
          <w:lang w:val="es-PR"/>
        </w:rPr>
        <w:t xml:space="preserve">ron </w:t>
      </w:r>
      <w:r w:rsidR="00B42703" w:rsidRPr="00C1650E">
        <w:rPr>
          <w:rFonts w:ascii="Book Antiqua" w:hAnsi="Book Antiqua"/>
          <w:szCs w:val="24"/>
          <w:lang w:val="es-PR"/>
        </w:rPr>
        <w:t>solicitado</w:t>
      </w:r>
      <w:r w:rsidR="001D6FC5">
        <w:rPr>
          <w:rFonts w:ascii="Book Antiqua" w:hAnsi="Book Antiqua"/>
          <w:szCs w:val="24"/>
          <w:lang w:val="es-PR"/>
        </w:rPr>
        <w:t xml:space="preserve">s </w:t>
      </w:r>
      <w:r w:rsidR="0029726D" w:rsidRPr="00C1650E">
        <w:rPr>
          <w:rFonts w:ascii="Book Antiqua" w:hAnsi="Book Antiqua"/>
          <w:szCs w:val="24"/>
          <w:lang w:val="es-PR"/>
        </w:rPr>
        <w:t>Memorial</w:t>
      </w:r>
      <w:r w:rsidR="001D6FC5">
        <w:rPr>
          <w:rFonts w:ascii="Book Antiqua" w:hAnsi="Book Antiqua"/>
          <w:szCs w:val="24"/>
          <w:lang w:val="es-PR"/>
        </w:rPr>
        <w:t>es</w:t>
      </w:r>
      <w:r w:rsidR="0029726D" w:rsidRPr="00C1650E">
        <w:rPr>
          <w:rFonts w:ascii="Book Antiqua" w:hAnsi="Book Antiqua"/>
          <w:szCs w:val="24"/>
          <w:lang w:val="es-PR"/>
        </w:rPr>
        <w:t xml:space="preserve"> Explicativ</w:t>
      </w:r>
      <w:r w:rsidR="00FE5D1A" w:rsidRPr="00C1650E">
        <w:rPr>
          <w:rFonts w:ascii="Book Antiqua" w:hAnsi="Book Antiqua"/>
          <w:szCs w:val="24"/>
          <w:lang w:val="es-PR"/>
        </w:rPr>
        <w:t>o</w:t>
      </w:r>
      <w:r w:rsidR="001D6FC5">
        <w:rPr>
          <w:rFonts w:ascii="Book Antiqua" w:hAnsi="Book Antiqua"/>
          <w:szCs w:val="24"/>
          <w:lang w:val="es-PR"/>
        </w:rPr>
        <w:t xml:space="preserve">s </w:t>
      </w:r>
      <w:r w:rsidR="00BA2D29" w:rsidRPr="00C1650E">
        <w:rPr>
          <w:rFonts w:ascii="Book Antiqua" w:hAnsi="Book Antiqua"/>
          <w:szCs w:val="24"/>
          <w:lang w:val="es-PR"/>
        </w:rPr>
        <w:t>de:</w:t>
      </w:r>
      <w:r w:rsidR="000E7F87" w:rsidRPr="00C1650E">
        <w:rPr>
          <w:rFonts w:ascii="Book Antiqua" w:hAnsi="Book Antiqua"/>
          <w:color w:val="000000" w:themeColor="text1"/>
          <w:szCs w:val="24"/>
          <w:lang w:val="es-PR"/>
        </w:rPr>
        <w:t xml:space="preserve"> </w:t>
      </w:r>
      <w:r w:rsidR="00E01603">
        <w:rPr>
          <w:rFonts w:ascii="Book Antiqua" w:hAnsi="Book Antiqua"/>
          <w:color w:val="000000" w:themeColor="text1"/>
          <w:szCs w:val="24"/>
          <w:lang w:val="es-PR"/>
        </w:rPr>
        <w:t>Administración de Servicios Generales</w:t>
      </w:r>
      <w:r w:rsidR="00F10436">
        <w:rPr>
          <w:rFonts w:ascii="Book Antiqua" w:hAnsi="Book Antiqua"/>
          <w:color w:val="000000" w:themeColor="text1"/>
          <w:szCs w:val="24"/>
          <w:lang w:val="es-PR"/>
        </w:rPr>
        <w:t xml:space="preserve">, </w:t>
      </w:r>
      <w:r w:rsidR="00622DC5">
        <w:rPr>
          <w:rFonts w:ascii="Book Antiqua" w:hAnsi="Book Antiqua"/>
          <w:color w:val="000000" w:themeColor="text1"/>
          <w:szCs w:val="24"/>
          <w:lang w:val="es-PR"/>
        </w:rPr>
        <w:t>Asociación de Industriales de Puerto Rico</w:t>
      </w:r>
      <w:r w:rsidR="00F10436">
        <w:rPr>
          <w:rFonts w:ascii="Book Antiqua" w:hAnsi="Book Antiqua"/>
          <w:color w:val="000000" w:themeColor="text1"/>
          <w:szCs w:val="24"/>
          <w:lang w:val="es-PR"/>
        </w:rPr>
        <w:t xml:space="preserve">, </w:t>
      </w:r>
      <w:r w:rsidR="00622DC5">
        <w:rPr>
          <w:rFonts w:ascii="Book Antiqua" w:hAnsi="Book Antiqua"/>
          <w:color w:val="000000" w:themeColor="text1"/>
          <w:szCs w:val="24"/>
          <w:lang w:val="es-PR"/>
        </w:rPr>
        <w:t>Asociación de Constructores de Puerto Rico</w:t>
      </w:r>
      <w:r w:rsidR="00F10436">
        <w:rPr>
          <w:rFonts w:ascii="Book Antiqua" w:hAnsi="Book Antiqua"/>
          <w:color w:val="000000" w:themeColor="text1"/>
          <w:szCs w:val="24"/>
          <w:lang w:val="es-PR"/>
        </w:rPr>
        <w:t xml:space="preserve">, </w:t>
      </w:r>
      <w:r w:rsidR="00622DC5">
        <w:rPr>
          <w:rFonts w:ascii="Book Antiqua" w:hAnsi="Book Antiqua"/>
          <w:color w:val="000000" w:themeColor="text1"/>
          <w:szCs w:val="24"/>
          <w:lang w:val="es-PR"/>
        </w:rPr>
        <w:t>Departamento de Desarrollo Económico</w:t>
      </w:r>
      <w:r w:rsidR="00F10436">
        <w:rPr>
          <w:rFonts w:ascii="Book Antiqua" w:hAnsi="Book Antiqua"/>
          <w:color w:val="000000" w:themeColor="text1"/>
          <w:szCs w:val="24"/>
          <w:lang w:val="es-PR"/>
        </w:rPr>
        <w:t xml:space="preserve">, </w:t>
      </w:r>
      <w:r w:rsidR="00622DC5">
        <w:rPr>
          <w:rFonts w:ascii="Book Antiqua" w:hAnsi="Book Antiqua"/>
          <w:color w:val="000000" w:themeColor="text1"/>
          <w:szCs w:val="24"/>
          <w:lang w:val="es-PR"/>
        </w:rPr>
        <w:t>Centro Unido de Detallistas</w:t>
      </w:r>
      <w:r w:rsidR="00F10436">
        <w:rPr>
          <w:rFonts w:ascii="Book Antiqua" w:hAnsi="Book Antiqua"/>
          <w:color w:val="000000" w:themeColor="text1"/>
          <w:szCs w:val="24"/>
          <w:lang w:val="es-PR"/>
        </w:rPr>
        <w:t xml:space="preserve">, </w:t>
      </w:r>
      <w:r w:rsidR="00622DC5">
        <w:rPr>
          <w:rFonts w:ascii="Book Antiqua" w:hAnsi="Book Antiqua"/>
          <w:color w:val="000000" w:themeColor="text1"/>
          <w:szCs w:val="24"/>
          <w:lang w:val="es-PR"/>
        </w:rPr>
        <w:t>Asociación para la Mic</w:t>
      </w:r>
      <w:r w:rsidR="008D3971">
        <w:rPr>
          <w:rFonts w:ascii="Book Antiqua" w:hAnsi="Book Antiqua"/>
          <w:color w:val="000000" w:themeColor="text1"/>
          <w:szCs w:val="24"/>
          <w:lang w:val="es-PR"/>
        </w:rPr>
        <w:t>ro</w:t>
      </w:r>
      <w:r w:rsidR="00622DC5">
        <w:rPr>
          <w:rFonts w:ascii="Book Antiqua" w:hAnsi="Book Antiqua"/>
          <w:color w:val="000000" w:themeColor="text1"/>
          <w:szCs w:val="24"/>
          <w:lang w:val="es-PR"/>
        </w:rPr>
        <w:t>, Pequeñas y Median</w:t>
      </w:r>
      <w:r w:rsidR="008D3971">
        <w:rPr>
          <w:rFonts w:ascii="Book Antiqua" w:hAnsi="Book Antiqua"/>
          <w:color w:val="000000" w:themeColor="text1"/>
          <w:szCs w:val="24"/>
          <w:lang w:val="es-PR"/>
        </w:rPr>
        <w:t>as Empresas</w:t>
      </w:r>
      <w:r w:rsidR="00F10436">
        <w:rPr>
          <w:rFonts w:ascii="Book Antiqua" w:hAnsi="Book Antiqua"/>
          <w:color w:val="000000" w:themeColor="text1"/>
          <w:szCs w:val="24"/>
          <w:lang w:val="es-PR"/>
        </w:rPr>
        <w:t xml:space="preserve"> y </w:t>
      </w:r>
      <w:r w:rsidR="008D3971">
        <w:rPr>
          <w:rFonts w:ascii="Book Antiqua" w:hAnsi="Book Antiqua"/>
          <w:color w:val="000000" w:themeColor="text1"/>
          <w:szCs w:val="24"/>
          <w:lang w:val="es-PR"/>
        </w:rPr>
        <w:t xml:space="preserve">Puerto Rico Small Business and </w:t>
      </w:r>
      <w:proofErr w:type="spellStart"/>
      <w:r w:rsidR="008D3971">
        <w:rPr>
          <w:rFonts w:ascii="Book Antiqua" w:hAnsi="Book Antiqua"/>
          <w:color w:val="000000" w:themeColor="text1"/>
          <w:szCs w:val="24"/>
          <w:lang w:val="es-PR"/>
        </w:rPr>
        <w:t>Technology</w:t>
      </w:r>
      <w:proofErr w:type="spellEnd"/>
      <w:r w:rsidR="008D3971">
        <w:rPr>
          <w:rFonts w:ascii="Book Antiqua" w:hAnsi="Book Antiqua"/>
          <w:color w:val="000000" w:themeColor="text1"/>
          <w:szCs w:val="24"/>
          <w:lang w:val="es-PR"/>
        </w:rPr>
        <w:t xml:space="preserve"> </w:t>
      </w:r>
      <w:proofErr w:type="spellStart"/>
      <w:r w:rsidR="008D3971">
        <w:rPr>
          <w:rFonts w:ascii="Book Antiqua" w:hAnsi="Book Antiqua"/>
          <w:color w:val="000000" w:themeColor="text1"/>
          <w:szCs w:val="24"/>
          <w:lang w:val="es-PR"/>
        </w:rPr>
        <w:t>Developm</w:t>
      </w:r>
      <w:r w:rsidR="00AC246A">
        <w:rPr>
          <w:rFonts w:ascii="Book Antiqua" w:hAnsi="Book Antiqua"/>
          <w:color w:val="000000" w:themeColor="text1"/>
          <w:szCs w:val="24"/>
          <w:lang w:val="es-PR"/>
        </w:rPr>
        <w:t>ent</w:t>
      </w:r>
      <w:proofErr w:type="spellEnd"/>
      <w:r w:rsidR="00AC246A">
        <w:rPr>
          <w:rFonts w:ascii="Book Antiqua" w:hAnsi="Book Antiqua"/>
          <w:color w:val="000000" w:themeColor="text1"/>
          <w:szCs w:val="24"/>
          <w:lang w:val="es-PR"/>
        </w:rPr>
        <w:t xml:space="preserve"> Center</w:t>
      </w:r>
      <w:r w:rsidR="00F10436">
        <w:rPr>
          <w:rFonts w:ascii="Book Antiqua" w:hAnsi="Book Antiqua"/>
          <w:color w:val="000000" w:themeColor="text1"/>
          <w:szCs w:val="24"/>
          <w:lang w:val="es-PR"/>
        </w:rPr>
        <w:t>.</w:t>
      </w:r>
    </w:p>
    <w:p w14:paraId="6C8E2493" w14:textId="77777777" w:rsidR="00D716EF" w:rsidRDefault="00D716EF" w:rsidP="00D716EF">
      <w:pPr>
        <w:ind w:firstLine="720"/>
        <w:contextualSpacing/>
        <w:jc w:val="both"/>
        <w:rPr>
          <w:rFonts w:ascii="Book Antiqua" w:hAnsi="Book Antiqua"/>
          <w:color w:val="000000" w:themeColor="text1"/>
          <w:szCs w:val="24"/>
          <w:lang w:val="es-PR"/>
        </w:rPr>
      </w:pPr>
    </w:p>
    <w:p w14:paraId="7143FE84" w14:textId="54BCDD99" w:rsidR="006F31DC" w:rsidRDefault="006F31DC" w:rsidP="00D716EF">
      <w:pPr>
        <w:ind w:firstLine="720"/>
        <w:contextualSpacing/>
        <w:jc w:val="both"/>
        <w:rPr>
          <w:rFonts w:ascii="Book Antiqua" w:hAnsi="Book Antiqua"/>
          <w:color w:val="000000" w:themeColor="text1"/>
          <w:szCs w:val="24"/>
          <w:lang w:val="es-PR"/>
        </w:rPr>
      </w:pPr>
      <w:r w:rsidRPr="006F31DC">
        <w:rPr>
          <w:rFonts w:ascii="Book Antiqua" w:hAnsi="Book Antiqua"/>
          <w:color w:val="000000" w:themeColor="text1"/>
          <w:szCs w:val="24"/>
          <w:lang w:val="es-PR"/>
        </w:rPr>
        <w:t>En cumplimiento de nuestra responsabilidad legislativa, y con el propósito de contar con el insumo necesario, los memoriales recibidos fueron debidamente evaluados y analizados para la redacción del presente informe bajo nuestra consideración. A continuación, se presenta un resumen detallado de los comentarios provistos por las entidades gubernamentales antes mencionadas:</w:t>
      </w:r>
    </w:p>
    <w:p w14:paraId="30107256"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5788DEA9" w14:textId="241E0E1F" w:rsidR="00F10436" w:rsidRPr="00AC246A" w:rsidRDefault="00AC246A" w:rsidP="00D716EF">
      <w:pPr>
        <w:contextualSpacing/>
        <w:jc w:val="center"/>
        <w:rPr>
          <w:rFonts w:ascii="Book Antiqua" w:hAnsi="Book Antiqua"/>
          <w:b/>
          <w:bCs/>
          <w:caps/>
          <w:color w:val="000000" w:themeColor="text1"/>
          <w:szCs w:val="24"/>
          <w:lang w:val="es-PR"/>
        </w:rPr>
      </w:pPr>
      <w:r w:rsidRPr="00AC246A">
        <w:rPr>
          <w:rFonts w:ascii="Book Antiqua" w:hAnsi="Book Antiqua"/>
          <w:b/>
          <w:bCs/>
          <w:caps/>
          <w:color w:val="000000" w:themeColor="text1"/>
          <w:szCs w:val="24"/>
          <w:lang w:val="es-PR"/>
        </w:rPr>
        <w:t>Administración de Servicios Generales</w:t>
      </w:r>
    </w:p>
    <w:p w14:paraId="31B3E305" w14:textId="77777777" w:rsidR="00D716EF" w:rsidRDefault="00D716EF" w:rsidP="00D716EF">
      <w:pPr>
        <w:ind w:firstLine="720"/>
        <w:contextualSpacing/>
        <w:jc w:val="both"/>
        <w:rPr>
          <w:rFonts w:ascii="Book Antiqua" w:hAnsi="Book Antiqua"/>
          <w:color w:val="000000" w:themeColor="text1"/>
          <w:szCs w:val="24"/>
          <w:lang w:val="es-PR"/>
        </w:rPr>
      </w:pPr>
    </w:p>
    <w:p w14:paraId="05B89E03" w14:textId="01FF1421" w:rsidR="002673C8" w:rsidRDefault="00AC246A" w:rsidP="00D716EF">
      <w:pPr>
        <w:ind w:firstLine="720"/>
        <w:contextualSpacing/>
        <w:jc w:val="both"/>
        <w:rPr>
          <w:rFonts w:ascii="Book Antiqua" w:hAnsi="Book Antiqua"/>
          <w:color w:val="000000" w:themeColor="text1"/>
          <w:szCs w:val="24"/>
          <w:lang w:val="es-PR"/>
        </w:rPr>
      </w:pPr>
      <w:r>
        <w:rPr>
          <w:rFonts w:ascii="Book Antiqua" w:hAnsi="Book Antiqua"/>
          <w:color w:val="000000" w:themeColor="text1"/>
          <w:szCs w:val="24"/>
          <w:lang w:val="es-PR"/>
        </w:rPr>
        <w:lastRenderedPageBreak/>
        <w:t>La</w:t>
      </w:r>
      <w:r w:rsidR="00F10436">
        <w:rPr>
          <w:rFonts w:ascii="Book Antiqua" w:hAnsi="Book Antiqua"/>
          <w:color w:val="000000" w:themeColor="text1"/>
          <w:szCs w:val="24"/>
          <w:lang w:val="es-PR"/>
        </w:rPr>
        <w:t xml:space="preserve"> </w:t>
      </w:r>
      <w:r w:rsidRPr="00AC246A">
        <w:rPr>
          <w:rFonts w:ascii="Book Antiqua" w:hAnsi="Book Antiqua"/>
          <w:color w:val="000000" w:themeColor="text1"/>
          <w:szCs w:val="24"/>
          <w:lang w:val="es-PR"/>
        </w:rPr>
        <w:t>Administración de Servicios Generales</w:t>
      </w:r>
      <w:r w:rsidR="00F10436">
        <w:rPr>
          <w:rFonts w:ascii="Book Antiqua" w:hAnsi="Book Antiqua"/>
          <w:color w:val="000000" w:themeColor="text1"/>
          <w:szCs w:val="24"/>
          <w:lang w:val="es-PR"/>
        </w:rPr>
        <w:t xml:space="preserve"> (en adelante, </w:t>
      </w:r>
      <w:r>
        <w:rPr>
          <w:rFonts w:ascii="Book Antiqua" w:hAnsi="Book Antiqua"/>
          <w:color w:val="000000" w:themeColor="text1"/>
          <w:szCs w:val="24"/>
          <w:lang w:val="es-PR"/>
        </w:rPr>
        <w:t>ASG</w:t>
      </w:r>
      <w:r w:rsidR="00F10436">
        <w:rPr>
          <w:rFonts w:ascii="Book Antiqua" w:hAnsi="Book Antiqua"/>
          <w:color w:val="000000" w:themeColor="text1"/>
          <w:szCs w:val="24"/>
          <w:lang w:val="es-PR"/>
        </w:rPr>
        <w:t>) representad</w:t>
      </w:r>
      <w:r w:rsidR="00900326">
        <w:rPr>
          <w:rFonts w:ascii="Book Antiqua" w:hAnsi="Book Antiqua"/>
          <w:color w:val="000000" w:themeColor="text1"/>
          <w:szCs w:val="24"/>
          <w:lang w:val="es-PR"/>
        </w:rPr>
        <w:t>a</w:t>
      </w:r>
      <w:r w:rsidR="00F10436">
        <w:rPr>
          <w:rFonts w:ascii="Book Antiqua" w:hAnsi="Book Antiqua"/>
          <w:color w:val="000000" w:themeColor="text1"/>
          <w:szCs w:val="24"/>
          <w:lang w:val="es-PR"/>
        </w:rPr>
        <w:t xml:space="preserve"> por su </w:t>
      </w:r>
      <w:r w:rsidR="00A820A3">
        <w:rPr>
          <w:rFonts w:ascii="Book Antiqua" w:hAnsi="Book Antiqua"/>
          <w:color w:val="000000" w:themeColor="text1"/>
          <w:szCs w:val="24"/>
          <w:lang w:val="es-PR"/>
        </w:rPr>
        <w:t xml:space="preserve">Administradora y Principal </w:t>
      </w:r>
      <w:r w:rsidR="00900326">
        <w:rPr>
          <w:rFonts w:ascii="Book Antiqua" w:hAnsi="Book Antiqua"/>
          <w:color w:val="000000" w:themeColor="text1"/>
          <w:szCs w:val="24"/>
          <w:lang w:val="es-PR"/>
        </w:rPr>
        <w:t>Oficial</w:t>
      </w:r>
      <w:r w:rsidR="00A820A3">
        <w:rPr>
          <w:rFonts w:ascii="Book Antiqua" w:hAnsi="Book Antiqua"/>
          <w:color w:val="000000" w:themeColor="text1"/>
          <w:szCs w:val="24"/>
          <w:lang w:val="es-PR"/>
        </w:rPr>
        <w:t xml:space="preserve"> de Compras</w:t>
      </w:r>
      <w:r w:rsidR="00F10436">
        <w:rPr>
          <w:rFonts w:ascii="Book Antiqua" w:hAnsi="Book Antiqua"/>
          <w:color w:val="000000" w:themeColor="text1"/>
          <w:szCs w:val="24"/>
          <w:lang w:val="es-PR"/>
        </w:rPr>
        <w:t>, Lcd</w:t>
      </w:r>
      <w:r w:rsidR="00A820A3">
        <w:rPr>
          <w:rFonts w:ascii="Book Antiqua" w:hAnsi="Book Antiqua"/>
          <w:color w:val="000000" w:themeColor="text1"/>
          <w:szCs w:val="24"/>
          <w:lang w:val="es-PR"/>
        </w:rPr>
        <w:t>a</w:t>
      </w:r>
      <w:r w:rsidR="00F10436">
        <w:rPr>
          <w:rFonts w:ascii="Book Antiqua" w:hAnsi="Book Antiqua"/>
          <w:color w:val="000000" w:themeColor="text1"/>
          <w:szCs w:val="24"/>
          <w:lang w:val="es-PR"/>
        </w:rPr>
        <w:t xml:space="preserve">. </w:t>
      </w:r>
      <w:r w:rsidR="00A820A3">
        <w:rPr>
          <w:rFonts w:ascii="Book Antiqua" w:hAnsi="Book Antiqua"/>
          <w:color w:val="000000" w:themeColor="text1"/>
          <w:szCs w:val="24"/>
          <w:lang w:val="es-PR"/>
        </w:rPr>
        <w:t>Karla G. Mercado Rivera</w:t>
      </w:r>
      <w:r w:rsidR="00F10436">
        <w:rPr>
          <w:rFonts w:ascii="Book Antiqua" w:hAnsi="Book Antiqua"/>
          <w:color w:val="000000" w:themeColor="text1"/>
          <w:szCs w:val="24"/>
          <w:lang w:val="es-PR"/>
        </w:rPr>
        <w:t>, ha emitido comentarios acerca del P. del S. 37</w:t>
      </w:r>
      <w:r w:rsidR="00A820A3">
        <w:rPr>
          <w:rFonts w:ascii="Book Antiqua" w:hAnsi="Book Antiqua"/>
          <w:color w:val="000000" w:themeColor="text1"/>
          <w:szCs w:val="24"/>
          <w:lang w:val="es-PR"/>
        </w:rPr>
        <w:t>2</w:t>
      </w:r>
      <w:r w:rsidR="00F10436">
        <w:rPr>
          <w:rFonts w:ascii="Book Antiqua" w:hAnsi="Book Antiqua"/>
          <w:color w:val="000000" w:themeColor="text1"/>
          <w:szCs w:val="24"/>
          <w:lang w:val="es-PR"/>
        </w:rPr>
        <w:t>.</w:t>
      </w:r>
    </w:p>
    <w:p w14:paraId="26953AB7" w14:textId="77777777" w:rsidR="00D716EF" w:rsidRDefault="00D716EF" w:rsidP="00D716EF">
      <w:pPr>
        <w:ind w:firstLine="720"/>
        <w:contextualSpacing/>
        <w:jc w:val="both"/>
        <w:rPr>
          <w:rFonts w:ascii="Book Antiqua" w:hAnsi="Book Antiqua"/>
          <w:color w:val="000000" w:themeColor="text1"/>
          <w:szCs w:val="24"/>
          <w:lang w:val="es-PR"/>
        </w:rPr>
      </w:pPr>
    </w:p>
    <w:p w14:paraId="52EE3404" w14:textId="5D191706" w:rsidR="00730E9B" w:rsidRDefault="008461AF" w:rsidP="00D716EF">
      <w:pPr>
        <w:ind w:firstLine="720"/>
        <w:contextualSpacing/>
        <w:jc w:val="both"/>
        <w:rPr>
          <w:rFonts w:ascii="Book Antiqua" w:hAnsi="Book Antiqua"/>
          <w:color w:val="000000" w:themeColor="text1"/>
          <w:szCs w:val="24"/>
          <w:lang w:val="es-US"/>
        </w:rPr>
      </w:pPr>
      <w:r w:rsidRPr="008461AF">
        <w:rPr>
          <w:rFonts w:ascii="Book Antiqua" w:hAnsi="Book Antiqua"/>
          <w:color w:val="000000" w:themeColor="text1"/>
          <w:szCs w:val="24"/>
          <w:lang w:val="es-PR"/>
        </w:rPr>
        <w:t xml:space="preserve">La Administración de Servicios Generales favoreció la aprobación del Proyecto del Senado 372, al entender que la medida atiende una necesidad real de aclarar el concepto de “licitador participante”, reduciendo ambigüedades que han dado paso a impugnaciones frívolas y retrasos innecesarios en la prestación de bienes y servicios al Estado. </w:t>
      </w:r>
      <w:r w:rsidR="00730E9B">
        <w:rPr>
          <w:rFonts w:ascii="Book Antiqua" w:hAnsi="Book Antiqua"/>
          <w:color w:val="000000" w:themeColor="text1"/>
          <w:szCs w:val="24"/>
          <w:lang w:val="es-PR"/>
        </w:rPr>
        <w:t>L</w:t>
      </w:r>
      <w:r w:rsidR="00730E9B" w:rsidRPr="00730E9B">
        <w:rPr>
          <w:rFonts w:ascii="Book Antiqua" w:hAnsi="Book Antiqua"/>
          <w:color w:val="000000" w:themeColor="text1"/>
          <w:szCs w:val="24"/>
          <w:lang w:val="es-US"/>
        </w:rPr>
        <w:t>a medida aclara el concepto de licitador participante, diferenciando adecuadamente entre aquellos licitadores que cumplen con todas las etapas compulsorias del proceso de licitación y aquellos que, por su propio incumplimiento —como la presentación tardía de ofertas o la incomparecencia a eventos obligatorios—, carecen de una expectativa legítima de adjudicación</w:t>
      </w:r>
      <w:r w:rsidR="00CC1B1B">
        <w:rPr>
          <w:rFonts w:ascii="Book Antiqua" w:hAnsi="Book Antiqua"/>
          <w:color w:val="000000" w:themeColor="text1"/>
          <w:szCs w:val="24"/>
          <w:lang w:val="es-US"/>
        </w:rPr>
        <w:t>.</w:t>
      </w:r>
    </w:p>
    <w:p w14:paraId="2DED6C8D" w14:textId="77777777" w:rsidR="00D716EF" w:rsidRDefault="00D716EF" w:rsidP="00D716EF">
      <w:pPr>
        <w:ind w:firstLine="720"/>
        <w:contextualSpacing/>
        <w:jc w:val="both"/>
        <w:rPr>
          <w:rFonts w:ascii="Book Antiqua" w:hAnsi="Book Antiqua"/>
          <w:color w:val="000000" w:themeColor="text1"/>
          <w:szCs w:val="24"/>
          <w:lang w:val="es-US"/>
        </w:rPr>
      </w:pPr>
    </w:p>
    <w:p w14:paraId="45FB520B" w14:textId="45FA49C9" w:rsidR="00CC1B1B" w:rsidRPr="00730E9B" w:rsidRDefault="00CC1B1B" w:rsidP="00D716EF">
      <w:pPr>
        <w:ind w:firstLine="720"/>
        <w:contextualSpacing/>
        <w:jc w:val="both"/>
        <w:rPr>
          <w:rFonts w:ascii="Book Antiqua" w:hAnsi="Book Antiqua"/>
          <w:color w:val="000000" w:themeColor="text1"/>
          <w:szCs w:val="24"/>
          <w:lang w:val="es-US"/>
        </w:rPr>
      </w:pPr>
      <w:r w:rsidRPr="00CC1B1B">
        <w:rPr>
          <w:rFonts w:ascii="Book Antiqua" w:hAnsi="Book Antiqua"/>
          <w:color w:val="000000" w:themeColor="text1"/>
          <w:szCs w:val="24"/>
          <w:lang w:val="es-US"/>
        </w:rPr>
        <w:t>Asimismo, la agencia favoreció la disposición que aclara que una oferta rechazada por entrega tardía constituye una determinación final para ese licitador, comenzando en ese momento el término para impugnación, evitando así que se esperen semanas o meses para entorpecer la culminación de los procesos. De igual forma, respaldó la disposición sobre la notificación de resoluciones de adjudicación enmendadas, al entender que estas deben notificarse a las mismas partes y de la misma forma que la resolución original.</w:t>
      </w:r>
    </w:p>
    <w:p w14:paraId="6CD23DDD" w14:textId="77777777" w:rsidR="00D716EF" w:rsidRDefault="00D716EF" w:rsidP="00D716EF">
      <w:pPr>
        <w:ind w:firstLine="720"/>
        <w:contextualSpacing/>
        <w:jc w:val="both"/>
        <w:rPr>
          <w:rFonts w:ascii="Book Antiqua" w:hAnsi="Book Antiqua"/>
          <w:color w:val="000000" w:themeColor="text1"/>
          <w:szCs w:val="24"/>
          <w:lang w:val="es-PR"/>
        </w:rPr>
      </w:pPr>
    </w:p>
    <w:p w14:paraId="1669E76D" w14:textId="086A3079" w:rsidR="008461AF" w:rsidRPr="008461AF" w:rsidRDefault="008461AF" w:rsidP="00D716EF">
      <w:pPr>
        <w:ind w:firstLine="720"/>
        <w:contextualSpacing/>
        <w:jc w:val="both"/>
        <w:rPr>
          <w:rFonts w:ascii="Book Antiqua" w:hAnsi="Book Antiqua"/>
          <w:color w:val="000000" w:themeColor="text1"/>
          <w:szCs w:val="24"/>
          <w:lang w:val="es-PR"/>
        </w:rPr>
      </w:pPr>
      <w:r w:rsidRPr="008461AF">
        <w:rPr>
          <w:rFonts w:ascii="Book Antiqua" w:hAnsi="Book Antiqua"/>
          <w:color w:val="000000" w:themeColor="text1"/>
          <w:szCs w:val="24"/>
          <w:lang w:val="es-PR"/>
        </w:rPr>
        <w:t>La ASG explicó que la enmienda propuesta fortalece la equidad procesal al distinguir entre licitadores que cumplen con todas las etapas compulsorias del proceso y aquellos que, por su propio incumplimiento, carecen de una expectativa legítima de adjudicación.</w:t>
      </w:r>
    </w:p>
    <w:p w14:paraId="7B393D24" w14:textId="77777777" w:rsidR="00D716EF" w:rsidRDefault="00D716EF" w:rsidP="00D716EF">
      <w:pPr>
        <w:ind w:firstLine="720"/>
        <w:contextualSpacing/>
        <w:jc w:val="both"/>
        <w:rPr>
          <w:rFonts w:ascii="Book Antiqua" w:hAnsi="Book Antiqua"/>
          <w:color w:val="000000" w:themeColor="text1"/>
          <w:szCs w:val="24"/>
          <w:lang w:val="es-PR"/>
        </w:rPr>
      </w:pPr>
    </w:p>
    <w:p w14:paraId="7E34D212" w14:textId="589C320F" w:rsidR="00C11F93" w:rsidRPr="00F10436" w:rsidRDefault="008461AF" w:rsidP="00D716EF">
      <w:pPr>
        <w:ind w:firstLine="720"/>
        <w:contextualSpacing/>
        <w:jc w:val="both"/>
        <w:rPr>
          <w:rFonts w:ascii="Book Antiqua" w:hAnsi="Book Antiqua"/>
          <w:color w:val="000000" w:themeColor="text1"/>
          <w:szCs w:val="24"/>
          <w:lang w:val="es-PR"/>
        </w:rPr>
      </w:pPr>
      <w:r w:rsidRPr="008461AF">
        <w:rPr>
          <w:rFonts w:ascii="Book Antiqua" w:hAnsi="Book Antiqua"/>
          <w:color w:val="000000" w:themeColor="text1"/>
          <w:szCs w:val="24"/>
          <w:lang w:val="es-PR"/>
        </w:rPr>
        <w:t xml:space="preserve">Asimismo, resaltó que la medida contribuye a agilizar los procesos de adjudicación sin menoscabo de los derechos de los licitadores, al definir con claridad quiénes deben ser notificados de las resoluciones de adjudicación y de sus enmiendas. La ASG subrayó que esta precisión normativa beneficia tanto a la Rama Ejecutiva como a las entidades exentas, y redunda en mayor eficiencia administrativa, transparencia y certeza jurídica en los procesos de compras </w:t>
      </w:r>
      <w:r w:rsidR="005B28E5" w:rsidRPr="008461AF">
        <w:rPr>
          <w:rFonts w:ascii="Book Antiqua" w:hAnsi="Book Antiqua"/>
          <w:color w:val="000000" w:themeColor="text1"/>
          <w:szCs w:val="24"/>
          <w:lang w:val="es-PR"/>
        </w:rPr>
        <w:t>públicas.</w:t>
      </w:r>
    </w:p>
    <w:p w14:paraId="302018F1"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4A44A1A4" w14:textId="5DEB8A28" w:rsidR="000A4031" w:rsidRDefault="000A4031" w:rsidP="00D716EF">
      <w:pPr>
        <w:contextualSpacing/>
        <w:jc w:val="center"/>
        <w:rPr>
          <w:rFonts w:ascii="Book Antiqua" w:hAnsi="Book Antiqua"/>
          <w:b/>
          <w:bCs/>
          <w:color w:val="000000" w:themeColor="text1"/>
          <w:szCs w:val="24"/>
          <w:lang w:val="es-PR"/>
        </w:rPr>
      </w:pPr>
      <w:r w:rsidRPr="000A4031">
        <w:rPr>
          <w:rFonts w:ascii="Book Antiqua" w:hAnsi="Book Antiqua"/>
          <w:b/>
          <w:bCs/>
          <w:caps/>
          <w:color w:val="000000" w:themeColor="text1"/>
          <w:szCs w:val="24"/>
          <w:lang w:val="es-PR"/>
        </w:rPr>
        <w:t>Asociación de Industriales de Puerto Rico</w:t>
      </w:r>
    </w:p>
    <w:p w14:paraId="22E207DB" w14:textId="77777777" w:rsidR="00D716EF" w:rsidRDefault="00D716EF" w:rsidP="00D716EF">
      <w:pPr>
        <w:ind w:firstLine="720"/>
        <w:contextualSpacing/>
        <w:jc w:val="both"/>
        <w:rPr>
          <w:rFonts w:ascii="Book Antiqua" w:hAnsi="Book Antiqua"/>
          <w:color w:val="000000" w:themeColor="text1"/>
          <w:szCs w:val="24"/>
          <w:lang w:val="es-PR"/>
        </w:rPr>
      </w:pPr>
    </w:p>
    <w:p w14:paraId="4B07A029" w14:textId="5A69AB6B" w:rsidR="00F10436" w:rsidRDefault="0011293A" w:rsidP="00D716EF">
      <w:pPr>
        <w:ind w:firstLine="720"/>
        <w:contextualSpacing/>
        <w:jc w:val="both"/>
        <w:rPr>
          <w:rFonts w:ascii="Book Antiqua" w:hAnsi="Book Antiqua"/>
          <w:color w:val="000000" w:themeColor="text1"/>
          <w:szCs w:val="24"/>
          <w:lang w:val="es-PR"/>
        </w:rPr>
      </w:pPr>
      <w:r w:rsidRPr="0011293A">
        <w:rPr>
          <w:rFonts w:ascii="Book Antiqua" w:hAnsi="Book Antiqua"/>
          <w:color w:val="000000" w:themeColor="text1"/>
          <w:szCs w:val="24"/>
          <w:lang w:val="es-PR"/>
        </w:rPr>
        <w:t>La Asociación de Industriales de Puerto Rico</w:t>
      </w:r>
      <w:r w:rsidR="00F10436">
        <w:rPr>
          <w:rFonts w:ascii="Book Antiqua" w:hAnsi="Book Antiqua"/>
          <w:color w:val="000000" w:themeColor="text1"/>
          <w:szCs w:val="24"/>
          <w:lang w:val="es-PR"/>
        </w:rPr>
        <w:t xml:space="preserve"> (en adelante, </w:t>
      </w:r>
      <w:r>
        <w:rPr>
          <w:rFonts w:ascii="Book Antiqua" w:hAnsi="Book Antiqua"/>
          <w:color w:val="000000" w:themeColor="text1"/>
          <w:szCs w:val="24"/>
          <w:lang w:val="es-PR"/>
        </w:rPr>
        <w:t>“Asociación”</w:t>
      </w:r>
      <w:r w:rsidR="00F10436">
        <w:rPr>
          <w:rFonts w:ascii="Book Antiqua" w:hAnsi="Book Antiqua"/>
          <w:color w:val="000000" w:themeColor="text1"/>
          <w:szCs w:val="24"/>
          <w:lang w:val="es-PR"/>
        </w:rPr>
        <w:t>) ha emitido comentarios acerca del P. del S. 37</w:t>
      </w:r>
      <w:r w:rsidR="00FA5383">
        <w:rPr>
          <w:rFonts w:ascii="Book Antiqua" w:hAnsi="Book Antiqua"/>
          <w:color w:val="000000" w:themeColor="text1"/>
          <w:szCs w:val="24"/>
          <w:lang w:val="es-PR"/>
        </w:rPr>
        <w:t>2</w:t>
      </w:r>
      <w:r w:rsidR="00E80DA2">
        <w:rPr>
          <w:rFonts w:ascii="Book Antiqua" w:hAnsi="Book Antiqua"/>
          <w:color w:val="000000" w:themeColor="text1"/>
          <w:szCs w:val="24"/>
          <w:lang w:val="es-PR"/>
        </w:rPr>
        <w:t xml:space="preserve"> a través de ponencia </w:t>
      </w:r>
      <w:r w:rsidR="00900326">
        <w:rPr>
          <w:rFonts w:ascii="Book Antiqua" w:hAnsi="Book Antiqua"/>
          <w:color w:val="000000" w:themeColor="text1"/>
          <w:szCs w:val="24"/>
          <w:lang w:val="es-PR"/>
        </w:rPr>
        <w:t>presentada</w:t>
      </w:r>
      <w:r w:rsidR="00E80DA2">
        <w:rPr>
          <w:rFonts w:ascii="Book Antiqua" w:hAnsi="Book Antiqua"/>
          <w:color w:val="000000" w:themeColor="text1"/>
          <w:szCs w:val="24"/>
          <w:lang w:val="es-PR"/>
        </w:rPr>
        <w:t xml:space="preserve"> por su presidente Rafael Vélez Do</w:t>
      </w:r>
      <w:r w:rsidR="00900326">
        <w:rPr>
          <w:rFonts w:ascii="Book Antiqua" w:hAnsi="Book Antiqua"/>
          <w:color w:val="000000" w:themeColor="text1"/>
          <w:szCs w:val="24"/>
          <w:lang w:val="es-PR"/>
        </w:rPr>
        <w:t>minguez.</w:t>
      </w:r>
    </w:p>
    <w:p w14:paraId="3BE32DCF" w14:textId="77777777" w:rsidR="00D716EF" w:rsidRDefault="00D716EF" w:rsidP="00D716EF">
      <w:pPr>
        <w:ind w:firstLine="720"/>
        <w:contextualSpacing/>
        <w:jc w:val="both"/>
        <w:rPr>
          <w:rFonts w:ascii="Book Antiqua" w:hAnsi="Book Antiqua"/>
          <w:color w:val="000000" w:themeColor="text1"/>
          <w:szCs w:val="24"/>
          <w:lang w:val="es-PR"/>
        </w:rPr>
      </w:pPr>
    </w:p>
    <w:p w14:paraId="7C482685" w14:textId="54542A2F" w:rsidR="0011293A" w:rsidRDefault="0011293A" w:rsidP="00D716EF">
      <w:pPr>
        <w:ind w:firstLine="720"/>
        <w:contextualSpacing/>
        <w:jc w:val="both"/>
        <w:rPr>
          <w:rFonts w:ascii="Book Antiqua" w:hAnsi="Book Antiqua"/>
          <w:color w:val="000000" w:themeColor="text1"/>
          <w:szCs w:val="24"/>
          <w:lang w:val="es-PR"/>
        </w:rPr>
      </w:pPr>
      <w:r w:rsidRPr="0011293A">
        <w:rPr>
          <w:rFonts w:ascii="Book Antiqua" w:hAnsi="Book Antiqua"/>
          <w:color w:val="000000" w:themeColor="text1"/>
          <w:szCs w:val="24"/>
          <w:lang w:val="es-PR"/>
        </w:rPr>
        <w:t xml:space="preserve">La Asociación de Industriales de Puerto Rico endosó el Proyecto del Senado 372, destacando que este refuerza las garantías del debido proceso de ley y la transparencia en la adjudicación de procesos competitivos de adquisición gubernamental. La entidad coincidió en que la descalificación de licitadores debe proceder únicamente cuando se </w:t>
      </w:r>
      <w:r w:rsidRPr="0011293A">
        <w:rPr>
          <w:rFonts w:ascii="Book Antiqua" w:hAnsi="Book Antiqua"/>
          <w:color w:val="000000" w:themeColor="text1"/>
          <w:szCs w:val="24"/>
          <w:lang w:val="es-PR"/>
        </w:rPr>
        <w:lastRenderedPageBreak/>
        <w:t>trate de incumplimientos sustantivos y materiales, como la presentación tardía de ofertas o el incumplimiento de requisitos obligatorios del proceso.</w:t>
      </w:r>
    </w:p>
    <w:p w14:paraId="4ACCEA8B" w14:textId="77777777" w:rsidR="00D716EF" w:rsidRDefault="00D716EF" w:rsidP="00D716EF">
      <w:pPr>
        <w:ind w:firstLine="360"/>
        <w:contextualSpacing/>
        <w:jc w:val="both"/>
        <w:rPr>
          <w:rFonts w:ascii="Book Antiqua" w:hAnsi="Book Antiqua"/>
          <w:color w:val="000000" w:themeColor="text1"/>
          <w:szCs w:val="24"/>
          <w:lang w:val="es-PR"/>
        </w:rPr>
      </w:pPr>
    </w:p>
    <w:p w14:paraId="61D5D67A" w14:textId="156124C9" w:rsidR="003E44C3" w:rsidRPr="0011293A" w:rsidRDefault="005A38C6" w:rsidP="00D716EF">
      <w:pPr>
        <w:ind w:firstLine="360"/>
        <w:contextualSpacing/>
        <w:jc w:val="both"/>
        <w:rPr>
          <w:rFonts w:ascii="Book Antiqua" w:hAnsi="Book Antiqua"/>
          <w:color w:val="000000" w:themeColor="text1"/>
          <w:szCs w:val="24"/>
          <w:lang w:val="es-PR"/>
        </w:rPr>
      </w:pPr>
      <w:r w:rsidRPr="005A38C6">
        <w:rPr>
          <w:rFonts w:ascii="Book Antiqua" w:hAnsi="Book Antiqua"/>
          <w:color w:val="000000" w:themeColor="text1"/>
          <w:szCs w:val="24"/>
          <w:lang w:val="es-PR"/>
        </w:rPr>
        <w:t>La entidad coincidió en que la descalificación de un licitador como participante es procedente cuando existe incumplimiento de requisitos sustantivos y materiales, como la entrega de ofertas fuera del término establecido. No obstante, advirtió que la disposición no debe interpretarse de forma que permita la exclusión de licitadores por requisitos secundarios o subjetivos, tales como certificaciones privadas que no constituyen el único medio para acreditar la calidad del producto o servicio.</w:t>
      </w:r>
    </w:p>
    <w:p w14:paraId="0D7C9FB0" w14:textId="77777777" w:rsidR="00D716EF" w:rsidRDefault="00D716EF" w:rsidP="00D716EF">
      <w:pPr>
        <w:ind w:firstLine="360"/>
        <w:contextualSpacing/>
        <w:jc w:val="both"/>
        <w:rPr>
          <w:rFonts w:ascii="Book Antiqua" w:hAnsi="Book Antiqua"/>
          <w:color w:val="000000" w:themeColor="text1"/>
          <w:szCs w:val="24"/>
          <w:lang w:val="es-PR"/>
        </w:rPr>
      </w:pPr>
    </w:p>
    <w:p w14:paraId="46B1FC5E" w14:textId="324EA0D3" w:rsidR="00D54D92" w:rsidRPr="00D54D92" w:rsidRDefault="0011293A" w:rsidP="00D716EF">
      <w:pPr>
        <w:ind w:firstLine="360"/>
        <w:contextualSpacing/>
        <w:jc w:val="both"/>
        <w:rPr>
          <w:rFonts w:ascii="Book Antiqua" w:hAnsi="Book Antiqua"/>
          <w:color w:val="000000" w:themeColor="text1"/>
          <w:szCs w:val="24"/>
          <w:lang w:val="es-US"/>
        </w:rPr>
      </w:pPr>
      <w:r w:rsidRPr="0011293A">
        <w:rPr>
          <w:rFonts w:ascii="Book Antiqua" w:hAnsi="Book Antiqua"/>
          <w:color w:val="000000" w:themeColor="text1"/>
          <w:szCs w:val="24"/>
          <w:lang w:val="es-PR"/>
        </w:rPr>
        <w:t>No obstante, la Asociación expresó la importancia de que las disposiciones del proyecto no se interpreten de forma tal que permitan la exclusión de licitadores por requisitos secundarios o subjetivos, como la exigencia de certificaciones privadas o especificaciones que puedan utilizarse para excluir empresas locales. En ese sentido, resaltó la necesidad de armonizar la medida con la política pública de apoyo a la industria puertorriqueña, particularmente la Ley de la Inversión en la Industria Puertorriqueña</w:t>
      </w:r>
      <w:r w:rsidR="00D54D92">
        <w:rPr>
          <w:rFonts w:ascii="Book Antiqua" w:hAnsi="Book Antiqua"/>
          <w:color w:val="000000" w:themeColor="text1"/>
          <w:szCs w:val="24"/>
          <w:lang w:val="es-PR"/>
        </w:rPr>
        <w:t xml:space="preserve"> </w:t>
      </w:r>
      <w:r w:rsidR="00D54D92" w:rsidRPr="00D54D92">
        <w:rPr>
          <w:rFonts w:ascii="Book Antiqua" w:hAnsi="Book Antiqua"/>
          <w:color w:val="000000" w:themeColor="text1"/>
          <w:szCs w:val="24"/>
          <w:lang w:val="es-US"/>
        </w:rPr>
        <w:t>evitando prácticas excluyentes contrarias al desarrollo económico del País. Su endoso fue expresado sujeto a estas observaciones.</w:t>
      </w:r>
    </w:p>
    <w:p w14:paraId="7FA7034E"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4FEAC469" w14:textId="0106DF09" w:rsidR="00F10436" w:rsidRPr="001812F0" w:rsidRDefault="001812F0" w:rsidP="00D716EF">
      <w:pPr>
        <w:contextualSpacing/>
        <w:jc w:val="center"/>
        <w:rPr>
          <w:rFonts w:ascii="Book Antiqua" w:hAnsi="Book Antiqua"/>
          <w:b/>
          <w:bCs/>
          <w:caps/>
          <w:color w:val="000000" w:themeColor="text1"/>
          <w:szCs w:val="24"/>
          <w:lang w:val="es-PR"/>
        </w:rPr>
      </w:pPr>
      <w:r w:rsidRPr="001812F0">
        <w:rPr>
          <w:rFonts w:ascii="Book Antiqua" w:hAnsi="Book Antiqua"/>
          <w:b/>
          <w:bCs/>
          <w:caps/>
          <w:color w:val="000000" w:themeColor="text1"/>
          <w:szCs w:val="24"/>
          <w:lang w:val="es-PR"/>
        </w:rPr>
        <w:t>Asociación de Constructores de Puerto Rico</w:t>
      </w:r>
    </w:p>
    <w:p w14:paraId="5F784E87" w14:textId="77777777" w:rsidR="00D716EF" w:rsidRDefault="00D716EF" w:rsidP="00D716EF">
      <w:pPr>
        <w:ind w:firstLine="720"/>
        <w:contextualSpacing/>
        <w:jc w:val="both"/>
        <w:rPr>
          <w:rFonts w:ascii="Book Antiqua" w:hAnsi="Book Antiqua"/>
          <w:color w:val="000000" w:themeColor="text1"/>
          <w:szCs w:val="24"/>
          <w:lang w:val="es-PR"/>
        </w:rPr>
      </w:pPr>
    </w:p>
    <w:p w14:paraId="53638371" w14:textId="4536B987" w:rsidR="00F10436" w:rsidRPr="002B04F5" w:rsidRDefault="001B4DA7" w:rsidP="00D716EF">
      <w:pPr>
        <w:ind w:firstLine="720"/>
        <w:contextualSpacing/>
        <w:jc w:val="both"/>
        <w:rPr>
          <w:rFonts w:ascii="Book Antiqua" w:hAnsi="Book Antiqua"/>
          <w:color w:val="000000" w:themeColor="text1"/>
          <w:szCs w:val="24"/>
          <w:lang w:val="es-US"/>
        </w:rPr>
      </w:pPr>
      <w:r w:rsidRPr="001B4DA7">
        <w:rPr>
          <w:rFonts w:ascii="Book Antiqua" w:hAnsi="Book Antiqua"/>
          <w:color w:val="000000" w:themeColor="text1"/>
          <w:szCs w:val="24"/>
          <w:lang w:val="es-PR"/>
        </w:rPr>
        <w:t xml:space="preserve">La Asociación de </w:t>
      </w:r>
      <w:r>
        <w:rPr>
          <w:rFonts w:ascii="Book Antiqua" w:hAnsi="Book Antiqua"/>
          <w:color w:val="000000" w:themeColor="text1"/>
          <w:szCs w:val="24"/>
          <w:lang w:val="es-PR"/>
        </w:rPr>
        <w:t>Constructor</w:t>
      </w:r>
      <w:r w:rsidRPr="001B4DA7">
        <w:rPr>
          <w:rFonts w:ascii="Book Antiqua" w:hAnsi="Book Antiqua"/>
          <w:color w:val="000000" w:themeColor="text1"/>
          <w:szCs w:val="24"/>
          <w:lang w:val="es-PR"/>
        </w:rPr>
        <w:t xml:space="preserve">es de Puerto Rico (en adelante, “Asociación”) </w:t>
      </w:r>
      <w:r w:rsidR="00D8321B">
        <w:rPr>
          <w:rFonts w:ascii="Book Antiqua" w:hAnsi="Book Antiqua"/>
          <w:color w:val="000000" w:themeColor="text1"/>
          <w:szCs w:val="24"/>
          <w:lang w:val="es-PR"/>
        </w:rPr>
        <w:t xml:space="preserve">por conducto de </w:t>
      </w:r>
      <w:r w:rsidRPr="001B4DA7">
        <w:rPr>
          <w:rFonts w:ascii="Book Antiqua" w:hAnsi="Book Antiqua"/>
          <w:color w:val="000000" w:themeColor="text1"/>
          <w:szCs w:val="24"/>
          <w:lang w:val="es-PR"/>
        </w:rPr>
        <w:t xml:space="preserve">su presidente </w:t>
      </w:r>
      <w:r w:rsidR="005B19A0">
        <w:rPr>
          <w:rFonts w:ascii="Book Antiqua" w:hAnsi="Book Antiqua"/>
          <w:color w:val="000000" w:themeColor="text1"/>
          <w:szCs w:val="24"/>
          <w:lang w:val="es-PR"/>
        </w:rPr>
        <w:t>Agustín Rojo</w:t>
      </w:r>
      <w:r w:rsidR="008B19FE">
        <w:rPr>
          <w:rFonts w:ascii="Book Antiqua" w:hAnsi="Book Antiqua"/>
          <w:color w:val="000000" w:themeColor="text1"/>
          <w:szCs w:val="24"/>
          <w:lang w:val="es-PR"/>
        </w:rPr>
        <w:t xml:space="preserve"> ha emitido comentarios acerca del P. del S. 37</w:t>
      </w:r>
      <w:r w:rsidR="00FA223D">
        <w:rPr>
          <w:rFonts w:ascii="Book Antiqua" w:hAnsi="Book Antiqua"/>
          <w:color w:val="000000" w:themeColor="text1"/>
          <w:szCs w:val="24"/>
          <w:lang w:val="es-PR"/>
        </w:rPr>
        <w:t>2</w:t>
      </w:r>
      <w:r w:rsidR="008B19FE">
        <w:rPr>
          <w:rFonts w:ascii="Book Antiqua" w:hAnsi="Book Antiqua"/>
          <w:color w:val="000000" w:themeColor="text1"/>
          <w:szCs w:val="24"/>
          <w:lang w:val="es-PR"/>
        </w:rPr>
        <w:t>.</w:t>
      </w:r>
      <w:r w:rsidR="002B04F5">
        <w:rPr>
          <w:rFonts w:ascii="Book Antiqua" w:hAnsi="Book Antiqua"/>
          <w:color w:val="000000" w:themeColor="text1"/>
          <w:szCs w:val="24"/>
          <w:lang w:val="es-PR"/>
        </w:rPr>
        <w:t xml:space="preserve"> </w:t>
      </w:r>
      <w:r w:rsidR="002B04F5" w:rsidRPr="002B04F5">
        <w:rPr>
          <w:rFonts w:ascii="Book Antiqua" w:hAnsi="Book Antiqua"/>
          <w:color w:val="000000" w:themeColor="text1"/>
          <w:szCs w:val="24"/>
          <w:lang w:val="es-US"/>
        </w:rPr>
        <w:t>La organización favoreció los objetivos de la medida dirigidos a promover mayor claridad, transparencia y uniformidad en los procesos de subasta y contratación gubernamental.</w:t>
      </w:r>
    </w:p>
    <w:p w14:paraId="61035BBF" w14:textId="77777777" w:rsidR="00D716EF" w:rsidRDefault="00D716EF" w:rsidP="00D716EF">
      <w:pPr>
        <w:ind w:firstLine="720"/>
        <w:contextualSpacing/>
        <w:jc w:val="both"/>
        <w:rPr>
          <w:rFonts w:ascii="Book Antiqua" w:hAnsi="Book Antiqua"/>
          <w:color w:val="000000" w:themeColor="text1"/>
          <w:szCs w:val="24"/>
          <w:lang w:val="es-PR"/>
        </w:rPr>
      </w:pPr>
    </w:p>
    <w:p w14:paraId="21721085" w14:textId="6CC1C730" w:rsidR="00243B9A" w:rsidRPr="00243B9A" w:rsidRDefault="00243B9A" w:rsidP="00D716EF">
      <w:pPr>
        <w:ind w:firstLine="720"/>
        <w:contextualSpacing/>
        <w:jc w:val="both"/>
        <w:rPr>
          <w:rFonts w:ascii="Book Antiqua" w:hAnsi="Book Antiqua"/>
          <w:color w:val="000000" w:themeColor="text1"/>
          <w:lang w:val="es-US"/>
        </w:rPr>
      </w:pPr>
      <w:r>
        <w:rPr>
          <w:rFonts w:ascii="Book Antiqua" w:hAnsi="Book Antiqua"/>
          <w:color w:val="000000" w:themeColor="text1"/>
          <w:szCs w:val="24"/>
          <w:lang w:val="es-PR"/>
        </w:rPr>
        <w:t>L</w:t>
      </w:r>
      <w:r w:rsidRPr="00243B9A">
        <w:rPr>
          <w:rFonts w:ascii="Book Antiqua" w:hAnsi="Book Antiqua"/>
          <w:color w:val="000000" w:themeColor="text1"/>
          <w:lang w:val="es-US"/>
        </w:rPr>
        <w:t>a Asociación manifestó su respaldo parcial al Proyecto del Senado 372, al favorecer la claridad y uniformidad en los procesos de subasta y contratación pública. Coincidió en que resulta razonable considerar como no participantes a los licitadores que incumplen con requisitos objetivos y fatales, tales como la entrega tardía de ofertas o la incomparecencia a etapas compulsorias del proceso.</w:t>
      </w:r>
    </w:p>
    <w:p w14:paraId="2C32E7A4" w14:textId="77777777" w:rsidR="00D716EF" w:rsidRDefault="00D716EF" w:rsidP="00D716EF">
      <w:pPr>
        <w:ind w:firstLine="720"/>
        <w:contextualSpacing/>
        <w:jc w:val="both"/>
        <w:rPr>
          <w:rFonts w:ascii="Book Antiqua" w:hAnsi="Book Antiqua"/>
          <w:color w:val="000000" w:themeColor="text1"/>
          <w:szCs w:val="24"/>
          <w:lang w:val="es-US"/>
        </w:rPr>
      </w:pPr>
    </w:p>
    <w:p w14:paraId="2FF07EFB" w14:textId="58E38A06" w:rsidR="00243B9A" w:rsidRPr="00243B9A" w:rsidRDefault="00243B9A" w:rsidP="00D716EF">
      <w:pPr>
        <w:ind w:firstLine="720"/>
        <w:contextualSpacing/>
        <w:jc w:val="both"/>
        <w:rPr>
          <w:rFonts w:ascii="Book Antiqua" w:hAnsi="Book Antiqua"/>
          <w:color w:val="000000" w:themeColor="text1"/>
          <w:szCs w:val="24"/>
          <w:lang w:val="es-US"/>
        </w:rPr>
      </w:pPr>
      <w:r w:rsidRPr="00243B9A">
        <w:rPr>
          <w:rFonts w:ascii="Book Antiqua" w:hAnsi="Book Antiqua"/>
          <w:color w:val="000000" w:themeColor="text1"/>
          <w:szCs w:val="24"/>
          <w:lang w:val="es-US"/>
        </w:rPr>
        <w:t>Sin embargo, la Asociación recomendó que se consideren enmiendas a la medida para excluir de dicha descalificación aquellos incumplimientos de carácter formal o subjetivo, tales como certificaciones técnicas específicas o requisitos ambientales que puedan utilizarse de forma excluyente y contraria a leyes especiales. Asimismo, expresó no tener objeción a la enmienda que dispone la notificación adecuada de resoluciones de adjudicación enmendadas a las mismas partes notificadas originalmente.</w:t>
      </w:r>
    </w:p>
    <w:p w14:paraId="2401B99A"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5B0DF074"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4C22360F"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014C14D1"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3B386B05" w14:textId="5780BFD4" w:rsidR="00F10436" w:rsidRPr="002D70D7" w:rsidRDefault="002D70D7" w:rsidP="00D716EF">
      <w:pPr>
        <w:contextualSpacing/>
        <w:jc w:val="center"/>
        <w:rPr>
          <w:rFonts w:ascii="Book Antiqua" w:hAnsi="Book Antiqua"/>
          <w:b/>
          <w:bCs/>
          <w:caps/>
          <w:color w:val="000000" w:themeColor="text1"/>
          <w:szCs w:val="24"/>
          <w:lang w:val="es-PR"/>
        </w:rPr>
      </w:pPr>
      <w:r w:rsidRPr="002D70D7">
        <w:rPr>
          <w:rFonts w:ascii="Book Antiqua" w:hAnsi="Book Antiqua"/>
          <w:b/>
          <w:bCs/>
          <w:caps/>
          <w:color w:val="000000" w:themeColor="text1"/>
          <w:szCs w:val="24"/>
          <w:lang w:val="es-PR"/>
        </w:rPr>
        <w:lastRenderedPageBreak/>
        <w:t>Departamento de Desarrollo Económico</w:t>
      </w:r>
    </w:p>
    <w:p w14:paraId="1CDC572A" w14:textId="77777777" w:rsidR="00D716EF" w:rsidRDefault="00D716EF" w:rsidP="00D716EF">
      <w:pPr>
        <w:ind w:firstLine="720"/>
        <w:contextualSpacing/>
        <w:jc w:val="both"/>
        <w:rPr>
          <w:rFonts w:ascii="Book Antiqua" w:hAnsi="Book Antiqua"/>
          <w:color w:val="000000" w:themeColor="text1"/>
          <w:szCs w:val="24"/>
          <w:lang w:val="es-PR"/>
        </w:rPr>
      </w:pPr>
    </w:p>
    <w:p w14:paraId="686BC11F" w14:textId="5EC73F82" w:rsidR="008B19FE" w:rsidRPr="00CB06C8" w:rsidRDefault="000F1D49" w:rsidP="00D716EF">
      <w:pPr>
        <w:ind w:firstLine="720"/>
        <w:contextualSpacing/>
        <w:jc w:val="both"/>
        <w:rPr>
          <w:rFonts w:ascii="Book Antiqua" w:hAnsi="Book Antiqua"/>
          <w:color w:val="000000" w:themeColor="text1"/>
          <w:szCs w:val="24"/>
          <w:lang w:val="es-PR"/>
        </w:rPr>
      </w:pPr>
      <w:r w:rsidRPr="000F1D49">
        <w:rPr>
          <w:rFonts w:ascii="Book Antiqua" w:hAnsi="Book Antiqua"/>
          <w:color w:val="000000" w:themeColor="text1"/>
          <w:szCs w:val="24"/>
          <w:lang w:val="es-PR"/>
        </w:rPr>
        <w:t>El Departamento de Desarrollo Económico y Comercio (“DDEC”) present</w:t>
      </w:r>
      <w:r>
        <w:rPr>
          <w:rFonts w:ascii="Book Antiqua" w:hAnsi="Book Antiqua"/>
          <w:color w:val="000000" w:themeColor="text1"/>
          <w:szCs w:val="24"/>
          <w:lang w:val="es-PR"/>
        </w:rPr>
        <w:t>ó</w:t>
      </w:r>
      <w:r w:rsidRPr="000F1D49">
        <w:rPr>
          <w:rFonts w:ascii="Book Antiqua" w:hAnsi="Book Antiqua"/>
          <w:color w:val="000000" w:themeColor="text1"/>
          <w:szCs w:val="24"/>
          <w:lang w:val="es-PR"/>
        </w:rPr>
        <w:t xml:space="preserve"> </w:t>
      </w:r>
      <w:r>
        <w:rPr>
          <w:rFonts w:ascii="Book Antiqua" w:hAnsi="Book Antiqua"/>
          <w:color w:val="000000" w:themeColor="text1"/>
          <w:szCs w:val="24"/>
          <w:lang w:val="es-PR"/>
        </w:rPr>
        <w:t>un</w:t>
      </w:r>
      <w:r w:rsidRPr="000F1D49">
        <w:rPr>
          <w:rFonts w:ascii="Book Antiqua" w:hAnsi="Book Antiqua"/>
          <w:color w:val="000000" w:themeColor="text1"/>
          <w:szCs w:val="24"/>
          <w:lang w:val="es-PR"/>
        </w:rPr>
        <w:t xml:space="preserve"> memorial explicativo con respecto al</w:t>
      </w:r>
      <w:r w:rsidR="008B19FE">
        <w:rPr>
          <w:rFonts w:ascii="Book Antiqua" w:hAnsi="Book Antiqua"/>
          <w:color w:val="000000" w:themeColor="text1"/>
          <w:szCs w:val="24"/>
          <w:lang w:val="es-PR"/>
        </w:rPr>
        <w:t xml:space="preserve"> del P. del S. 37</w:t>
      </w:r>
      <w:r w:rsidR="009B52C4">
        <w:rPr>
          <w:rFonts w:ascii="Book Antiqua" w:hAnsi="Book Antiqua"/>
          <w:color w:val="000000" w:themeColor="text1"/>
          <w:szCs w:val="24"/>
          <w:lang w:val="es-PR"/>
        </w:rPr>
        <w:t>2</w:t>
      </w:r>
      <w:r w:rsidR="00CB06C8">
        <w:rPr>
          <w:rFonts w:ascii="Book Antiqua" w:hAnsi="Book Antiqua"/>
          <w:color w:val="000000" w:themeColor="text1"/>
          <w:szCs w:val="24"/>
          <w:lang w:val="es-PR"/>
        </w:rPr>
        <w:t xml:space="preserve"> a través de la </w:t>
      </w:r>
      <w:r w:rsidR="00CB06C8" w:rsidRPr="00CB06C8">
        <w:rPr>
          <w:rFonts w:ascii="Book Antiqua" w:hAnsi="Book Antiqua"/>
          <w:color w:val="000000" w:themeColor="text1"/>
          <w:szCs w:val="24"/>
          <w:lang w:val="es-US"/>
        </w:rPr>
        <w:t>Lcda. Vianca Rivera Román de la División de</w:t>
      </w:r>
      <w:r w:rsidR="00CB06C8">
        <w:rPr>
          <w:rFonts w:ascii="Book Antiqua" w:hAnsi="Book Antiqua"/>
          <w:color w:val="000000" w:themeColor="text1"/>
          <w:szCs w:val="24"/>
          <w:lang w:val="es-US"/>
        </w:rPr>
        <w:t xml:space="preserve"> </w:t>
      </w:r>
      <w:r w:rsidR="00CB06C8" w:rsidRPr="00CB06C8">
        <w:rPr>
          <w:rFonts w:ascii="Book Antiqua" w:hAnsi="Book Antiqua"/>
          <w:color w:val="000000" w:themeColor="text1"/>
          <w:szCs w:val="24"/>
          <w:lang w:val="es-US"/>
        </w:rPr>
        <w:t>Asuntos Legislativos - DDEC</w:t>
      </w:r>
      <w:r w:rsidR="008B19FE" w:rsidRPr="00CB06C8">
        <w:rPr>
          <w:rFonts w:ascii="Book Antiqua" w:hAnsi="Book Antiqua"/>
          <w:color w:val="000000" w:themeColor="text1"/>
          <w:szCs w:val="24"/>
          <w:lang w:val="es-PR"/>
        </w:rPr>
        <w:t>.</w:t>
      </w:r>
    </w:p>
    <w:p w14:paraId="03AD9410" w14:textId="77777777" w:rsidR="00D716EF" w:rsidRDefault="00D716EF" w:rsidP="00D716EF">
      <w:pPr>
        <w:ind w:firstLine="720"/>
        <w:contextualSpacing/>
        <w:jc w:val="both"/>
        <w:rPr>
          <w:rFonts w:ascii="Book Antiqua" w:hAnsi="Book Antiqua"/>
          <w:color w:val="000000" w:themeColor="text1"/>
          <w:szCs w:val="24"/>
          <w:lang w:val="es-US"/>
        </w:rPr>
      </w:pPr>
    </w:p>
    <w:p w14:paraId="09B4F4A3" w14:textId="4C08ABA4" w:rsidR="00393EE7" w:rsidRPr="00393EE7" w:rsidRDefault="00393EE7" w:rsidP="00D716EF">
      <w:pPr>
        <w:ind w:firstLine="720"/>
        <w:contextualSpacing/>
        <w:jc w:val="both"/>
        <w:rPr>
          <w:rFonts w:ascii="Book Antiqua" w:hAnsi="Book Antiqua"/>
          <w:color w:val="000000" w:themeColor="text1"/>
          <w:szCs w:val="24"/>
          <w:lang w:val="es-US"/>
        </w:rPr>
      </w:pPr>
      <w:r w:rsidRPr="00393EE7">
        <w:rPr>
          <w:rFonts w:ascii="Book Antiqua" w:hAnsi="Book Antiqua"/>
          <w:color w:val="000000" w:themeColor="text1"/>
          <w:szCs w:val="24"/>
          <w:lang w:val="es-US"/>
        </w:rPr>
        <w:t xml:space="preserve">El </w:t>
      </w:r>
      <w:r w:rsidR="00CB06C8">
        <w:rPr>
          <w:rFonts w:ascii="Book Antiqua" w:hAnsi="Book Antiqua"/>
          <w:color w:val="000000" w:themeColor="text1"/>
          <w:szCs w:val="24"/>
          <w:lang w:val="es-US"/>
        </w:rPr>
        <w:t>DDEC</w:t>
      </w:r>
      <w:r w:rsidRPr="00393EE7">
        <w:rPr>
          <w:rFonts w:ascii="Book Antiqua" w:hAnsi="Book Antiqua"/>
          <w:color w:val="000000" w:themeColor="text1"/>
          <w:szCs w:val="24"/>
          <w:lang w:val="es-US"/>
        </w:rPr>
        <w:t xml:space="preserve"> reconoció que, como agencia sujeta a la Ley Núm. 73</w:t>
      </w:r>
      <w:r w:rsidRPr="00393EE7">
        <w:rPr>
          <w:rFonts w:ascii="Cambria Math" w:hAnsi="Cambria Math" w:cs="Cambria Math"/>
          <w:color w:val="000000" w:themeColor="text1"/>
          <w:szCs w:val="24"/>
          <w:lang w:val="es-US"/>
        </w:rPr>
        <w:t>‑</w:t>
      </w:r>
      <w:r w:rsidRPr="00393EE7">
        <w:rPr>
          <w:rFonts w:ascii="Book Antiqua" w:hAnsi="Book Antiqua"/>
          <w:color w:val="000000" w:themeColor="text1"/>
          <w:szCs w:val="24"/>
          <w:lang w:val="es-US"/>
        </w:rPr>
        <w:t>2019, sus procesos de compra se rigen por los procedimientos administrados por la Administraci</w:t>
      </w:r>
      <w:r w:rsidRPr="00393EE7">
        <w:rPr>
          <w:rFonts w:ascii="Book Antiqua" w:hAnsi="Book Antiqua" w:cs="Book Antiqua"/>
          <w:color w:val="000000" w:themeColor="text1"/>
          <w:szCs w:val="24"/>
          <w:lang w:val="es-US"/>
        </w:rPr>
        <w:t>ó</w:t>
      </w:r>
      <w:r w:rsidRPr="00393EE7">
        <w:rPr>
          <w:rFonts w:ascii="Book Antiqua" w:hAnsi="Book Antiqua"/>
          <w:color w:val="000000" w:themeColor="text1"/>
          <w:szCs w:val="24"/>
          <w:lang w:val="es-US"/>
        </w:rPr>
        <w:t>n de Servicios Generales.</w:t>
      </w:r>
    </w:p>
    <w:p w14:paraId="24A5FCBC" w14:textId="77777777" w:rsidR="00D716EF" w:rsidRDefault="00D716EF" w:rsidP="00D716EF">
      <w:pPr>
        <w:ind w:firstLine="720"/>
        <w:contextualSpacing/>
        <w:jc w:val="both"/>
        <w:rPr>
          <w:rFonts w:ascii="Book Antiqua" w:hAnsi="Book Antiqua"/>
          <w:color w:val="000000" w:themeColor="text1"/>
          <w:szCs w:val="24"/>
          <w:lang w:val="es-US"/>
        </w:rPr>
      </w:pPr>
    </w:p>
    <w:p w14:paraId="2A899C0D" w14:textId="3515E95A" w:rsidR="00943C2C" w:rsidRPr="00943C2C" w:rsidRDefault="00393EE7" w:rsidP="00D716EF">
      <w:pPr>
        <w:ind w:firstLine="720"/>
        <w:contextualSpacing/>
        <w:jc w:val="both"/>
        <w:rPr>
          <w:rFonts w:ascii="Book Antiqua" w:hAnsi="Book Antiqua"/>
          <w:color w:val="000000" w:themeColor="text1"/>
          <w:szCs w:val="24"/>
          <w:lang w:val="es-PR"/>
        </w:rPr>
      </w:pPr>
      <w:r w:rsidRPr="00393EE7">
        <w:rPr>
          <w:rFonts w:ascii="Book Antiqua" w:hAnsi="Book Antiqua"/>
          <w:color w:val="000000" w:themeColor="text1"/>
          <w:szCs w:val="24"/>
          <w:lang w:val="es-US"/>
        </w:rPr>
        <w:t>El DDEC informó que da deferencia expresa a las recomendaciones y postura asumida por la ASG, como entidad con peritaje técnico y operacional en materia de compras gubernamentales. No presentó objeción a la medida y reconoció que cualquier cambio relacionado con los procesos de licitación debe evaluarse primordialmente desde la perspectiva de la ASG</w:t>
      </w:r>
      <w:r w:rsidR="00943C2C" w:rsidRPr="00943C2C">
        <w:rPr>
          <w:rFonts w:ascii="Book Antiqua" w:hAnsi="Book Antiqua"/>
          <w:color w:val="000000" w:themeColor="text1"/>
          <w:szCs w:val="24"/>
          <w:lang w:val="es-PR"/>
        </w:rPr>
        <w:t>.</w:t>
      </w:r>
    </w:p>
    <w:p w14:paraId="5300FD5D" w14:textId="77777777" w:rsidR="00D716EF" w:rsidRDefault="00D716EF" w:rsidP="00D716EF">
      <w:pPr>
        <w:contextualSpacing/>
        <w:rPr>
          <w:rFonts w:ascii="Book Antiqua" w:hAnsi="Book Antiqua"/>
          <w:b/>
          <w:bCs/>
          <w:color w:val="000000" w:themeColor="text1"/>
          <w:szCs w:val="24"/>
          <w:lang w:val="es-US"/>
        </w:rPr>
      </w:pPr>
    </w:p>
    <w:p w14:paraId="61ACCC28" w14:textId="2CB5BC2E" w:rsidR="002D5DFF" w:rsidRPr="002D5DFF" w:rsidRDefault="002D5DFF" w:rsidP="00D716EF">
      <w:pPr>
        <w:contextualSpacing/>
        <w:jc w:val="center"/>
        <w:rPr>
          <w:rFonts w:ascii="Book Antiqua" w:hAnsi="Book Antiqua"/>
          <w:b/>
          <w:bCs/>
          <w:color w:val="000000" w:themeColor="text1"/>
          <w:szCs w:val="24"/>
          <w:lang w:val="es-US"/>
        </w:rPr>
      </w:pPr>
      <w:r w:rsidRPr="002D5DFF">
        <w:rPr>
          <w:rFonts w:ascii="Book Antiqua" w:hAnsi="Book Antiqua"/>
          <w:b/>
          <w:bCs/>
          <w:color w:val="000000" w:themeColor="text1"/>
          <w:szCs w:val="24"/>
          <w:lang w:val="es-US"/>
        </w:rPr>
        <w:t>CENTRO UNIDO DE DETALLISTAS</w:t>
      </w:r>
    </w:p>
    <w:p w14:paraId="4BB83E73" w14:textId="77777777" w:rsidR="00D716EF" w:rsidRDefault="00D716EF" w:rsidP="00D716EF">
      <w:pPr>
        <w:ind w:firstLine="720"/>
        <w:contextualSpacing/>
        <w:jc w:val="both"/>
        <w:rPr>
          <w:rFonts w:ascii="Book Antiqua" w:hAnsi="Book Antiqua"/>
          <w:color w:val="000000" w:themeColor="text1"/>
          <w:szCs w:val="24"/>
          <w:lang w:val="es-PR"/>
        </w:rPr>
      </w:pPr>
    </w:p>
    <w:p w14:paraId="380F040B" w14:textId="2C9E3086" w:rsidR="008B19FE" w:rsidRDefault="004F76CF" w:rsidP="00D716EF">
      <w:pPr>
        <w:ind w:firstLine="720"/>
        <w:contextualSpacing/>
        <w:jc w:val="both"/>
        <w:rPr>
          <w:rFonts w:ascii="Book Antiqua" w:hAnsi="Book Antiqua"/>
          <w:color w:val="000000" w:themeColor="text1"/>
          <w:szCs w:val="24"/>
          <w:lang w:val="es-PR"/>
        </w:rPr>
      </w:pPr>
      <w:r w:rsidRPr="004F76CF">
        <w:rPr>
          <w:rFonts w:ascii="Book Antiqua" w:hAnsi="Book Antiqua"/>
          <w:color w:val="000000" w:themeColor="text1"/>
          <w:szCs w:val="24"/>
          <w:lang w:val="es-PR"/>
        </w:rPr>
        <w:t>El Centro Unido de Detallistas</w:t>
      </w:r>
      <w:r w:rsidR="008B19FE">
        <w:rPr>
          <w:rFonts w:ascii="Book Antiqua" w:hAnsi="Book Antiqua"/>
          <w:color w:val="000000" w:themeColor="text1"/>
          <w:szCs w:val="24"/>
          <w:lang w:val="es-PR"/>
        </w:rPr>
        <w:t xml:space="preserve"> (en adelante, </w:t>
      </w:r>
      <w:r>
        <w:rPr>
          <w:rFonts w:ascii="Book Antiqua" w:hAnsi="Book Antiqua"/>
          <w:color w:val="000000" w:themeColor="text1"/>
          <w:szCs w:val="24"/>
          <w:lang w:val="es-PR"/>
        </w:rPr>
        <w:t>CUD</w:t>
      </w:r>
      <w:r w:rsidR="008B19FE">
        <w:rPr>
          <w:rFonts w:ascii="Book Antiqua" w:hAnsi="Book Antiqua"/>
          <w:color w:val="000000" w:themeColor="text1"/>
          <w:szCs w:val="24"/>
          <w:lang w:val="es-PR"/>
        </w:rPr>
        <w:t xml:space="preserve">) representado por su </w:t>
      </w:r>
      <w:r w:rsidR="00CC6E7E">
        <w:rPr>
          <w:rFonts w:ascii="Book Antiqua" w:hAnsi="Book Antiqua"/>
          <w:color w:val="000000" w:themeColor="text1"/>
          <w:szCs w:val="24"/>
          <w:lang w:val="es-PR"/>
        </w:rPr>
        <w:t>presidente</w:t>
      </w:r>
      <w:r w:rsidR="008B19FE">
        <w:rPr>
          <w:rFonts w:ascii="Book Antiqua" w:hAnsi="Book Antiqua"/>
          <w:color w:val="000000" w:themeColor="text1"/>
          <w:szCs w:val="24"/>
          <w:lang w:val="es-PR"/>
        </w:rPr>
        <w:t>,</w:t>
      </w:r>
      <w:r w:rsidR="003D46C3">
        <w:rPr>
          <w:rFonts w:ascii="Book Antiqua" w:hAnsi="Book Antiqua"/>
          <w:color w:val="000000" w:themeColor="text1"/>
          <w:szCs w:val="24"/>
          <w:lang w:val="es-PR"/>
        </w:rPr>
        <w:t xml:space="preserve"> </w:t>
      </w:r>
      <w:r w:rsidR="00CC6E7E">
        <w:rPr>
          <w:rFonts w:ascii="Book Antiqua" w:hAnsi="Book Antiqua"/>
          <w:color w:val="000000" w:themeColor="text1"/>
          <w:szCs w:val="24"/>
          <w:lang w:val="es-PR"/>
        </w:rPr>
        <w:t>Dr. Ramón Barquin</w:t>
      </w:r>
      <w:r w:rsidR="003D46C3">
        <w:rPr>
          <w:rFonts w:ascii="Book Antiqua" w:hAnsi="Book Antiqua"/>
          <w:color w:val="000000" w:themeColor="text1"/>
          <w:szCs w:val="24"/>
          <w:lang w:val="es-PR"/>
        </w:rPr>
        <w:t xml:space="preserve">, ha emitido comentarios </w:t>
      </w:r>
      <w:r w:rsidR="005253DD">
        <w:rPr>
          <w:rFonts w:ascii="Book Antiqua" w:hAnsi="Book Antiqua"/>
          <w:color w:val="000000" w:themeColor="text1"/>
          <w:szCs w:val="24"/>
          <w:lang w:val="es-PR"/>
        </w:rPr>
        <w:t xml:space="preserve">y recomendaciones </w:t>
      </w:r>
      <w:r w:rsidR="003D46C3">
        <w:rPr>
          <w:rFonts w:ascii="Book Antiqua" w:hAnsi="Book Antiqua"/>
          <w:color w:val="000000" w:themeColor="text1"/>
          <w:szCs w:val="24"/>
          <w:lang w:val="es-PR"/>
        </w:rPr>
        <w:t>acerca del P. del S. 37</w:t>
      </w:r>
      <w:r w:rsidR="00FA5383">
        <w:rPr>
          <w:rFonts w:ascii="Book Antiqua" w:hAnsi="Book Antiqua"/>
          <w:color w:val="000000" w:themeColor="text1"/>
          <w:szCs w:val="24"/>
          <w:lang w:val="es-PR"/>
        </w:rPr>
        <w:t>2</w:t>
      </w:r>
      <w:r w:rsidR="003D46C3">
        <w:rPr>
          <w:rFonts w:ascii="Book Antiqua" w:hAnsi="Book Antiqua"/>
          <w:color w:val="000000" w:themeColor="text1"/>
          <w:szCs w:val="24"/>
          <w:lang w:val="es-PR"/>
        </w:rPr>
        <w:t xml:space="preserve">. </w:t>
      </w:r>
    </w:p>
    <w:p w14:paraId="27E0EB19" w14:textId="77777777" w:rsidR="00D716EF" w:rsidRDefault="00D716EF" w:rsidP="00D716EF">
      <w:pPr>
        <w:ind w:firstLine="720"/>
        <w:contextualSpacing/>
        <w:jc w:val="both"/>
        <w:rPr>
          <w:rFonts w:ascii="Book Antiqua" w:hAnsi="Book Antiqua"/>
          <w:color w:val="000000" w:themeColor="text1"/>
          <w:szCs w:val="24"/>
          <w:lang w:val="es-US"/>
        </w:rPr>
      </w:pPr>
    </w:p>
    <w:p w14:paraId="28D680EE" w14:textId="76409D56" w:rsidR="00CF0A71" w:rsidRPr="008B19FE" w:rsidRDefault="008B6D75" w:rsidP="00D716EF">
      <w:pPr>
        <w:ind w:firstLine="720"/>
        <w:contextualSpacing/>
        <w:jc w:val="both"/>
        <w:rPr>
          <w:rFonts w:ascii="Book Antiqua" w:hAnsi="Book Antiqua"/>
          <w:color w:val="000000" w:themeColor="text1"/>
          <w:szCs w:val="24"/>
          <w:lang w:val="es-PR"/>
        </w:rPr>
      </w:pPr>
      <w:r w:rsidRPr="008B6D75">
        <w:rPr>
          <w:rFonts w:ascii="Book Antiqua" w:hAnsi="Book Antiqua"/>
          <w:color w:val="000000" w:themeColor="text1"/>
          <w:szCs w:val="24"/>
          <w:lang w:val="es-US"/>
        </w:rPr>
        <w:t>El Centro Unido de Detallistas expresó su oposición al Proyecto del Senado 372. La entidad sostuvo que un licitador que presenta una oferta fuera del término establecido no debe ser considerado participante del proceso ni ostentar derecho alguno a impugnar, al entender que ello podría generar más dilaciones en los procesos de adjudicación. Según el CUD, permitir la impugnación desde el rechazo de una oferta tardía no evitaría retrasos, sino que podría trasladarlos a una etapa anterior del proceso.</w:t>
      </w:r>
    </w:p>
    <w:p w14:paraId="161BCA39" w14:textId="77777777" w:rsidR="00D716EF" w:rsidRDefault="00D716EF" w:rsidP="00D716EF">
      <w:pPr>
        <w:ind w:firstLine="720"/>
        <w:contextualSpacing/>
        <w:jc w:val="center"/>
        <w:rPr>
          <w:rFonts w:ascii="Book Antiqua" w:hAnsi="Book Antiqua"/>
          <w:b/>
          <w:bCs/>
          <w:caps/>
          <w:color w:val="000000" w:themeColor="text1"/>
          <w:szCs w:val="24"/>
          <w:lang w:val="es-PR"/>
        </w:rPr>
      </w:pPr>
    </w:p>
    <w:p w14:paraId="574BE894" w14:textId="7AA7E57C" w:rsidR="00F10436" w:rsidRPr="00CC6E7E" w:rsidRDefault="00CC6E7E" w:rsidP="00D716EF">
      <w:pPr>
        <w:contextualSpacing/>
        <w:jc w:val="center"/>
        <w:rPr>
          <w:rFonts w:ascii="Book Antiqua" w:hAnsi="Book Antiqua"/>
          <w:b/>
          <w:bCs/>
          <w:caps/>
          <w:color w:val="000000" w:themeColor="text1"/>
          <w:szCs w:val="24"/>
          <w:lang w:val="es-PR"/>
        </w:rPr>
      </w:pPr>
      <w:r w:rsidRPr="00CC6E7E">
        <w:rPr>
          <w:rFonts w:ascii="Book Antiqua" w:hAnsi="Book Antiqua"/>
          <w:b/>
          <w:bCs/>
          <w:caps/>
          <w:color w:val="000000" w:themeColor="text1"/>
          <w:szCs w:val="24"/>
          <w:lang w:val="es-PR"/>
        </w:rPr>
        <w:t>Asociación para la Micro, Pequeñas y Medianas Empresas</w:t>
      </w:r>
    </w:p>
    <w:p w14:paraId="31546155" w14:textId="77777777" w:rsidR="00D716EF" w:rsidRDefault="00D716EF" w:rsidP="00D716EF">
      <w:pPr>
        <w:ind w:firstLine="720"/>
        <w:contextualSpacing/>
        <w:jc w:val="both"/>
        <w:rPr>
          <w:rFonts w:ascii="Book Antiqua" w:hAnsi="Book Antiqua"/>
          <w:color w:val="000000" w:themeColor="text1"/>
          <w:szCs w:val="24"/>
          <w:lang w:val="es-ES"/>
        </w:rPr>
      </w:pPr>
    </w:p>
    <w:p w14:paraId="0C29B32E" w14:textId="4329B011" w:rsidR="003D46C3" w:rsidRPr="003D46C3" w:rsidRDefault="003D46C3" w:rsidP="00D716EF">
      <w:pPr>
        <w:ind w:firstLine="720"/>
        <w:contextualSpacing/>
        <w:jc w:val="both"/>
        <w:rPr>
          <w:rFonts w:ascii="Book Antiqua" w:hAnsi="Book Antiqua"/>
          <w:color w:val="000000" w:themeColor="text1"/>
          <w:szCs w:val="24"/>
          <w:lang w:val="es-ES"/>
        </w:rPr>
      </w:pPr>
      <w:r w:rsidRPr="003D46C3">
        <w:rPr>
          <w:rFonts w:ascii="Book Antiqua" w:hAnsi="Book Antiqua"/>
          <w:color w:val="000000" w:themeColor="text1"/>
          <w:szCs w:val="24"/>
          <w:lang w:val="es-ES"/>
        </w:rPr>
        <w:t xml:space="preserve">La </w:t>
      </w:r>
      <w:r w:rsidR="007A1D86">
        <w:rPr>
          <w:rFonts w:ascii="Book Antiqua" w:hAnsi="Book Antiqua"/>
          <w:color w:val="000000" w:themeColor="text1"/>
          <w:szCs w:val="24"/>
          <w:lang w:val="es-ES"/>
        </w:rPr>
        <w:t>Asociación para la Micro, Pequeñas y Medianas Empresas</w:t>
      </w:r>
      <w:r w:rsidR="00733CF8">
        <w:rPr>
          <w:rFonts w:ascii="Book Antiqua" w:hAnsi="Book Antiqua"/>
          <w:color w:val="000000" w:themeColor="text1"/>
          <w:szCs w:val="24"/>
          <w:lang w:val="es-ES"/>
        </w:rPr>
        <w:t xml:space="preserve"> </w:t>
      </w:r>
      <w:r w:rsidR="00733CF8" w:rsidRPr="00733CF8">
        <w:rPr>
          <w:rFonts w:ascii="Book Antiqua" w:hAnsi="Book Antiqua"/>
          <w:color w:val="000000" w:themeColor="text1"/>
          <w:szCs w:val="24"/>
          <w:lang w:val="es-ES"/>
        </w:rPr>
        <w:t>(ASOPYMES / PYMES)</w:t>
      </w:r>
      <w:r>
        <w:rPr>
          <w:rFonts w:ascii="Book Antiqua" w:hAnsi="Book Antiqua"/>
          <w:color w:val="000000" w:themeColor="text1"/>
          <w:szCs w:val="24"/>
          <w:lang w:val="es-ES"/>
        </w:rPr>
        <w:t xml:space="preserve"> </w:t>
      </w:r>
      <w:r w:rsidR="006F1B9D">
        <w:rPr>
          <w:rFonts w:ascii="Book Antiqua" w:hAnsi="Book Antiqua"/>
          <w:color w:val="000000" w:themeColor="text1"/>
          <w:szCs w:val="24"/>
          <w:lang w:val="es-ES"/>
        </w:rPr>
        <w:t xml:space="preserve">ha </w:t>
      </w:r>
      <w:r w:rsidR="006F1B9D" w:rsidRPr="006F1B9D">
        <w:rPr>
          <w:rFonts w:ascii="Book Antiqua" w:hAnsi="Book Antiqua"/>
          <w:color w:val="000000" w:themeColor="text1"/>
          <w:szCs w:val="24"/>
          <w:lang w:val="es-ES"/>
        </w:rPr>
        <w:t>emitido comentarios acerca del P. del S. 37</w:t>
      </w:r>
      <w:r w:rsidR="00FA5383">
        <w:rPr>
          <w:rFonts w:ascii="Book Antiqua" w:hAnsi="Book Antiqua"/>
          <w:color w:val="000000" w:themeColor="text1"/>
          <w:szCs w:val="24"/>
          <w:lang w:val="es-ES"/>
        </w:rPr>
        <w:t>2</w:t>
      </w:r>
      <w:r w:rsidR="006F1B9D" w:rsidRPr="006F1B9D">
        <w:rPr>
          <w:rFonts w:ascii="Book Antiqua" w:hAnsi="Book Antiqua"/>
          <w:color w:val="000000" w:themeColor="text1"/>
          <w:szCs w:val="24"/>
          <w:lang w:val="es-ES"/>
        </w:rPr>
        <w:t xml:space="preserve"> a través de ponencia presentada por su presidente </w:t>
      </w:r>
      <w:r w:rsidR="006F1B9D">
        <w:rPr>
          <w:rFonts w:ascii="Book Antiqua" w:hAnsi="Book Antiqua"/>
          <w:color w:val="000000" w:themeColor="text1"/>
          <w:szCs w:val="24"/>
          <w:lang w:val="es-ES"/>
        </w:rPr>
        <w:t>Ing. Francisco Santana Montalvo</w:t>
      </w:r>
      <w:r w:rsidRPr="003D46C3">
        <w:rPr>
          <w:rFonts w:ascii="Book Antiqua" w:hAnsi="Book Antiqua"/>
          <w:color w:val="000000" w:themeColor="text1"/>
          <w:szCs w:val="24"/>
          <w:lang w:val="es-ES"/>
        </w:rPr>
        <w:t>.</w:t>
      </w:r>
    </w:p>
    <w:p w14:paraId="1CB0F8C0" w14:textId="77777777" w:rsidR="00D716EF" w:rsidRDefault="00D716EF" w:rsidP="00D716EF">
      <w:pPr>
        <w:ind w:firstLine="720"/>
        <w:contextualSpacing/>
        <w:jc w:val="both"/>
        <w:rPr>
          <w:rFonts w:ascii="Book Antiqua" w:hAnsi="Book Antiqua"/>
          <w:color w:val="000000" w:themeColor="text1"/>
          <w:szCs w:val="24"/>
          <w:lang w:val="es-ES"/>
        </w:rPr>
      </w:pPr>
    </w:p>
    <w:p w14:paraId="392D78F6" w14:textId="36169DD0" w:rsidR="003D46C3" w:rsidRDefault="008E704D" w:rsidP="00D716EF">
      <w:pPr>
        <w:ind w:firstLine="720"/>
        <w:contextualSpacing/>
        <w:jc w:val="both"/>
        <w:rPr>
          <w:rFonts w:ascii="Book Antiqua" w:hAnsi="Book Antiqua"/>
          <w:color w:val="000000" w:themeColor="text1"/>
          <w:szCs w:val="24"/>
          <w:lang w:val="es-ES"/>
        </w:rPr>
      </w:pPr>
      <w:r w:rsidRPr="008E704D">
        <w:rPr>
          <w:rFonts w:ascii="Book Antiqua" w:hAnsi="Book Antiqua"/>
          <w:color w:val="000000" w:themeColor="text1"/>
          <w:szCs w:val="24"/>
          <w:lang w:val="es-ES"/>
        </w:rPr>
        <w:t>ASOPYMES reconoció que la medida persigue mayor claridad y uniformidad en los procesos de licitación; sin embargo, expresó preocupaciones relacionadas con la posibilidad de permitir impugnaciones por parte de licitadores que incumplieron requisitos esenciales, como la fecha límite de presentación de ofertas. La organización enfatizó la necesidad de una aplicación estricta y uniforme de los requisitos iniciales del proceso y sostuvo que solo quienes cumplan con dichos requisitos deben ostentar la condición de licitadores participantes y el derecho a impugnar.</w:t>
      </w:r>
    </w:p>
    <w:p w14:paraId="2A01F572" w14:textId="77777777" w:rsidR="00D716EF" w:rsidRPr="005C2DC4" w:rsidRDefault="00D716EF" w:rsidP="00D716EF">
      <w:pPr>
        <w:contextualSpacing/>
        <w:rPr>
          <w:rFonts w:ascii="Book Antiqua" w:hAnsi="Book Antiqua"/>
          <w:b/>
          <w:bCs/>
          <w:caps/>
          <w:color w:val="000000" w:themeColor="text1"/>
          <w:szCs w:val="24"/>
          <w:lang w:val="es-ES"/>
        </w:rPr>
      </w:pPr>
    </w:p>
    <w:p w14:paraId="0549D0F1" w14:textId="5CD31CBA" w:rsidR="00F26041" w:rsidRPr="00F55B8B" w:rsidRDefault="00F55B8B" w:rsidP="00D716EF">
      <w:pPr>
        <w:contextualSpacing/>
        <w:jc w:val="center"/>
        <w:rPr>
          <w:rFonts w:ascii="Book Antiqua" w:hAnsi="Book Antiqua"/>
          <w:b/>
          <w:bCs/>
          <w:caps/>
          <w:color w:val="000000" w:themeColor="text1"/>
          <w:szCs w:val="24"/>
        </w:rPr>
      </w:pPr>
      <w:r w:rsidRPr="00F55B8B">
        <w:rPr>
          <w:rFonts w:ascii="Book Antiqua" w:hAnsi="Book Antiqua"/>
          <w:b/>
          <w:bCs/>
          <w:caps/>
          <w:color w:val="000000" w:themeColor="text1"/>
          <w:szCs w:val="24"/>
        </w:rPr>
        <w:lastRenderedPageBreak/>
        <w:t>Puerto Rico Small Business and Technology Development Center</w:t>
      </w:r>
    </w:p>
    <w:p w14:paraId="1CE3B5EB" w14:textId="77777777" w:rsidR="00D716EF" w:rsidRPr="005C2DC4" w:rsidRDefault="00D716EF" w:rsidP="00D716EF">
      <w:pPr>
        <w:ind w:firstLine="720"/>
        <w:contextualSpacing/>
        <w:jc w:val="both"/>
        <w:rPr>
          <w:rFonts w:ascii="Book Antiqua" w:hAnsi="Book Antiqua"/>
          <w:color w:val="000000" w:themeColor="text1"/>
          <w:szCs w:val="24"/>
        </w:rPr>
      </w:pPr>
    </w:p>
    <w:p w14:paraId="53E8E643" w14:textId="2831E324" w:rsidR="00C64F76" w:rsidRPr="00562CF9" w:rsidRDefault="008D06D4" w:rsidP="00D716EF">
      <w:pPr>
        <w:ind w:firstLine="720"/>
        <w:contextualSpacing/>
        <w:jc w:val="both"/>
        <w:rPr>
          <w:rFonts w:ascii="Book Antiqua" w:hAnsi="Book Antiqua"/>
          <w:color w:val="000000" w:themeColor="text1"/>
          <w:szCs w:val="24"/>
          <w:lang w:val="es-US"/>
        </w:rPr>
      </w:pPr>
      <w:r w:rsidRPr="00562CF9">
        <w:rPr>
          <w:rFonts w:ascii="Book Antiqua" w:hAnsi="Book Antiqua"/>
          <w:color w:val="000000" w:themeColor="text1"/>
          <w:szCs w:val="24"/>
          <w:lang w:val="es-US"/>
        </w:rPr>
        <w:t xml:space="preserve">El Puerto Rico Small Business and </w:t>
      </w:r>
      <w:proofErr w:type="spellStart"/>
      <w:r w:rsidRPr="00562CF9">
        <w:rPr>
          <w:rFonts w:ascii="Book Antiqua" w:hAnsi="Book Antiqua"/>
          <w:color w:val="000000" w:themeColor="text1"/>
          <w:szCs w:val="24"/>
          <w:lang w:val="es-US"/>
        </w:rPr>
        <w:t>Tech</w:t>
      </w:r>
      <w:r w:rsidR="007E7A2F" w:rsidRPr="00562CF9">
        <w:rPr>
          <w:rFonts w:ascii="Book Antiqua" w:hAnsi="Book Antiqua"/>
          <w:color w:val="000000" w:themeColor="text1"/>
          <w:szCs w:val="24"/>
          <w:lang w:val="es-US"/>
        </w:rPr>
        <w:t>nology</w:t>
      </w:r>
      <w:proofErr w:type="spellEnd"/>
      <w:r w:rsidR="007E7A2F" w:rsidRPr="00562CF9">
        <w:rPr>
          <w:rFonts w:ascii="Book Antiqua" w:hAnsi="Book Antiqua"/>
          <w:color w:val="000000" w:themeColor="text1"/>
          <w:szCs w:val="24"/>
          <w:lang w:val="es-US"/>
        </w:rPr>
        <w:t xml:space="preserve"> </w:t>
      </w:r>
      <w:proofErr w:type="spellStart"/>
      <w:r w:rsidR="007E7A2F" w:rsidRPr="00562CF9">
        <w:rPr>
          <w:rFonts w:ascii="Book Antiqua" w:hAnsi="Book Antiqua"/>
          <w:color w:val="000000" w:themeColor="text1"/>
          <w:szCs w:val="24"/>
          <w:lang w:val="es-US"/>
        </w:rPr>
        <w:t>Development</w:t>
      </w:r>
      <w:proofErr w:type="spellEnd"/>
      <w:r w:rsidR="007E7A2F" w:rsidRPr="00562CF9">
        <w:rPr>
          <w:rFonts w:ascii="Book Antiqua" w:hAnsi="Book Antiqua"/>
          <w:color w:val="000000" w:themeColor="text1"/>
          <w:szCs w:val="24"/>
          <w:lang w:val="es-US"/>
        </w:rPr>
        <w:t xml:space="preserve"> Center</w:t>
      </w:r>
      <w:r w:rsidRPr="00562CF9">
        <w:rPr>
          <w:rFonts w:ascii="Book Antiqua" w:hAnsi="Book Antiqua"/>
          <w:color w:val="000000" w:themeColor="text1"/>
          <w:szCs w:val="24"/>
          <w:lang w:val="es-US"/>
        </w:rPr>
        <w:t xml:space="preserve"> (</w:t>
      </w:r>
      <w:r w:rsidR="00F008BC" w:rsidRPr="00562CF9">
        <w:rPr>
          <w:rFonts w:ascii="Book Antiqua" w:hAnsi="Book Antiqua"/>
          <w:color w:val="000000" w:themeColor="text1"/>
          <w:szCs w:val="24"/>
          <w:lang w:val="es-US"/>
        </w:rPr>
        <w:t>en adelante</w:t>
      </w:r>
      <w:r w:rsidR="00562CF9">
        <w:rPr>
          <w:rFonts w:ascii="Book Antiqua" w:hAnsi="Book Antiqua"/>
          <w:color w:val="000000" w:themeColor="text1"/>
          <w:szCs w:val="24"/>
          <w:lang w:val="es-US"/>
        </w:rPr>
        <w:t xml:space="preserve"> </w:t>
      </w:r>
      <w:r w:rsidR="00562CF9" w:rsidRPr="00562CF9">
        <w:rPr>
          <w:rFonts w:ascii="Book Antiqua" w:hAnsi="Book Antiqua"/>
          <w:color w:val="000000" w:themeColor="text1"/>
          <w:szCs w:val="24"/>
          <w:lang w:val="es-US"/>
        </w:rPr>
        <w:t>“</w:t>
      </w:r>
      <w:r w:rsidR="00562CF9" w:rsidRPr="00562CF9">
        <w:rPr>
          <w:rFonts w:ascii="Book Antiqua" w:hAnsi="Book Antiqua"/>
          <w:b/>
          <w:bCs/>
          <w:color w:val="000000" w:themeColor="text1"/>
          <w:szCs w:val="24"/>
          <w:lang w:val="es-US"/>
        </w:rPr>
        <w:t>PR SBTDC</w:t>
      </w:r>
      <w:r w:rsidR="0024064E">
        <w:rPr>
          <w:rFonts w:ascii="Book Antiqua" w:hAnsi="Book Antiqua"/>
          <w:b/>
          <w:bCs/>
          <w:color w:val="000000" w:themeColor="text1"/>
          <w:szCs w:val="24"/>
          <w:lang w:val="es-US"/>
        </w:rPr>
        <w:t>”)</w:t>
      </w:r>
      <w:r w:rsidRPr="008D06D4">
        <w:rPr>
          <w:rFonts w:ascii="Book Antiqua" w:hAnsi="Book Antiqua"/>
          <w:color w:val="000000" w:themeColor="text1"/>
          <w:szCs w:val="24"/>
          <w:lang w:val="es-ES"/>
        </w:rPr>
        <w:t xml:space="preserve"> ha emitido comentarios acerca del P. del S. 37</w:t>
      </w:r>
      <w:r w:rsidR="0072455A">
        <w:rPr>
          <w:rFonts w:ascii="Book Antiqua" w:hAnsi="Book Antiqua"/>
          <w:color w:val="000000" w:themeColor="text1"/>
          <w:szCs w:val="24"/>
          <w:lang w:val="es-ES"/>
        </w:rPr>
        <w:t>2</w:t>
      </w:r>
      <w:r w:rsidRPr="008D06D4">
        <w:rPr>
          <w:rFonts w:ascii="Book Antiqua" w:hAnsi="Book Antiqua"/>
          <w:color w:val="000000" w:themeColor="text1"/>
          <w:szCs w:val="24"/>
          <w:lang w:val="es-ES"/>
        </w:rPr>
        <w:t xml:space="preserve"> a través de ponencia presentada por </w:t>
      </w:r>
      <w:r w:rsidR="00562CF9">
        <w:rPr>
          <w:rFonts w:ascii="Book Antiqua" w:hAnsi="Book Antiqua"/>
          <w:color w:val="000000" w:themeColor="text1"/>
          <w:szCs w:val="24"/>
          <w:lang w:val="es-ES"/>
        </w:rPr>
        <w:t xml:space="preserve">conducto de </w:t>
      </w:r>
      <w:r w:rsidRPr="008D06D4">
        <w:rPr>
          <w:rFonts w:ascii="Book Antiqua" w:hAnsi="Book Antiqua"/>
          <w:color w:val="000000" w:themeColor="text1"/>
          <w:szCs w:val="24"/>
          <w:lang w:val="es-ES"/>
        </w:rPr>
        <w:t xml:space="preserve">su </w:t>
      </w:r>
      <w:proofErr w:type="gramStart"/>
      <w:r w:rsidR="00562CF9">
        <w:rPr>
          <w:rFonts w:ascii="Book Antiqua" w:hAnsi="Book Antiqua"/>
          <w:color w:val="000000" w:themeColor="text1"/>
          <w:szCs w:val="24"/>
          <w:lang w:val="es-ES"/>
        </w:rPr>
        <w:t>Directora</w:t>
      </w:r>
      <w:proofErr w:type="gramEnd"/>
      <w:r w:rsidR="00562CF9">
        <w:rPr>
          <w:rFonts w:ascii="Book Antiqua" w:hAnsi="Book Antiqua"/>
          <w:color w:val="000000" w:themeColor="text1"/>
          <w:szCs w:val="24"/>
          <w:lang w:val="es-ES"/>
        </w:rPr>
        <w:t xml:space="preserve"> Estatal</w:t>
      </w:r>
      <w:r w:rsidR="0024064E">
        <w:rPr>
          <w:rFonts w:ascii="Book Antiqua" w:hAnsi="Book Antiqua"/>
          <w:color w:val="000000" w:themeColor="text1"/>
          <w:szCs w:val="24"/>
          <w:lang w:val="es-ES"/>
        </w:rPr>
        <w:t>, Ivonne M. Negrón Luciano</w:t>
      </w:r>
      <w:r w:rsidR="00C64F76" w:rsidRPr="00C64F76">
        <w:rPr>
          <w:rFonts w:ascii="Book Antiqua" w:hAnsi="Book Antiqua"/>
          <w:color w:val="000000" w:themeColor="text1"/>
          <w:szCs w:val="24"/>
          <w:lang w:val="es-US"/>
        </w:rPr>
        <w:t>.</w:t>
      </w:r>
    </w:p>
    <w:p w14:paraId="7341E162" w14:textId="77777777" w:rsidR="00D716EF" w:rsidRDefault="00D716EF" w:rsidP="00D716EF">
      <w:pPr>
        <w:ind w:firstLine="720"/>
        <w:contextualSpacing/>
        <w:jc w:val="both"/>
        <w:rPr>
          <w:rFonts w:ascii="Book Antiqua" w:hAnsi="Book Antiqua"/>
          <w:color w:val="000000" w:themeColor="text1"/>
          <w:szCs w:val="24"/>
          <w:lang w:val="es-US"/>
        </w:rPr>
      </w:pPr>
    </w:p>
    <w:p w14:paraId="4DF5CAB7" w14:textId="66C6CA0A" w:rsidR="00BB2870" w:rsidRPr="003D46C3" w:rsidRDefault="00A044CF" w:rsidP="00D716EF">
      <w:pPr>
        <w:ind w:firstLine="720"/>
        <w:contextualSpacing/>
        <w:jc w:val="both"/>
        <w:rPr>
          <w:rFonts w:ascii="Book Antiqua" w:hAnsi="Book Antiqua"/>
          <w:color w:val="000000" w:themeColor="text1"/>
          <w:szCs w:val="24"/>
          <w:lang w:val="es-PR"/>
        </w:rPr>
      </w:pPr>
      <w:r w:rsidRPr="00A044CF">
        <w:rPr>
          <w:rFonts w:ascii="Book Antiqua" w:hAnsi="Book Antiqua"/>
          <w:color w:val="000000" w:themeColor="text1"/>
          <w:szCs w:val="24"/>
          <w:lang w:val="es-US"/>
        </w:rPr>
        <w:t>El PR SBTDC expresó su respaldo a la aprobación del Proyecto del Senado 372, destacando el impacto positivo que la medida puede tener sobre la participación de las micro, pequeñas y medianas empresas en los procesos de compras gubernamentales. En su carta y memorial, la entidad señaló que la aclaración de reglas y términos reduce barreras administrativas, aumenta la transparencia y protege a las PYMES frente a impugnaciones improcedentes. Además, presentó recomendaciones relacionadas con buenas prácticas internacionales, capacitación de oficiales de compras y el uso de tecnología para fortalecer la trazabilidad y eficiencia de los procesos.</w:t>
      </w:r>
    </w:p>
    <w:p w14:paraId="0F4D608E" w14:textId="77777777" w:rsidR="00D716EF" w:rsidRDefault="00D716EF" w:rsidP="00D716EF">
      <w:pPr>
        <w:contextualSpacing/>
        <w:rPr>
          <w:rFonts w:ascii="Book Antiqua" w:hAnsi="Book Antiqua"/>
          <w:b/>
          <w:bCs/>
          <w:szCs w:val="24"/>
          <w:lang w:val="es-PR"/>
        </w:rPr>
      </w:pPr>
    </w:p>
    <w:p w14:paraId="08C63446" w14:textId="41706131" w:rsidR="000871B0" w:rsidRPr="00C1650E" w:rsidRDefault="000871B0" w:rsidP="00D716EF">
      <w:pPr>
        <w:contextualSpacing/>
        <w:jc w:val="center"/>
        <w:rPr>
          <w:rFonts w:ascii="Book Antiqua" w:hAnsi="Book Antiqua"/>
          <w:b/>
          <w:bCs/>
          <w:szCs w:val="24"/>
          <w:lang w:val="es-PR"/>
        </w:rPr>
      </w:pPr>
      <w:r w:rsidRPr="00C1650E">
        <w:rPr>
          <w:rFonts w:ascii="Book Antiqua" w:hAnsi="Book Antiqua"/>
          <w:b/>
          <w:bCs/>
          <w:szCs w:val="24"/>
          <w:lang w:val="es-PR"/>
        </w:rPr>
        <w:t>DETERMINACIÓN DE IMPACTO ECONÓMICO</w:t>
      </w:r>
    </w:p>
    <w:p w14:paraId="48F5BC32" w14:textId="77777777" w:rsidR="00D716EF" w:rsidRDefault="000871B0" w:rsidP="00D716EF">
      <w:pPr>
        <w:contextualSpacing/>
        <w:jc w:val="both"/>
        <w:rPr>
          <w:rFonts w:ascii="Book Antiqua" w:hAnsi="Book Antiqua"/>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p>
    <w:p w14:paraId="1E3D4EA8" w14:textId="267DF391" w:rsidR="00F8412A" w:rsidRPr="00C1650E" w:rsidRDefault="000871B0" w:rsidP="00D716EF">
      <w:pPr>
        <w:contextualSpacing/>
        <w:jc w:val="both"/>
        <w:rPr>
          <w:rFonts w:ascii="Book Antiqua" w:hAnsi="Book Antiqua"/>
          <w:szCs w:val="24"/>
          <w:lang w:val="es-PR"/>
        </w:rPr>
      </w:pPr>
      <w:r w:rsidRPr="00C1650E">
        <w:rPr>
          <w:rFonts w:ascii="Book Antiqua" w:hAnsi="Book Antiqua"/>
          <w:szCs w:val="24"/>
          <w:lang w:val="es-PR"/>
        </w:rPr>
        <w:t xml:space="preserve">Conforme al análisis y los hallazgos de la medida, la Comisión de </w:t>
      </w:r>
      <w:r w:rsidR="00CF17BE">
        <w:rPr>
          <w:rFonts w:ascii="Book Antiqua" w:hAnsi="Book Antiqua"/>
          <w:szCs w:val="24"/>
          <w:lang w:val="es-PR"/>
        </w:rPr>
        <w:t>Gobierno</w:t>
      </w:r>
      <w:r w:rsidRPr="00C1650E">
        <w:rPr>
          <w:rFonts w:ascii="Book Antiqua" w:hAnsi="Book Antiqua"/>
          <w:szCs w:val="24"/>
          <w:lang w:val="es-PR"/>
        </w:rPr>
        <w:t xml:space="preserve"> considera que su aprobación no tendrá un impacto fiscal significativo en los presupuestos de las agencias, departamentos,</w:t>
      </w:r>
      <w:r w:rsidR="00AD7179">
        <w:rPr>
          <w:rFonts w:ascii="Book Antiqua" w:hAnsi="Book Antiqua"/>
          <w:szCs w:val="24"/>
          <w:lang w:val="es-PR"/>
        </w:rPr>
        <w:t xml:space="preserve"> </w:t>
      </w:r>
      <w:r w:rsidRPr="00C1650E">
        <w:rPr>
          <w:rFonts w:ascii="Book Antiqua" w:hAnsi="Book Antiqua"/>
          <w:szCs w:val="24"/>
          <w:lang w:val="es-PR"/>
        </w:rPr>
        <w:t>organismos, instrumentalidades o corporaciones públicas que requiera certificación de la Oficina de Gerencia y Presupuesto.</w:t>
      </w:r>
      <w:r w:rsidR="00A43E00" w:rsidRPr="00C1650E">
        <w:rPr>
          <w:rFonts w:ascii="Book Antiqua" w:hAnsi="Book Antiqua"/>
          <w:szCs w:val="24"/>
          <w:lang w:val="es-PR"/>
        </w:rPr>
        <w:t xml:space="preserve"> </w:t>
      </w:r>
    </w:p>
    <w:p w14:paraId="6E717537" w14:textId="77777777" w:rsidR="00D716EF" w:rsidRDefault="00D716EF" w:rsidP="00D716EF">
      <w:pPr>
        <w:contextualSpacing/>
        <w:jc w:val="center"/>
        <w:rPr>
          <w:rFonts w:ascii="Book Antiqua" w:hAnsi="Book Antiqua"/>
          <w:b/>
          <w:bCs/>
          <w:lang w:val="es-PR"/>
        </w:rPr>
      </w:pPr>
    </w:p>
    <w:p w14:paraId="369CAC28" w14:textId="16419EB0" w:rsidR="00AC627E" w:rsidRPr="00C1650E" w:rsidRDefault="0076334C" w:rsidP="00D716EF">
      <w:pPr>
        <w:contextualSpacing/>
        <w:jc w:val="center"/>
        <w:rPr>
          <w:rFonts w:ascii="Book Antiqua" w:hAnsi="Book Antiqua"/>
          <w:b/>
          <w:bCs/>
          <w:lang w:val="es-PR"/>
        </w:rPr>
      </w:pPr>
      <w:r w:rsidRPr="00C1650E">
        <w:rPr>
          <w:rFonts w:ascii="Book Antiqua" w:hAnsi="Book Antiqua"/>
          <w:b/>
          <w:bCs/>
          <w:lang w:val="es-PR"/>
        </w:rPr>
        <w:t>CONCLUSIÓN Y RECOMENDACIÓN</w:t>
      </w:r>
    </w:p>
    <w:p w14:paraId="5C3EF95F" w14:textId="77777777" w:rsidR="00D716EF" w:rsidRDefault="00D716EF" w:rsidP="00D716EF">
      <w:pPr>
        <w:ind w:firstLine="720"/>
        <w:contextualSpacing/>
        <w:jc w:val="both"/>
        <w:rPr>
          <w:rFonts w:ascii="Book Antiqua" w:hAnsi="Book Antiqua"/>
          <w:color w:val="000000" w:themeColor="text1"/>
          <w:lang w:val="es-PR"/>
        </w:rPr>
      </w:pPr>
    </w:p>
    <w:p w14:paraId="0A0CE957" w14:textId="11AAB06D" w:rsidR="00B72826" w:rsidRPr="00B72826" w:rsidRDefault="00B72826" w:rsidP="00D716EF">
      <w:pPr>
        <w:ind w:firstLine="720"/>
        <w:contextualSpacing/>
        <w:jc w:val="both"/>
        <w:rPr>
          <w:rFonts w:ascii="Book Antiqua" w:hAnsi="Book Antiqua"/>
          <w:color w:val="000000" w:themeColor="text1"/>
          <w:lang w:val="es-PR"/>
        </w:rPr>
      </w:pPr>
      <w:r w:rsidRPr="00B72826">
        <w:rPr>
          <w:rFonts w:ascii="Book Antiqua" w:hAnsi="Book Antiqua"/>
          <w:color w:val="000000" w:themeColor="text1"/>
          <w:lang w:val="es-PR"/>
        </w:rPr>
        <w:t>La Comisión de Gobierno ha llevado a cabo un análisis comprensivo del Proyecto del Senado 372, así como de la totalidad de las ponencias, comentarios y memoriales sometidos por entidades del sector público y privado, incluyendo agencias ejecutivas, organizaciones empresariales, asociaciones representativas de la industria, del comercio y de las micro, pequeñas y medianas empresas.</w:t>
      </w:r>
    </w:p>
    <w:p w14:paraId="2E6FCB5B" w14:textId="77777777" w:rsidR="00D716EF" w:rsidRDefault="00D716EF" w:rsidP="00D716EF">
      <w:pPr>
        <w:ind w:firstLine="720"/>
        <w:contextualSpacing/>
        <w:jc w:val="both"/>
        <w:rPr>
          <w:rFonts w:ascii="Book Antiqua" w:hAnsi="Book Antiqua"/>
          <w:color w:val="000000" w:themeColor="text1"/>
          <w:lang w:val="es-PR"/>
        </w:rPr>
      </w:pPr>
    </w:p>
    <w:p w14:paraId="2C606335" w14:textId="76F19F0E" w:rsidR="00B72826" w:rsidRPr="00B72826" w:rsidRDefault="00B72826" w:rsidP="00D716EF">
      <w:pPr>
        <w:ind w:firstLine="720"/>
        <w:contextualSpacing/>
        <w:jc w:val="both"/>
        <w:rPr>
          <w:rFonts w:ascii="Book Antiqua" w:hAnsi="Book Antiqua"/>
          <w:color w:val="000000" w:themeColor="text1"/>
          <w:lang w:val="es-PR"/>
        </w:rPr>
      </w:pPr>
      <w:r w:rsidRPr="00B72826">
        <w:rPr>
          <w:rFonts w:ascii="Book Antiqua" w:hAnsi="Book Antiqua"/>
          <w:color w:val="000000" w:themeColor="text1"/>
          <w:lang w:val="es-PR"/>
        </w:rPr>
        <w:t>Del examen comparativo de las expresiones recibidas surge un consenso mayoritario en cuanto a la necesidad de aclarar el alcance del término “licitador participante” y de fortalecer la certeza jurídica en los procesos de licitación gubernamental. Tanto la Administración de Servicios Generales como diversas organizaciones del sector productivo coincidieron en que la falta de claridad normativa ha permitido impugnaciones improcedentes por parte de licitadores que no cumplieron con requisitos esenciales del proceso, provocando retrasos innecesarios en la adjudicación de contratos, en la ejecución de obras y en la prestación de servicios al Estado.</w:t>
      </w:r>
    </w:p>
    <w:p w14:paraId="545A898E" w14:textId="77777777" w:rsidR="00D716EF" w:rsidRDefault="00D716EF" w:rsidP="00D716EF">
      <w:pPr>
        <w:ind w:firstLine="720"/>
        <w:contextualSpacing/>
        <w:jc w:val="both"/>
        <w:rPr>
          <w:rFonts w:ascii="Book Antiqua" w:hAnsi="Book Antiqua"/>
          <w:color w:val="000000" w:themeColor="text1"/>
          <w:lang w:val="es-PR"/>
        </w:rPr>
      </w:pPr>
    </w:p>
    <w:p w14:paraId="08CAAF5D" w14:textId="11D931DC" w:rsidR="00B72826" w:rsidRPr="00B72826" w:rsidRDefault="00B72826" w:rsidP="00D716EF">
      <w:pPr>
        <w:ind w:firstLine="720"/>
        <w:contextualSpacing/>
        <w:jc w:val="both"/>
        <w:rPr>
          <w:rFonts w:ascii="Book Antiqua" w:hAnsi="Book Antiqua"/>
          <w:color w:val="000000" w:themeColor="text1"/>
          <w:lang w:val="es-PR"/>
        </w:rPr>
      </w:pPr>
      <w:r w:rsidRPr="00B72826">
        <w:rPr>
          <w:rFonts w:ascii="Book Antiqua" w:hAnsi="Book Antiqua"/>
          <w:color w:val="000000" w:themeColor="text1"/>
          <w:lang w:val="es-PR"/>
        </w:rPr>
        <w:t xml:space="preserve">Las entidades que expresaron su respaldo a la medida destacaron que el Proyecto del Senado 372 no elimina garantías procesales, sino que delimita con mayor precisión </w:t>
      </w:r>
      <w:r w:rsidRPr="00B72826">
        <w:rPr>
          <w:rFonts w:ascii="Book Antiqua" w:hAnsi="Book Antiqua"/>
          <w:color w:val="000000" w:themeColor="text1"/>
          <w:lang w:val="es-PR"/>
        </w:rPr>
        <w:lastRenderedPageBreak/>
        <w:t>los momentos y condiciones en que surgen los derechos de los licitadores, promoviendo procesos más ordenados, equitativos y eficientes. Asimismo, se reconoció que la aclaración sobre la notificación de resoluciones de adjudicación enmendadas aporta uniformidad procesal y fortalece el debido proceso de ley.</w:t>
      </w:r>
    </w:p>
    <w:p w14:paraId="52D71BEC" w14:textId="77777777" w:rsidR="00D716EF" w:rsidRDefault="00D716EF" w:rsidP="00D716EF">
      <w:pPr>
        <w:ind w:firstLine="720"/>
        <w:contextualSpacing/>
        <w:jc w:val="both"/>
        <w:rPr>
          <w:rFonts w:ascii="Book Antiqua" w:hAnsi="Book Antiqua"/>
          <w:color w:val="000000" w:themeColor="text1"/>
          <w:lang w:val="es-PR"/>
        </w:rPr>
      </w:pPr>
    </w:p>
    <w:p w14:paraId="62B644B8" w14:textId="305BF51D" w:rsidR="00B72826" w:rsidRPr="00B72826" w:rsidRDefault="00B72826" w:rsidP="00D716EF">
      <w:pPr>
        <w:ind w:firstLine="720"/>
        <w:contextualSpacing/>
        <w:jc w:val="both"/>
        <w:rPr>
          <w:rFonts w:ascii="Book Antiqua" w:hAnsi="Book Antiqua"/>
          <w:color w:val="000000" w:themeColor="text1"/>
          <w:lang w:val="es-PR"/>
        </w:rPr>
      </w:pPr>
      <w:r w:rsidRPr="00B72826">
        <w:rPr>
          <w:rFonts w:ascii="Book Antiqua" w:hAnsi="Book Antiqua"/>
          <w:color w:val="000000" w:themeColor="text1"/>
          <w:lang w:val="es-PR"/>
        </w:rPr>
        <w:t>Por otro lado, la Comisión tomó conocimiento de las preocupaciones expresadas por entidades que manifestaron oposición o reservas a la medida, particularmente aquellas relacionadas con la posibilidad de permitir impugnaciones por parte de licitadores que presentaron ofertas fuera de término. No obstante, tras evaluar dichas objeciones, la Comisión concluye que el proyecto no amplía ni concede derechos improcedentes, sino que establece con claridad que el rechazo de una oferta tardía constituye una determinación final para ese licitador, fijando un término cierto para impugnar y evitando que dichos reclamos se utilicen de manera dilatoria una vez culminado el proceso de adjudicación.</w:t>
      </w:r>
    </w:p>
    <w:p w14:paraId="22424B79" w14:textId="77777777" w:rsidR="00D716EF" w:rsidRDefault="00D716EF" w:rsidP="00D716EF">
      <w:pPr>
        <w:ind w:firstLine="720"/>
        <w:contextualSpacing/>
        <w:jc w:val="both"/>
        <w:rPr>
          <w:rFonts w:ascii="Book Antiqua" w:hAnsi="Book Antiqua"/>
          <w:color w:val="000000" w:themeColor="text1"/>
          <w:lang w:val="es-PR"/>
        </w:rPr>
      </w:pPr>
    </w:p>
    <w:p w14:paraId="0577410E" w14:textId="21570407" w:rsidR="00B72826" w:rsidRPr="00B72826" w:rsidRDefault="00B72826" w:rsidP="00D716EF">
      <w:pPr>
        <w:ind w:firstLine="720"/>
        <w:contextualSpacing/>
        <w:jc w:val="both"/>
        <w:rPr>
          <w:rFonts w:ascii="Book Antiqua" w:hAnsi="Book Antiqua"/>
          <w:color w:val="000000" w:themeColor="text1"/>
          <w:lang w:val="es-PR"/>
        </w:rPr>
      </w:pPr>
      <w:r w:rsidRPr="00B72826">
        <w:rPr>
          <w:rFonts w:ascii="Book Antiqua" w:hAnsi="Book Antiqua"/>
          <w:color w:val="000000" w:themeColor="text1"/>
          <w:lang w:val="es-PR"/>
        </w:rPr>
        <w:t>De igual forma, la Comisión reconoce y valora las recomendaciones dirigidas a evitar exclusiones basadas en requisitos subjetivos o de forma, y entiende que la correcta aplicación de la ley, en armonía con el Reglamento Uniforme de Compras y Subastas y las políticas públicas vigentes, permitirá preservar la competencia justa, proteger la industria local y fomentar la participación de las micro, pequeñas y medianas empresas en los procesos de compras gubernamentales.</w:t>
      </w:r>
    </w:p>
    <w:p w14:paraId="59098D93" w14:textId="77777777" w:rsidR="00D716EF" w:rsidRDefault="00D716EF" w:rsidP="00D716EF">
      <w:pPr>
        <w:ind w:firstLine="720"/>
        <w:contextualSpacing/>
        <w:jc w:val="both"/>
        <w:rPr>
          <w:rFonts w:ascii="Book Antiqua" w:hAnsi="Book Antiqua"/>
          <w:color w:val="000000" w:themeColor="text1"/>
          <w:lang w:val="es-PR"/>
        </w:rPr>
      </w:pPr>
    </w:p>
    <w:p w14:paraId="4B077360" w14:textId="64562D02" w:rsidR="00B72826" w:rsidRPr="00B72826" w:rsidRDefault="00B72826" w:rsidP="00D716EF">
      <w:pPr>
        <w:ind w:firstLine="720"/>
        <w:contextualSpacing/>
        <w:jc w:val="both"/>
        <w:rPr>
          <w:rFonts w:ascii="Book Antiqua" w:hAnsi="Book Antiqua"/>
          <w:color w:val="000000" w:themeColor="text1"/>
          <w:lang w:val="es-PR"/>
        </w:rPr>
      </w:pPr>
      <w:r w:rsidRPr="00B72826">
        <w:rPr>
          <w:rFonts w:ascii="Book Antiqua" w:hAnsi="Book Antiqua"/>
          <w:color w:val="000000" w:themeColor="text1"/>
          <w:lang w:val="es-PR"/>
        </w:rPr>
        <w:t xml:space="preserve">Luego de ponderar los méritos de la medida, el respaldo mayoritario recibido, las recomendaciones formuladas y las objeciones planteadas, esta Comisión concluye que el Proyecto del Senado 372 adelanta una política pública razonable, necesaria y consistente con los principios de eficiencia administrativa, transparencia, equidad y protección del </w:t>
      </w:r>
      <w:r w:rsidR="00FA328A" w:rsidRPr="00B72826">
        <w:rPr>
          <w:rFonts w:ascii="Book Antiqua" w:hAnsi="Book Antiqua"/>
          <w:color w:val="000000" w:themeColor="text1"/>
          <w:lang w:val="es-PR"/>
        </w:rPr>
        <w:t>erario</w:t>
      </w:r>
      <w:r w:rsidRPr="00B72826">
        <w:rPr>
          <w:rFonts w:ascii="Book Antiqua" w:hAnsi="Book Antiqua"/>
          <w:color w:val="000000" w:themeColor="text1"/>
          <w:lang w:val="es-PR"/>
        </w:rPr>
        <w:t>, sin menoscabo del debido proceso de ley.</w:t>
      </w:r>
    </w:p>
    <w:p w14:paraId="51161C46" w14:textId="77777777" w:rsidR="00D716EF" w:rsidRDefault="00D716EF" w:rsidP="00D716EF">
      <w:pPr>
        <w:ind w:firstLine="720"/>
        <w:contextualSpacing/>
        <w:jc w:val="both"/>
        <w:rPr>
          <w:rFonts w:ascii="Book Antiqua" w:hAnsi="Book Antiqua"/>
          <w:b/>
          <w:bCs/>
          <w:color w:val="000000" w:themeColor="text1"/>
          <w:lang w:val="es-PR"/>
        </w:rPr>
      </w:pPr>
    </w:p>
    <w:p w14:paraId="181F6695" w14:textId="5E89372A" w:rsidR="003D6317" w:rsidRPr="00C1650E" w:rsidRDefault="00F70E67" w:rsidP="00D716EF">
      <w:pPr>
        <w:ind w:firstLine="720"/>
        <w:contextualSpacing/>
        <w:jc w:val="both"/>
        <w:rPr>
          <w:rFonts w:ascii="Book Antiqua" w:hAnsi="Book Antiqua"/>
          <w:color w:val="000000" w:themeColor="text1"/>
          <w:lang w:val="es-PR"/>
        </w:rPr>
      </w:pPr>
      <w:r w:rsidRPr="00C1650E">
        <w:rPr>
          <w:rFonts w:ascii="Book Antiqua" w:hAnsi="Book Antiqua"/>
          <w:b/>
          <w:bCs/>
          <w:color w:val="000000" w:themeColor="text1"/>
          <w:lang w:val="es-PR"/>
        </w:rPr>
        <w:t>POR LO ANTES EXPUESTO</w:t>
      </w:r>
      <w:r w:rsidR="00AC627E" w:rsidRPr="00C1650E">
        <w:rPr>
          <w:rFonts w:ascii="Book Antiqua" w:hAnsi="Book Antiqua"/>
          <w:color w:val="000000" w:themeColor="text1"/>
          <w:lang w:val="es-PR"/>
        </w:rPr>
        <w:t xml:space="preserve">, </w:t>
      </w:r>
      <w:r w:rsidRPr="00C1650E">
        <w:rPr>
          <w:rFonts w:ascii="Book Antiqua" w:hAnsi="Book Antiqua"/>
          <w:color w:val="000000" w:themeColor="text1"/>
          <w:lang w:val="es-PR"/>
        </w:rPr>
        <w:t xml:space="preserve">la Comisión de </w:t>
      </w:r>
      <w:r w:rsidR="00FA328A">
        <w:rPr>
          <w:rFonts w:ascii="Book Antiqua" w:hAnsi="Book Antiqua"/>
          <w:color w:val="000000" w:themeColor="text1"/>
          <w:lang w:val="es-PR"/>
        </w:rPr>
        <w:t>Gobierno</w:t>
      </w:r>
      <w:r w:rsidRPr="00C1650E">
        <w:rPr>
          <w:rFonts w:ascii="Book Antiqua" w:hAnsi="Book Antiqua"/>
          <w:color w:val="000000" w:themeColor="text1"/>
          <w:lang w:val="es-PR"/>
        </w:rPr>
        <w:t xml:space="preserve"> recomienda </w:t>
      </w:r>
      <w:r w:rsidR="00AC627E" w:rsidRPr="00C1650E">
        <w:rPr>
          <w:rFonts w:ascii="Book Antiqua" w:hAnsi="Book Antiqua"/>
          <w:color w:val="000000" w:themeColor="text1"/>
          <w:lang w:val="es-PR"/>
        </w:rPr>
        <w:t xml:space="preserve">la aprobación </w:t>
      </w:r>
      <w:r w:rsidR="00C42A04">
        <w:rPr>
          <w:rFonts w:ascii="Book Antiqua" w:hAnsi="Book Antiqua"/>
          <w:color w:val="000000" w:themeColor="text1"/>
          <w:lang w:val="es-PR"/>
        </w:rPr>
        <w:t>de</w:t>
      </w:r>
      <w:r w:rsidR="006F31DC">
        <w:rPr>
          <w:rFonts w:ascii="Book Antiqua" w:hAnsi="Book Antiqua"/>
          <w:color w:val="000000" w:themeColor="text1"/>
          <w:lang w:val="es-PR"/>
        </w:rPr>
        <w:t>l P. de</w:t>
      </w:r>
      <w:r w:rsidR="00EE7533">
        <w:rPr>
          <w:rFonts w:ascii="Book Antiqua" w:hAnsi="Book Antiqua"/>
          <w:color w:val="000000" w:themeColor="text1"/>
          <w:lang w:val="es-PR"/>
        </w:rPr>
        <w:t>l S. 37</w:t>
      </w:r>
      <w:r w:rsidR="00FA328A">
        <w:rPr>
          <w:rFonts w:ascii="Book Antiqua" w:hAnsi="Book Antiqua"/>
          <w:color w:val="000000" w:themeColor="text1"/>
          <w:lang w:val="es-PR"/>
        </w:rPr>
        <w:t>2</w:t>
      </w:r>
      <w:r w:rsidRPr="00C1650E">
        <w:rPr>
          <w:rFonts w:ascii="Book Antiqua" w:hAnsi="Book Antiqua"/>
          <w:color w:val="000000" w:themeColor="text1"/>
          <w:lang w:val="es-PR"/>
        </w:rPr>
        <w:t>,</w:t>
      </w:r>
      <w:r w:rsidR="00AC627E" w:rsidRPr="00C1650E">
        <w:rPr>
          <w:rFonts w:ascii="Book Antiqua" w:hAnsi="Book Antiqua"/>
          <w:color w:val="000000" w:themeColor="text1"/>
          <w:lang w:val="es-PR"/>
        </w:rPr>
        <w:t xml:space="preserve"> </w:t>
      </w:r>
      <w:r w:rsidR="00F877BB" w:rsidRPr="00C1650E">
        <w:rPr>
          <w:rFonts w:ascii="Book Antiqua" w:hAnsi="Book Antiqua"/>
          <w:color w:val="000000" w:themeColor="text1"/>
          <w:lang w:val="es-PR"/>
        </w:rPr>
        <w:t>mediante el presente Informe Positivo,</w:t>
      </w:r>
      <w:r w:rsidR="00F877BB" w:rsidRPr="00011E1C">
        <w:rPr>
          <w:rFonts w:ascii="Book Antiqua" w:hAnsi="Book Antiqua"/>
          <w:color w:val="000000" w:themeColor="text1"/>
          <w:lang w:val="es-PR"/>
        </w:rPr>
        <w:t xml:space="preserve"> </w:t>
      </w:r>
      <w:r w:rsidR="00AC627E" w:rsidRPr="00096531">
        <w:rPr>
          <w:rFonts w:ascii="Book Antiqua" w:hAnsi="Book Antiqua"/>
          <w:color w:val="000000" w:themeColor="text1"/>
          <w:lang w:val="es-PR"/>
        </w:rPr>
        <w:t>incorporando las enmiendas sugeridas al contenido, que se detallan en el entirillado electrónico que se acompaña.</w:t>
      </w:r>
    </w:p>
    <w:p w14:paraId="11944B92" w14:textId="77777777" w:rsidR="008A54FD" w:rsidRDefault="008A54FD" w:rsidP="00D716EF">
      <w:pPr>
        <w:contextualSpacing/>
        <w:jc w:val="both"/>
        <w:rPr>
          <w:rFonts w:ascii="Book Antiqua" w:hAnsi="Book Antiqua"/>
          <w:color w:val="000000" w:themeColor="text1"/>
          <w:lang w:val="es-PR"/>
        </w:rPr>
      </w:pPr>
    </w:p>
    <w:p w14:paraId="2726FB28" w14:textId="77777777" w:rsidR="00D716EF" w:rsidRPr="00C1650E" w:rsidRDefault="00D716EF" w:rsidP="00D716EF">
      <w:pPr>
        <w:contextualSpacing/>
        <w:jc w:val="both"/>
        <w:rPr>
          <w:rFonts w:ascii="Book Antiqua" w:hAnsi="Book Antiqua"/>
          <w:color w:val="000000" w:themeColor="text1"/>
          <w:lang w:val="es-PR"/>
        </w:rPr>
      </w:pPr>
    </w:p>
    <w:p w14:paraId="66B3C0C0" w14:textId="1AE569CA" w:rsidR="003D6317" w:rsidRPr="00C1650E" w:rsidRDefault="003D6317" w:rsidP="00D716EF">
      <w:pPr>
        <w:contextualSpacing/>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44F682D4" w14:textId="77777777" w:rsidR="003D6317" w:rsidRPr="00C1650E" w:rsidRDefault="003D6317" w:rsidP="00D716EF">
      <w:pPr>
        <w:contextualSpacing/>
        <w:rPr>
          <w:rFonts w:ascii="Book Antiqua" w:hAnsi="Book Antiqua"/>
          <w:color w:val="000000" w:themeColor="text1"/>
          <w:lang w:val="es-PR"/>
        </w:rPr>
      </w:pPr>
    </w:p>
    <w:p w14:paraId="7AAA0837" w14:textId="77777777" w:rsidR="003D6317" w:rsidRPr="00C1650E" w:rsidRDefault="003D6317" w:rsidP="00D716EF">
      <w:pPr>
        <w:contextualSpacing/>
        <w:rPr>
          <w:rFonts w:ascii="Book Antiqua" w:hAnsi="Book Antiqua"/>
          <w:lang w:val="es-PR"/>
        </w:rPr>
      </w:pPr>
    </w:p>
    <w:p w14:paraId="603A5763" w14:textId="77777777" w:rsidR="00C825F0" w:rsidRDefault="00C825F0" w:rsidP="00D716EF">
      <w:pPr>
        <w:contextualSpacing/>
        <w:jc w:val="both"/>
        <w:rPr>
          <w:rFonts w:ascii="Book Antiqua" w:hAnsi="Book Antiqua"/>
          <w:b/>
          <w:bCs/>
          <w:lang w:val="es-PR"/>
        </w:rPr>
      </w:pPr>
    </w:p>
    <w:p w14:paraId="122F8FC2" w14:textId="2D3187FA" w:rsidR="0076334C" w:rsidRPr="00C1650E" w:rsidRDefault="0076334C" w:rsidP="00D716EF">
      <w:pPr>
        <w:contextualSpacing/>
        <w:jc w:val="both"/>
        <w:rPr>
          <w:rFonts w:ascii="Book Antiqua" w:hAnsi="Book Antiqua"/>
          <w:b/>
          <w:bCs/>
          <w:lang w:val="es-PR"/>
        </w:rPr>
      </w:pPr>
      <w:r w:rsidRPr="00C1650E">
        <w:rPr>
          <w:rFonts w:ascii="Book Antiqua" w:hAnsi="Book Antiqua"/>
          <w:b/>
          <w:bCs/>
          <w:lang w:val="es-PR"/>
        </w:rPr>
        <w:t xml:space="preserve">Hon. </w:t>
      </w:r>
      <w:r w:rsidR="00920A71">
        <w:rPr>
          <w:rFonts w:ascii="Book Antiqua" w:hAnsi="Book Antiqua"/>
          <w:b/>
          <w:bCs/>
          <w:lang w:val="es-PR"/>
        </w:rPr>
        <w:t>Víctor</w:t>
      </w:r>
      <w:r w:rsidR="00F901DA">
        <w:rPr>
          <w:rFonts w:ascii="Book Antiqua" w:hAnsi="Book Antiqua"/>
          <w:b/>
          <w:bCs/>
          <w:lang w:val="es-PR"/>
        </w:rPr>
        <w:t xml:space="preserve"> </w:t>
      </w:r>
      <w:r w:rsidR="00920A71">
        <w:rPr>
          <w:rFonts w:ascii="Book Antiqua" w:hAnsi="Book Antiqua"/>
          <w:b/>
          <w:bCs/>
          <w:lang w:val="es-PR"/>
        </w:rPr>
        <w:t>L</w:t>
      </w:r>
      <w:r w:rsidR="00C825F0">
        <w:rPr>
          <w:rFonts w:ascii="Book Antiqua" w:hAnsi="Book Antiqua"/>
          <w:b/>
          <w:bCs/>
          <w:lang w:val="es-PR"/>
        </w:rPr>
        <w:t xml:space="preserve">. </w:t>
      </w:r>
      <w:r w:rsidR="00F901DA">
        <w:rPr>
          <w:rFonts w:ascii="Book Antiqua" w:hAnsi="Book Antiqua"/>
          <w:b/>
          <w:bCs/>
          <w:lang w:val="es-PR"/>
        </w:rPr>
        <w:t>Par</w:t>
      </w:r>
      <w:r w:rsidR="00C825F0">
        <w:rPr>
          <w:rFonts w:ascii="Book Antiqua" w:hAnsi="Book Antiqua"/>
          <w:b/>
          <w:bCs/>
          <w:lang w:val="es-PR"/>
        </w:rPr>
        <w:t>é</w:t>
      </w:r>
      <w:r w:rsidR="00F901DA">
        <w:rPr>
          <w:rFonts w:ascii="Book Antiqua" w:hAnsi="Book Antiqua"/>
          <w:b/>
          <w:bCs/>
          <w:lang w:val="es-PR"/>
        </w:rPr>
        <w:t>s</w:t>
      </w:r>
      <w:r w:rsidR="00815082" w:rsidRPr="00C1650E">
        <w:rPr>
          <w:rFonts w:ascii="Book Antiqua" w:hAnsi="Book Antiqua"/>
          <w:b/>
          <w:bCs/>
          <w:lang w:val="es-PR"/>
        </w:rPr>
        <w:t xml:space="preserve"> </w:t>
      </w:r>
      <w:r w:rsidR="00C825F0">
        <w:rPr>
          <w:rFonts w:ascii="Book Antiqua" w:hAnsi="Book Antiqua"/>
          <w:b/>
          <w:bCs/>
          <w:lang w:val="es-PR"/>
        </w:rPr>
        <w:t>Otero</w:t>
      </w:r>
      <w:r w:rsidR="00815082" w:rsidRPr="00C1650E">
        <w:rPr>
          <w:rFonts w:ascii="Book Antiqua" w:hAnsi="Book Antiqua"/>
          <w:b/>
          <w:bCs/>
          <w:lang w:val="es-PR"/>
        </w:rPr>
        <w:t xml:space="preserve">                                            </w:t>
      </w:r>
    </w:p>
    <w:p w14:paraId="22C9AB09" w14:textId="75BD0911" w:rsidR="0076334C" w:rsidRPr="00C1650E" w:rsidRDefault="0076334C" w:rsidP="00D716EF">
      <w:pPr>
        <w:contextualSpacing/>
        <w:jc w:val="both"/>
        <w:rPr>
          <w:rFonts w:ascii="Book Antiqua" w:hAnsi="Book Antiqua"/>
          <w:lang w:val="es-PR"/>
        </w:rPr>
      </w:pPr>
      <w:r w:rsidRPr="00C1650E">
        <w:rPr>
          <w:rFonts w:ascii="Book Antiqua" w:hAnsi="Book Antiqua"/>
          <w:lang w:val="es-PR"/>
        </w:rPr>
        <w:t>President</w:t>
      </w:r>
      <w:r w:rsidR="00F901DA">
        <w:rPr>
          <w:rFonts w:ascii="Book Antiqua" w:hAnsi="Book Antiqua"/>
          <w:lang w:val="es-PR"/>
        </w:rPr>
        <w:t>e</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77ED3C42" w:rsidR="000C2CBF" w:rsidRPr="0071440D" w:rsidRDefault="0076334C" w:rsidP="00D716EF">
      <w:pPr>
        <w:contextualSpacing/>
        <w:jc w:val="both"/>
        <w:rPr>
          <w:rFonts w:ascii="Book Antiqua" w:hAnsi="Book Antiqua"/>
          <w:lang w:val="es-PR"/>
        </w:rPr>
      </w:pPr>
      <w:r w:rsidRPr="00C1650E">
        <w:rPr>
          <w:rFonts w:ascii="Book Antiqua" w:hAnsi="Book Antiqua"/>
          <w:lang w:val="es-PR"/>
        </w:rPr>
        <w:t xml:space="preserve">Comisión de </w:t>
      </w:r>
      <w:r w:rsidR="00F901DA">
        <w:rPr>
          <w:rFonts w:ascii="Book Antiqua" w:hAnsi="Book Antiqua"/>
          <w:lang w:val="es-PR"/>
        </w:rPr>
        <w:t>Gobierno</w:t>
      </w:r>
    </w:p>
    <w:sectPr w:rsidR="000C2CBF" w:rsidRPr="0071440D">
      <w:headerReference w:type="default" r:id="rId11"/>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589C" w14:textId="77777777" w:rsidR="00F97585" w:rsidRDefault="00F97585">
      <w:r>
        <w:separator/>
      </w:r>
    </w:p>
  </w:endnote>
  <w:endnote w:type="continuationSeparator" w:id="0">
    <w:p w14:paraId="76DEB1F3" w14:textId="77777777" w:rsidR="00F97585" w:rsidRDefault="00F97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Cambri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F44BE" w14:textId="77777777" w:rsidR="00F97585" w:rsidRDefault="00F97585">
      <w:r>
        <w:separator/>
      </w:r>
    </w:p>
  </w:footnote>
  <w:footnote w:type="continuationSeparator" w:id="0">
    <w:p w14:paraId="21EBBDA1" w14:textId="77777777" w:rsidR="00F97585" w:rsidRDefault="00F97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7D9A675" w:rsidR="00487A4D" w:rsidRPr="00C1650E" w:rsidRDefault="00487A4D" w:rsidP="00487A4D">
    <w:pPr>
      <w:pStyle w:val="Header"/>
      <w:rPr>
        <w:rStyle w:val="PageNumber"/>
        <w:lang w:val="es-PR"/>
      </w:rPr>
    </w:pPr>
    <w:r w:rsidRPr="00C1650E">
      <w:rPr>
        <w:rStyle w:val="PageNumber"/>
        <w:lang w:val="es-PR"/>
      </w:rPr>
      <w:t xml:space="preserve">Comisión de </w:t>
    </w:r>
    <w:r w:rsidR="00A044CF">
      <w:rPr>
        <w:rStyle w:val="PageNumber"/>
        <w:lang w:val="es-PR"/>
      </w:rPr>
      <w:t>Gobierno</w:t>
    </w:r>
  </w:p>
  <w:p w14:paraId="36D58B22" w14:textId="46BA2456" w:rsidR="00F042CB" w:rsidRPr="002131F7" w:rsidRDefault="00487A4D" w:rsidP="00487A4D">
    <w:pPr>
      <w:pStyle w:val="Header"/>
      <w:rPr>
        <w:rStyle w:val="PageNumber"/>
        <w:lang w:val="es-ES"/>
      </w:rPr>
    </w:pPr>
    <w:r w:rsidRPr="00C1650E">
      <w:rPr>
        <w:rStyle w:val="PageNumber"/>
        <w:lang w:val="es-PR"/>
      </w:rPr>
      <w:t xml:space="preserve">Informe Positivo sobre </w:t>
    </w:r>
    <w:r w:rsidR="006F31DC">
      <w:rPr>
        <w:rStyle w:val="PageNumber"/>
        <w:lang w:val="es-PR"/>
      </w:rPr>
      <w:t>el P. de</w:t>
    </w:r>
    <w:r w:rsidR="00EE7533">
      <w:rPr>
        <w:rStyle w:val="PageNumber"/>
        <w:lang w:val="es-PR"/>
      </w:rPr>
      <w:t>l S</w:t>
    </w:r>
    <w:r w:rsidR="006F31DC">
      <w:rPr>
        <w:rStyle w:val="PageNumber"/>
        <w:lang w:val="es-PR"/>
      </w:rPr>
      <w:t xml:space="preserve">. </w:t>
    </w:r>
    <w:r w:rsidR="00EE7533">
      <w:rPr>
        <w:rStyle w:val="PageNumber"/>
        <w:lang w:val="es-PR"/>
      </w:rPr>
      <w:t>37</w:t>
    </w:r>
    <w:r w:rsidR="00A044CF">
      <w:rPr>
        <w:rStyle w:val="PageNumber"/>
        <w:lang w:val="es-PR"/>
      </w:rPr>
      <w:t>2</w:t>
    </w:r>
    <w:r w:rsidR="006F31DC">
      <w:rPr>
        <w:rStyle w:val="PageNumber"/>
        <w:lang w:val="es-PR"/>
      </w:rPr>
      <w:t xml:space="preserve"> </w:t>
    </w:r>
    <w:r w:rsidR="00306E68">
      <w:rPr>
        <w:rStyle w:val="PageNumber"/>
        <w:lang w:val="es-PR"/>
      </w:rPr>
      <w:tab/>
    </w:r>
    <w:r w:rsidR="00306E68">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p w14:paraId="10C6B0D0" w14:textId="77777777" w:rsidR="00C744DD" w:rsidRPr="00487A4D" w:rsidRDefault="00C744DD" w:rsidP="00487A4D">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5"/>
  </w:num>
  <w:num w:numId="2" w16cid:durableId="1647583042">
    <w:abstractNumId w:val="8"/>
  </w:num>
  <w:num w:numId="3" w16cid:durableId="31856016">
    <w:abstractNumId w:val="9"/>
  </w:num>
  <w:num w:numId="4" w16cid:durableId="1489134421">
    <w:abstractNumId w:val="1"/>
  </w:num>
  <w:num w:numId="5" w16cid:durableId="639266677">
    <w:abstractNumId w:val="3"/>
  </w:num>
  <w:num w:numId="6" w16cid:durableId="844244211">
    <w:abstractNumId w:val="4"/>
  </w:num>
  <w:num w:numId="7" w16cid:durableId="816726171">
    <w:abstractNumId w:val="6"/>
  </w:num>
  <w:num w:numId="8" w16cid:durableId="811870527">
    <w:abstractNumId w:val="0"/>
  </w:num>
  <w:num w:numId="9" w16cid:durableId="923299098">
    <w:abstractNumId w:val="7"/>
  </w:num>
  <w:num w:numId="10" w16cid:durableId="2028288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E1C"/>
    <w:rsid w:val="000133D7"/>
    <w:rsid w:val="0001561B"/>
    <w:rsid w:val="00015DFB"/>
    <w:rsid w:val="00020BBB"/>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96531"/>
    <w:rsid w:val="000A4031"/>
    <w:rsid w:val="000A419E"/>
    <w:rsid w:val="000A6B6C"/>
    <w:rsid w:val="000B0DBB"/>
    <w:rsid w:val="000B4C54"/>
    <w:rsid w:val="000C2850"/>
    <w:rsid w:val="000C2CBF"/>
    <w:rsid w:val="000D60DB"/>
    <w:rsid w:val="000E2586"/>
    <w:rsid w:val="000E2DCB"/>
    <w:rsid w:val="000E3D6D"/>
    <w:rsid w:val="000E7F87"/>
    <w:rsid w:val="000F1D49"/>
    <w:rsid w:val="00105AB1"/>
    <w:rsid w:val="00111E71"/>
    <w:rsid w:val="001127B0"/>
    <w:rsid w:val="0011293A"/>
    <w:rsid w:val="00114602"/>
    <w:rsid w:val="00124D9A"/>
    <w:rsid w:val="00126B4C"/>
    <w:rsid w:val="00127C6A"/>
    <w:rsid w:val="001363FE"/>
    <w:rsid w:val="001517E7"/>
    <w:rsid w:val="001606CA"/>
    <w:rsid w:val="00166098"/>
    <w:rsid w:val="0017132B"/>
    <w:rsid w:val="00172A5C"/>
    <w:rsid w:val="00173F45"/>
    <w:rsid w:val="00174574"/>
    <w:rsid w:val="001812F0"/>
    <w:rsid w:val="00187B2B"/>
    <w:rsid w:val="001911C9"/>
    <w:rsid w:val="001A062F"/>
    <w:rsid w:val="001A2E09"/>
    <w:rsid w:val="001A36DC"/>
    <w:rsid w:val="001A4A89"/>
    <w:rsid w:val="001A4DCF"/>
    <w:rsid w:val="001B4DA7"/>
    <w:rsid w:val="001D15CB"/>
    <w:rsid w:val="001D1A53"/>
    <w:rsid w:val="001D6FC5"/>
    <w:rsid w:val="001E15C2"/>
    <w:rsid w:val="001E211C"/>
    <w:rsid w:val="001F1883"/>
    <w:rsid w:val="001F4CA3"/>
    <w:rsid w:val="001F5064"/>
    <w:rsid w:val="001F612A"/>
    <w:rsid w:val="00205FE7"/>
    <w:rsid w:val="00211396"/>
    <w:rsid w:val="002124E0"/>
    <w:rsid w:val="002131F7"/>
    <w:rsid w:val="00220B05"/>
    <w:rsid w:val="00222320"/>
    <w:rsid w:val="00226AE6"/>
    <w:rsid w:val="00227B36"/>
    <w:rsid w:val="002365F7"/>
    <w:rsid w:val="0024064E"/>
    <w:rsid w:val="00243B9A"/>
    <w:rsid w:val="00245B34"/>
    <w:rsid w:val="00250156"/>
    <w:rsid w:val="0026318A"/>
    <w:rsid w:val="00263355"/>
    <w:rsid w:val="002648C4"/>
    <w:rsid w:val="002673C8"/>
    <w:rsid w:val="00273792"/>
    <w:rsid w:val="00284E77"/>
    <w:rsid w:val="002851C2"/>
    <w:rsid w:val="002878CD"/>
    <w:rsid w:val="00287B17"/>
    <w:rsid w:val="00293329"/>
    <w:rsid w:val="0029726D"/>
    <w:rsid w:val="002A1054"/>
    <w:rsid w:val="002A73D5"/>
    <w:rsid w:val="002B04F5"/>
    <w:rsid w:val="002B4F94"/>
    <w:rsid w:val="002C1204"/>
    <w:rsid w:val="002C314C"/>
    <w:rsid w:val="002C6295"/>
    <w:rsid w:val="002C65F6"/>
    <w:rsid w:val="002D4AC8"/>
    <w:rsid w:val="002D5DFF"/>
    <w:rsid w:val="002D70D7"/>
    <w:rsid w:val="002E161E"/>
    <w:rsid w:val="002E36C3"/>
    <w:rsid w:val="00306E68"/>
    <w:rsid w:val="00307183"/>
    <w:rsid w:val="00320BDF"/>
    <w:rsid w:val="00320D78"/>
    <w:rsid w:val="0034124E"/>
    <w:rsid w:val="00363E11"/>
    <w:rsid w:val="00364902"/>
    <w:rsid w:val="00367B05"/>
    <w:rsid w:val="00380FE5"/>
    <w:rsid w:val="00384455"/>
    <w:rsid w:val="003851A7"/>
    <w:rsid w:val="003924DD"/>
    <w:rsid w:val="00393EE7"/>
    <w:rsid w:val="00394108"/>
    <w:rsid w:val="00394FCB"/>
    <w:rsid w:val="003963BE"/>
    <w:rsid w:val="003963F4"/>
    <w:rsid w:val="003B21CD"/>
    <w:rsid w:val="003B5254"/>
    <w:rsid w:val="003B75A6"/>
    <w:rsid w:val="003C7E14"/>
    <w:rsid w:val="003D1A11"/>
    <w:rsid w:val="003D2C21"/>
    <w:rsid w:val="003D46C3"/>
    <w:rsid w:val="003D6317"/>
    <w:rsid w:val="003E44C3"/>
    <w:rsid w:val="003F05CE"/>
    <w:rsid w:val="003F0BE6"/>
    <w:rsid w:val="003F5044"/>
    <w:rsid w:val="003F76A8"/>
    <w:rsid w:val="004061CA"/>
    <w:rsid w:val="00413299"/>
    <w:rsid w:val="00415689"/>
    <w:rsid w:val="00424D08"/>
    <w:rsid w:val="0044004B"/>
    <w:rsid w:val="004440CB"/>
    <w:rsid w:val="00446E40"/>
    <w:rsid w:val="0045659A"/>
    <w:rsid w:val="004713D2"/>
    <w:rsid w:val="004731D3"/>
    <w:rsid w:val="00480F2B"/>
    <w:rsid w:val="00487A4D"/>
    <w:rsid w:val="00491D4B"/>
    <w:rsid w:val="0049600B"/>
    <w:rsid w:val="004B6E28"/>
    <w:rsid w:val="004B7486"/>
    <w:rsid w:val="004D1D90"/>
    <w:rsid w:val="004D7000"/>
    <w:rsid w:val="004E4E62"/>
    <w:rsid w:val="004F1D63"/>
    <w:rsid w:val="004F1DC7"/>
    <w:rsid w:val="004F5525"/>
    <w:rsid w:val="004F76CF"/>
    <w:rsid w:val="00502819"/>
    <w:rsid w:val="00521639"/>
    <w:rsid w:val="005253DD"/>
    <w:rsid w:val="005302DE"/>
    <w:rsid w:val="0053167D"/>
    <w:rsid w:val="00532BB7"/>
    <w:rsid w:val="005332E4"/>
    <w:rsid w:val="0053550C"/>
    <w:rsid w:val="00536D92"/>
    <w:rsid w:val="00537AB4"/>
    <w:rsid w:val="00551919"/>
    <w:rsid w:val="00553C3F"/>
    <w:rsid w:val="00555018"/>
    <w:rsid w:val="00555107"/>
    <w:rsid w:val="0055748A"/>
    <w:rsid w:val="00561060"/>
    <w:rsid w:val="00562CF9"/>
    <w:rsid w:val="00566198"/>
    <w:rsid w:val="005723DC"/>
    <w:rsid w:val="00574A8A"/>
    <w:rsid w:val="00580214"/>
    <w:rsid w:val="00584305"/>
    <w:rsid w:val="00594535"/>
    <w:rsid w:val="005A38C6"/>
    <w:rsid w:val="005B00A9"/>
    <w:rsid w:val="005B19A0"/>
    <w:rsid w:val="005B28E5"/>
    <w:rsid w:val="005C1565"/>
    <w:rsid w:val="005C2DC4"/>
    <w:rsid w:val="005C3CC3"/>
    <w:rsid w:val="005D64AD"/>
    <w:rsid w:val="005F0B0E"/>
    <w:rsid w:val="005F3881"/>
    <w:rsid w:val="005F79AB"/>
    <w:rsid w:val="00603CDA"/>
    <w:rsid w:val="006149B6"/>
    <w:rsid w:val="006207C1"/>
    <w:rsid w:val="006210DC"/>
    <w:rsid w:val="00621E14"/>
    <w:rsid w:val="00622DC5"/>
    <w:rsid w:val="006263AB"/>
    <w:rsid w:val="006271D1"/>
    <w:rsid w:val="0063112E"/>
    <w:rsid w:val="00631D0C"/>
    <w:rsid w:val="006353C5"/>
    <w:rsid w:val="0064349D"/>
    <w:rsid w:val="0064355F"/>
    <w:rsid w:val="00645825"/>
    <w:rsid w:val="00646973"/>
    <w:rsid w:val="00653EED"/>
    <w:rsid w:val="0065714E"/>
    <w:rsid w:val="006655F7"/>
    <w:rsid w:val="00672DCF"/>
    <w:rsid w:val="00677B4B"/>
    <w:rsid w:val="006832CB"/>
    <w:rsid w:val="00685549"/>
    <w:rsid w:val="0068566E"/>
    <w:rsid w:val="00693449"/>
    <w:rsid w:val="006A1FD5"/>
    <w:rsid w:val="006A397E"/>
    <w:rsid w:val="006B0196"/>
    <w:rsid w:val="006B183E"/>
    <w:rsid w:val="006B2451"/>
    <w:rsid w:val="006B7365"/>
    <w:rsid w:val="006C1C9E"/>
    <w:rsid w:val="006C2D81"/>
    <w:rsid w:val="006C4E8D"/>
    <w:rsid w:val="006C7DF8"/>
    <w:rsid w:val="006D0164"/>
    <w:rsid w:val="006D15FC"/>
    <w:rsid w:val="006D63D7"/>
    <w:rsid w:val="006D6856"/>
    <w:rsid w:val="006E67CA"/>
    <w:rsid w:val="006F1B9D"/>
    <w:rsid w:val="006F31DC"/>
    <w:rsid w:val="006F3E81"/>
    <w:rsid w:val="006F40B9"/>
    <w:rsid w:val="006F48C0"/>
    <w:rsid w:val="0070273C"/>
    <w:rsid w:val="007143B6"/>
    <w:rsid w:val="0071440D"/>
    <w:rsid w:val="00715335"/>
    <w:rsid w:val="007154DC"/>
    <w:rsid w:val="00716972"/>
    <w:rsid w:val="0072455A"/>
    <w:rsid w:val="00730E9B"/>
    <w:rsid w:val="00733CF8"/>
    <w:rsid w:val="00736244"/>
    <w:rsid w:val="00741828"/>
    <w:rsid w:val="00742BED"/>
    <w:rsid w:val="00750B72"/>
    <w:rsid w:val="00750FC8"/>
    <w:rsid w:val="007533D0"/>
    <w:rsid w:val="00753911"/>
    <w:rsid w:val="00755069"/>
    <w:rsid w:val="00762554"/>
    <w:rsid w:val="0076334C"/>
    <w:rsid w:val="0076543D"/>
    <w:rsid w:val="0076727A"/>
    <w:rsid w:val="00773E1D"/>
    <w:rsid w:val="00776955"/>
    <w:rsid w:val="0079176E"/>
    <w:rsid w:val="007A1D86"/>
    <w:rsid w:val="007B0660"/>
    <w:rsid w:val="007C2BB1"/>
    <w:rsid w:val="007C4411"/>
    <w:rsid w:val="007C5056"/>
    <w:rsid w:val="007D4194"/>
    <w:rsid w:val="007E3868"/>
    <w:rsid w:val="007E7A2F"/>
    <w:rsid w:val="007F19CB"/>
    <w:rsid w:val="007F5E11"/>
    <w:rsid w:val="007F7E2E"/>
    <w:rsid w:val="00800181"/>
    <w:rsid w:val="00800609"/>
    <w:rsid w:val="00815082"/>
    <w:rsid w:val="00816B42"/>
    <w:rsid w:val="00817DB9"/>
    <w:rsid w:val="00817EEB"/>
    <w:rsid w:val="00820C41"/>
    <w:rsid w:val="00821EC3"/>
    <w:rsid w:val="0082209E"/>
    <w:rsid w:val="00833427"/>
    <w:rsid w:val="00837443"/>
    <w:rsid w:val="008461AF"/>
    <w:rsid w:val="00846BDD"/>
    <w:rsid w:val="00850256"/>
    <w:rsid w:val="00855CE1"/>
    <w:rsid w:val="00860B5A"/>
    <w:rsid w:val="00862095"/>
    <w:rsid w:val="00867C71"/>
    <w:rsid w:val="00875D08"/>
    <w:rsid w:val="00883E61"/>
    <w:rsid w:val="00891733"/>
    <w:rsid w:val="008944AB"/>
    <w:rsid w:val="0089630F"/>
    <w:rsid w:val="008A27E1"/>
    <w:rsid w:val="008A54FD"/>
    <w:rsid w:val="008A6474"/>
    <w:rsid w:val="008B19FE"/>
    <w:rsid w:val="008B2804"/>
    <w:rsid w:val="008B6D75"/>
    <w:rsid w:val="008C0763"/>
    <w:rsid w:val="008C3444"/>
    <w:rsid w:val="008C59FC"/>
    <w:rsid w:val="008C70E7"/>
    <w:rsid w:val="008D06D4"/>
    <w:rsid w:val="008D2C0D"/>
    <w:rsid w:val="008D3971"/>
    <w:rsid w:val="008E186E"/>
    <w:rsid w:val="008E4411"/>
    <w:rsid w:val="008E704D"/>
    <w:rsid w:val="008E783C"/>
    <w:rsid w:val="008F5A3F"/>
    <w:rsid w:val="00900326"/>
    <w:rsid w:val="00902E09"/>
    <w:rsid w:val="00904F0A"/>
    <w:rsid w:val="0091088A"/>
    <w:rsid w:val="00915C3C"/>
    <w:rsid w:val="00916AEC"/>
    <w:rsid w:val="00920A71"/>
    <w:rsid w:val="00922DEA"/>
    <w:rsid w:val="00923928"/>
    <w:rsid w:val="0093246F"/>
    <w:rsid w:val="0093686F"/>
    <w:rsid w:val="00942FD4"/>
    <w:rsid w:val="00943C2C"/>
    <w:rsid w:val="00945790"/>
    <w:rsid w:val="00951997"/>
    <w:rsid w:val="00953A32"/>
    <w:rsid w:val="009573AB"/>
    <w:rsid w:val="009750D1"/>
    <w:rsid w:val="00990352"/>
    <w:rsid w:val="009B52C4"/>
    <w:rsid w:val="009B5B00"/>
    <w:rsid w:val="009B5F1F"/>
    <w:rsid w:val="009C5DAB"/>
    <w:rsid w:val="009D09D7"/>
    <w:rsid w:val="009D12CD"/>
    <w:rsid w:val="009D2DB5"/>
    <w:rsid w:val="009D50F2"/>
    <w:rsid w:val="009E798F"/>
    <w:rsid w:val="009F49A6"/>
    <w:rsid w:val="009F49E7"/>
    <w:rsid w:val="00A03405"/>
    <w:rsid w:val="00A03BDA"/>
    <w:rsid w:val="00A044CF"/>
    <w:rsid w:val="00A05430"/>
    <w:rsid w:val="00A10113"/>
    <w:rsid w:val="00A12741"/>
    <w:rsid w:val="00A1528A"/>
    <w:rsid w:val="00A1595B"/>
    <w:rsid w:val="00A16CF7"/>
    <w:rsid w:val="00A300F7"/>
    <w:rsid w:val="00A33918"/>
    <w:rsid w:val="00A33A63"/>
    <w:rsid w:val="00A367D6"/>
    <w:rsid w:val="00A37E34"/>
    <w:rsid w:val="00A40714"/>
    <w:rsid w:val="00A437B7"/>
    <w:rsid w:val="00A43E00"/>
    <w:rsid w:val="00A46D9C"/>
    <w:rsid w:val="00A61046"/>
    <w:rsid w:val="00A62E93"/>
    <w:rsid w:val="00A673DD"/>
    <w:rsid w:val="00A7014B"/>
    <w:rsid w:val="00A7629F"/>
    <w:rsid w:val="00A76D92"/>
    <w:rsid w:val="00A820A3"/>
    <w:rsid w:val="00A82D98"/>
    <w:rsid w:val="00A97113"/>
    <w:rsid w:val="00AA2C8E"/>
    <w:rsid w:val="00AA73E7"/>
    <w:rsid w:val="00AA74D9"/>
    <w:rsid w:val="00AB2538"/>
    <w:rsid w:val="00AB3BB4"/>
    <w:rsid w:val="00AB58B0"/>
    <w:rsid w:val="00AC171B"/>
    <w:rsid w:val="00AC1AD8"/>
    <w:rsid w:val="00AC246A"/>
    <w:rsid w:val="00AC627E"/>
    <w:rsid w:val="00AD2FD8"/>
    <w:rsid w:val="00AD7179"/>
    <w:rsid w:val="00AE193F"/>
    <w:rsid w:val="00AE26CF"/>
    <w:rsid w:val="00AF0CEE"/>
    <w:rsid w:val="00AF6E13"/>
    <w:rsid w:val="00B0092F"/>
    <w:rsid w:val="00B02DB9"/>
    <w:rsid w:val="00B116E9"/>
    <w:rsid w:val="00B15D49"/>
    <w:rsid w:val="00B23E2A"/>
    <w:rsid w:val="00B2729A"/>
    <w:rsid w:val="00B31B02"/>
    <w:rsid w:val="00B3252A"/>
    <w:rsid w:val="00B42545"/>
    <w:rsid w:val="00B42703"/>
    <w:rsid w:val="00B54A47"/>
    <w:rsid w:val="00B64321"/>
    <w:rsid w:val="00B667AD"/>
    <w:rsid w:val="00B72826"/>
    <w:rsid w:val="00B7320F"/>
    <w:rsid w:val="00B76F7C"/>
    <w:rsid w:val="00B84C38"/>
    <w:rsid w:val="00B858B5"/>
    <w:rsid w:val="00B86C00"/>
    <w:rsid w:val="00B91B73"/>
    <w:rsid w:val="00B91D6A"/>
    <w:rsid w:val="00B93D3D"/>
    <w:rsid w:val="00B947F6"/>
    <w:rsid w:val="00BA2D29"/>
    <w:rsid w:val="00BB2870"/>
    <w:rsid w:val="00BB71A6"/>
    <w:rsid w:val="00BC15CD"/>
    <w:rsid w:val="00BC1C4E"/>
    <w:rsid w:val="00BD4378"/>
    <w:rsid w:val="00BD7244"/>
    <w:rsid w:val="00BE124B"/>
    <w:rsid w:val="00BE60D8"/>
    <w:rsid w:val="00BF16AA"/>
    <w:rsid w:val="00BF526C"/>
    <w:rsid w:val="00C03062"/>
    <w:rsid w:val="00C0414C"/>
    <w:rsid w:val="00C07B92"/>
    <w:rsid w:val="00C1179C"/>
    <w:rsid w:val="00C11F93"/>
    <w:rsid w:val="00C120CE"/>
    <w:rsid w:val="00C1460C"/>
    <w:rsid w:val="00C15F04"/>
    <w:rsid w:val="00C1650E"/>
    <w:rsid w:val="00C26F5D"/>
    <w:rsid w:val="00C354B8"/>
    <w:rsid w:val="00C42A04"/>
    <w:rsid w:val="00C4370F"/>
    <w:rsid w:val="00C46101"/>
    <w:rsid w:val="00C52517"/>
    <w:rsid w:val="00C543B8"/>
    <w:rsid w:val="00C5595F"/>
    <w:rsid w:val="00C60921"/>
    <w:rsid w:val="00C60F6E"/>
    <w:rsid w:val="00C623FC"/>
    <w:rsid w:val="00C62936"/>
    <w:rsid w:val="00C64F76"/>
    <w:rsid w:val="00C653F2"/>
    <w:rsid w:val="00C65D58"/>
    <w:rsid w:val="00C679E6"/>
    <w:rsid w:val="00C744DD"/>
    <w:rsid w:val="00C825F0"/>
    <w:rsid w:val="00C82C0E"/>
    <w:rsid w:val="00C842D4"/>
    <w:rsid w:val="00C908F9"/>
    <w:rsid w:val="00C97ADB"/>
    <w:rsid w:val="00CA0917"/>
    <w:rsid w:val="00CA1099"/>
    <w:rsid w:val="00CA25DC"/>
    <w:rsid w:val="00CA70B3"/>
    <w:rsid w:val="00CB06C8"/>
    <w:rsid w:val="00CB434E"/>
    <w:rsid w:val="00CB4FC8"/>
    <w:rsid w:val="00CC1B1B"/>
    <w:rsid w:val="00CC6E7E"/>
    <w:rsid w:val="00CD338B"/>
    <w:rsid w:val="00CD61C0"/>
    <w:rsid w:val="00CE4788"/>
    <w:rsid w:val="00CF0A71"/>
    <w:rsid w:val="00CF17BE"/>
    <w:rsid w:val="00CF3EBC"/>
    <w:rsid w:val="00CF797F"/>
    <w:rsid w:val="00D133AC"/>
    <w:rsid w:val="00D16374"/>
    <w:rsid w:val="00D2565F"/>
    <w:rsid w:val="00D417C2"/>
    <w:rsid w:val="00D422EF"/>
    <w:rsid w:val="00D533A2"/>
    <w:rsid w:val="00D54562"/>
    <w:rsid w:val="00D54D92"/>
    <w:rsid w:val="00D55185"/>
    <w:rsid w:val="00D579CB"/>
    <w:rsid w:val="00D60936"/>
    <w:rsid w:val="00D63796"/>
    <w:rsid w:val="00D709EB"/>
    <w:rsid w:val="00D71003"/>
    <w:rsid w:val="00D716EF"/>
    <w:rsid w:val="00D74714"/>
    <w:rsid w:val="00D82F3F"/>
    <w:rsid w:val="00D8321B"/>
    <w:rsid w:val="00D921C6"/>
    <w:rsid w:val="00D92384"/>
    <w:rsid w:val="00D958C2"/>
    <w:rsid w:val="00D95C3F"/>
    <w:rsid w:val="00DD2FD5"/>
    <w:rsid w:val="00DD3F5E"/>
    <w:rsid w:val="00DE5604"/>
    <w:rsid w:val="00E01603"/>
    <w:rsid w:val="00E04AB5"/>
    <w:rsid w:val="00E11E75"/>
    <w:rsid w:val="00E142F4"/>
    <w:rsid w:val="00E16425"/>
    <w:rsid w:val="00E166C4"/>
    <w:rsid w:val="00E23ABC"/>
    <w:rsid w:val="00E37B4A"/>
    <w:rsid w:val="00E41749"/>
    <w:rsid w:val="00E5011E"/>
    <w:rsid w:val="00E50EEA"/>
    <w:rsid w:val="00E52F58"/>
    <w:rsid w:val="00E53469"/>
    <w:rsid w:val="00E54233"/>
    <w:rsid w:val="00E61403"/>
    <w:rsid w:val="00E6274D"/>
    <w:rsid w:val="00E64EB3"/>
    <w:rsid w:val="00E65805"/>
    <w:rsid w:val="00E7187D"/>
    <w:rsid w:val="00E77E19"/>
    <w:rsid w:val="00E80DA2"/>
    <w:rsid w:val="00E8764A"/>
    <w:rsid w:val="00E94927"/>
    <w:rsid w:val="00EA21D5"/>
    <w:rsid w:val="00EC1CEA"/>
    <w:rsid w:val="00EC26AA"/>
    <w:rsid w:val="00EC473E"/>
    <w:rsid w:val="00EC6018"/>
    <w:rsid w:val="00ED7A53"/>
    <w:rsid w:val="00EE4273"/>
    <w:rsid w:val="00EE7533"/>
    <w:rsid w:val="00F008BC"/>
    <w:rsid w:val="00F01013"/>
    <w:rsid w:val="00F02004"/>
    <w:rsid w:val="00F042CB"/>
    <w:rsid w:val="00F10436"/>
    <w:rsid w:val="00F10B74"/>
    <w:rsid w:val="00F14A41"/>
    <w:rsid w:val="00F166E2"/>
    <w:rsid w:val="00F21BB4"/>
    <w:rsid w:val="00F23A3D"/>
    <w:rsid w:val="00F26041"/>
    <w:rsid w:val="00F357D8"/>
    <w:rsid w:val="00F370B2"/>
    <w:rsid w:val="00F371BF"/>
    <w:rsid w:val="00F423DA"/>
    <w:rsid w:val="00F42DC5"/>
    <w:rsid w:val="00F47286"/>
    <w:rsid w:val="00F55B8B"/>
    <w:rsid w:val="00F60941"/>
    <w:rsid w:val="00F60A20"/>
    <w:rsid w:val="00F65075"/>
    <w:rsid w:val="00F6633A"/>
    <w:rsid w:val="00F70E67"/>
    <w:rsid w:val="00F74502"/>
    <w:rsid w:val="00F82E7E"/>
    <w:rsid w:val="00F8412A"/>
    <w:rsid w:val="00F877BB"/>
    <w:rsid w:val="00F901DA"/>
    <w:rsid w:val="00F938A1"/>
    <w:rsid w:val="00F96885"/>
    <w:rsid w:val="00F97585"/>
    <w:rsid w:val="00FA223D"/>
    <w:rsid w:val="00FA328A"/>
    <w:rsid w:val="00FA5383"/>
    <w:rsid w:val="00FA6951"/>
    <w:rsid w:val="00FB6903"/>
    <w:rsid w:val="00FC0A95"/>
    <w:rsid w:val="00FC2AE0"/>
    <w:rsid w:val="00FC319B"/>
    <w:rsid w:val="00FC3D9C"/>
    <w:rsid w:val="00FC579D"/>
    <w:rsid w:val="00FD3130"/>
    <w:rsid w:val="00FD3D12"/>
    <w:rsid w:val="00FD68A3"/>
    <w:rsid w:val="00FD6CB7"/>
    <w:rsid w:val="00FE14B5"/>
    <w:rsid w:val="00FE2F05"/>
    <w:rsid w:val="00FE5D1A"/>
    <w:rsid w:val="00FE6FD9"/>
    <w:rsid w:val="00FF0153"/>
    <w:rsid w:val="00FF3B8C"/>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1de87ffd1d8b0dac414d31ea4968fd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22bdd396c20b4d73ad6aa105d39c51d9"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9EAE6D7-8FCD-4953-B55C-BBDFE3CFB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FB8C00-D334-429D-BE32-5E300995ABF1}">
  <ds:schemaRefs>
    <ds:schemaRef ds:uri="http://schemas.microsoft.com/sharepoint/v3/contenttype/forms"/>
  </ds:schemaRefs>
</ds:datastoreItem>
</file>

<file path=customXml/itemProps4.xml><?xml version="1.0" encoding="utf-8"?>
<ds:datastoreItem xmlns:ds="http://schemas.openxmlformats.org/officeDocument/2006/customXml" ds:itemID="{08D64B31-0DED-400B-941A-B4EC80610950}">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2472</Words>
  <Characters>14091</Characters>
  <Application>Microsoft Office Word</Application>
  <DocSecurity>4</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2026-05-14T14:25:00Z</cp:lastPrinted>
  <dcterms:created xsi:type="dcterms:W3CDTF">2026-05-14T20:45:00Z</dcterms:created>
  <dcterms:modified xsi:type="dcterms:W3CDTF">2026-05-14T20:45:00Z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GrammarlyDocumentId">
    <vt:lpwstr>51a7c828-bc34-4701-b272-6b7c09f02dea</vt:lpwstr>
  </property>
</Properties>
</file>