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0ADDD" w14:textId="77777777" w:rsidR="00B353E1" w:rsidRPr="00996BF2" w:rsidRDefault="006A7149" w:rsidP="00E727BB">
      <w:pPr>
        <w:suppressLineNumbers/>
        <w:spacing w:after="0" w:line="240" w:lineRule="auto"/>
        <w:jc w:val="center"/>
        <w:rPr>
          <w:sz w:val="28"/>
          <w:szCs w:val="28"/>
        </w:rPr>
      </w:pPr>
      <w:r w:rsidRPr="00996BF2">
        <w:rPr>
          <w:sz w:val="28"/>
          <w:szCs w:val="28"/>
        </w:rPr>
        <w:t>GOBIERNO DE PUERTO RICO</w:t>
      </w:r>
    </w:p>
    <w:p w14:paraId="672AC210" w14:textId="77777777" w:rsidR="001D7C36" w:rsidRPr="00996BF2" w:rsidRDefault="001D7C36" w:rsidP="00E727BB">
      <w:pPr>
        <w:suppressLineNumbers/>
        <w:spacing w:after="0" w:line="240" w:lineRule="auto"/>
        <w:jc w:val="center"/>
        <w:rPr>
          <w:sz w:val="24"/>
          <w:szCs w:val="28"/>
        </w:rPr>
      </w:pPr>
    </w:p>
    <w:p w14:paraId="6E63C44A" w14:textId="099193A3" w:rsidR="00B353E1" w:rsidRPr="00996BF2" w:rsidRDefault="00E139F3" w:rsidP="00E727BB">
      <w:pPr>
        <w:pStyle w:val="Title2"/>
        <w:suppressLineNumbers/>
        <w:tabs>
          <w:tab w:val="clear" w:pos="648"/>
          <w:tab w:val="clear" w:pos="7776"/>
          <w:tab w:val="clear" w:pos="7848"/>
        </w:tabs>
        <w:jc w:val="both"/>
        <w:rPr>
          <w:rFonts w:ascii="Book Antiqua" w:hAnsi="Book Antiqua"/>
          <w:lang w:val="es-PR"/>
        </w:rPr>
      </w:pPr>
      <w:r>
        <w:rPr>
          <w:rFonts w:ascii="Book Antiqua" w:hAnsi="Book Antiqua"/>
          <w:lang w:val="es-PR"/>
        </w:rPr>
        <w:t>20ma.</w:t>
      </w:r>
      <w:r w:rsidR="00B353E1" w:rsidRPr="00996BF2">
        <w:rPr>
          <w:rFonts w:ascii="Book Antiqua" w:hAnsi="Book Antiqua"/>
          <w:lang w:val="es-PR"/>
        </w:rPr>
        <w:t xml:space="preserve"> Asamblea</w:t>
      </w:r>
      <w:r w:rsidR="00B353E1" w:rsidRPr="00F76CA0">
        <w:rPr>
          <w:lang w:val="es-ES"/>
        </w:rPr>
        <w:tab/>
      </w:r>
      <w:r w:rsidR="00B353E1" w:rsidRPr="00996BF2">
        <w:rPr>
          <w:rFonts w:ascii="Book Antiqua" w:hAnsi="Book Antiqua"/>
          <w:lang w:val="es-PR"/>
        </w:rPr>
        <w:t xml:space="preserve">                                                               </w:t>
      </w:r>
      <w:r w:rsidR="007543AA" w:rsidRPr="00996BF2">
        <w:rPr>
          <w:rFonts w:ascii="Book Antiqua" w:hAnsi="Book Antiqua"/>
          <w:lang w:val="es-PR"/>
        </w:rPr>
        <w:t xml:space="preserve">                            </w:t>
      </w:r>
      <w:r w:rsidR="00A829F0" w:rsidRPr="00996BF2">
        <w:rPr>
          <w:rFonts w:ascii="Book Antiqua" w:hAnsi="Book Antiqua"/>
          <w:lang w:val="es-PR"/>
        </w:rPr>
        <w:t xml:space="preserve">    </w:t>
      </w:r>
      <w:r w:rsidR="007543AA" w:rsidRPr="00996BF2">
        <w:rPr>
          <w:rFonts w:ascii="Book Antiqua" w:hAnsi="Book Antiqua"/>
          <w:lang w:val="es-PR"/>
        </w:rPr>
        <w:t xml:space="preserve"> </w:t>
      </w:r>
      <w:r>
        <w:rPr>
          <w:rFonts w:ascii="Book Antiqua" w:hAnsi="Book Antiqua"/>
          <w:lang w:val="es-PR"/>
        </w:rPr>
        <w:t>1ra.</w:t>
      </w:r>
      <w:r w:rsidR="00B353E1" w:rsidRPr="6C796E00">
        <w:rPr>
          <w:rFonts w:ascii="Book Antiqua" w:hAnsi="Book Antiqua"/>
          <w:vertAlign w:val="superscript"/>
          <w:lang w:val="es-PR"/>
        </w:rPr>
        <w:t xml:space="preserve"> </w:t>
      </w:r>
      <w:r w:rsidR="00B353E1" w:rsidRPr="00996BF2">
        <w:rPr>
          <w:rFonts w:ascii="Book Antiqua" w:hAnsi="Book Antiqua"/>
          <w:lang w:val="es-PR"/>
        </w:rPr>
        <w:t>Sesión</w:t>
      </w:r>
    </w:p>
    <w:p w14:paraId="046E3AFB" w14:textId="30D97DA7" w:rsidR="00B353E1" w:rsidRPr="00996BF2" w:rsidRDefault="00B353E1" w:rsidP="00E727BB">
      <w:pPr>
        <w:pStyle w:val="Title2"/>
        <w:suppressLineNumbers/>
        <w:tabs>
          <w:tab w:val="clear" w:pos="648"/>
          <w:tab w:val="clear" w:pos="7776"/>
          <w:tab w:val="clear" w:pos="7848"/>
        </w:tabs>
        <w:jc w:val="both"/>
        <w:rPr>
          <w:rFonts w:ascii="Book Antiqua" w:hAnsi="Book Antiqua"/>
          <w:lang w:val="es-PR"/>
        </w:rPr>
      </w:pPr>
      <w:r w:rsidRPr="00996BF2">
        <w:rPr>
          <w:rFonts w:ascii="Book Antiqua" w:hAnsi="Book Antiqua"/>
          <w:lang w:val="es-PR"/>
        </w:rPr>
        <w:t xml:space="preserve">          Legislativa</w:t>
      </w:r>
      <w:r w:rsidRPr="00996BF2">
        <w:rPr>
          <w:rFonts w:ascii="Book Antiqua" w:hAnsi="Book Antiqua"/>
          <w:lang w:val="es-PR"/>
        </w:rPr>
        <w:tab/>
        <w:t xml:space="preserve">                                                                      </w:t>
      </w:r>
      <w:r w:rsidR="007543AA" w:rsidRPr="00996BF2">
        <w:rPr>
          <w:rFonts w:ascii="Book Antiqua" w:hAnsi="Book Antiqua"/>
          <w:lang w:val="es-PR"/>
        </w:rPr>
        <w:t xml:space="preserve">                       </w:t>
      </w:r>
      <w:r w:rsidR="00A829F0" w:rsidRPr="00996BF2">
        <w:rPr>
          <w:rFonts w:ascii="Book Antiqua" w:hAnsi="Book Antiqua"/>
          <w:lang w:val="es-PR"/>
        </w:rPr>
        <w:t xml:space="preserve">         </w:t>
      </w:r>
      <w:r w:rsidR="00E139F3">
        <w:rPr>
          <w:rFonts w:ascii="Book Antiqua" w:hAnsi="Book Antiqua"/>
          <w:lang w:val="es-PR"/>
        </w:rPr>
        <w:t xml:space="preserve"> </w:t>
      </w:r>
      <w:r w:rsidRPr="00996BF2">
        <w:rPr>
          <w:rFonts w:ascii="Book Antiqua" w:hAnsi="Book Antiqua"/>
          <w:lang w:val="es-PR"/>
        </w:rPr>
        <w:t>Ordinaria</w:t>
      </w:r>
    </w:p>
    <w:p w14:paraId="13D95879" w14:textId="77777777" w:rsidR="00B353E1" w:rsidRPr="00E139F3" w:rsidRDefault="00B353E1" w:rsidP="00E727BB">
      <w:pPr>
        <w:suppressLineNumbers/>
        <w:spacing w:after="0" w:line="240" w:lineRule="auto"/>
        <w:rPr>
          <w:sz w:val="24"/>
          <w:szCs w:val="24"/>
        </w:rPr>
      </w:pPr>
    </w:p>
    <w:p w14:paraId="1423D0A8" w14:textId="77777777" w:rsidR="00B353E1" w:rsidRPr="00996BF2" w:rsidRDefault="00B353E1" w:rsidP="00326507">
      <w:pPr>
        <w:suppressLineNumbers/>
        <w:spacing w:after="0" w:line="240" w:lineRule="auto"/>
        <w:jc w:val="center"/>
        <w:rPr>
          <w:b/>
          <w:sz w:val="36"/>
        </w:rPr>
      </w:pPr>
      <w:r w:rsidRPr="00996BF2">
        <w:rPr>
          <w:b/>
          <w:sz w:val="36"/>
        </w:rPr>
        <w:t>C</w:t>
      </w:r>
      <w:r w:rsidR="001D7C36" w:rsidRPr="00996BF2">
        <w:rPr>
          <w:b/>
          <w:sz w:val="36"/>
        </w:rPr>
        <w:t>Á</w:t>
      </w:r>
      <w:r w:rsidRPr="00996BF2">
        <w:rPr>
          <w:b/>
          <w:sz w:val="36"/>
        </w:rPr>
        <w:t>MARA DE REPRESENTANTES</w:t>
      </w:r>
    </w:p>
    <w:p w14:paraId="3D088770" w14:textId="77777777" w:rsidR="001D7C36" w:rsidRPr="00996BF2" w:rsidRDefault="001D7C36" w:rsidP="00326507">
      <w:pPr>
        <w:suppressLineNumbers/>
        <w:spacing w:after="0" w:line="240" w:lineRule="auto"/>
        <w:jc w:val="center"/>
        <w:rPr>
          <w:b/>
          <w:sz w:val="24"/>
        </w:rPr>
      </w:pPr>
    </w:p>
    <w:p w14:paraId="0B409554" w14:textId="621E0F77" w:rsidR="00B353E1" w:rsidRPr="00996BF2" w:rsidRDefault="00B353E1" w:rsidP="00326507">
      <w:pPr>
        <w:suppressLineNumbers/>
        <w:spacing w:after="0" w:line="240" w:lineRule="auto"/>
        <w:jc w:val="center"/>
        <w:rPr>
          <w:b/>
          <w:sz w:val="52"/>
          <w:szCs w:val="52"/>
        </w:rPr>
      </w:pPr>
      <w:r w:rsidRPr="00996BF2">
        <w:rPr>
          <w:b/>
          <w:sz w:val="52"/>
          <w:szCs w:val="52"/>
        </w:rPr>
        <w:t>P. de la C.</w:t>
      </w:r>
      <w:r w:rsidR="001D7C36" w:rsidRPr="00996BF2">
        <w:rPr>
          <w:b/>
          <w:sz w:val="52"/>
          <w:szCs w:val="52"/>
        </w:rPr>
        <w:t xml:space="preserve"> </w:t>
      </w:r>
      <w:r w:rsidR="00B2392B">
        <w:rPr>
          <w:b/>
          <w:sz w:val="52"/>
          <w:szCs w:val="52"/>
        </w:rPr>
        <w:t>363</w:t>
      </w:r>
    </w:p>
    <w:p w14:paraId="47AD6F7D" w14:textId="77777777" w:rsidR="00B353E1" w:rsidRPr="00E139F3" w:rsidRDefault="00B353E1" w:rsidP="00326507">
      <w:pPr>
        <w:suppressLineNumbers/>
        <w:spacing w:after="0" w:line="240" w:lineRule="auto"/>
        <w:jc w:val="center"/>
        <w:rPr>
          <w:sz w:val="24"/>
          <w:szCs w:val="24"/>
        </w:rPr>
      </w:pPr>
    </w:p>
    <w:p w14:paraId="639ADC2F" w14:textId="20CB7B99" w:rsidR="00B353E1" w:rsidRPr="00996BF2" w:rsidRDefault="00F76CA0" w:rsidP="00326507">
      <w:pPr>
        <w:suppressLineNumbers/>
        <w:spacing w:after="0" w:line="240" w:lineRule="auto"/>
        <w:jc w:val="center"/>
        <w:rPr>
          <w:sz w:val="24"/>
          <w:szCs w:val="24"/>
        </w:rPr>
      </w:pPr>
      <w:r>
        <w:rPr>
          <w:sz w:val="24"/>
          <w:szCs w:val="24"/>
        </w:rPr>
        <w:t>27</w:t>
      </w:r>
      <w:r w:rsidR="00A552BB">
        <w:rPr>
          <w:sz w:val="24"/>
          <w:szCs w:val="24"/>
        </w:rPr>
        <w:t xml:space="preserve"> </w:t>
      </w:r>
      <w:r w:rsidR="002313C6" w:rsidRPr="00996BF2">
        <w:rPr>
          <w:sz w:val="24"/>
          <w:szCs w:val="24"/>
        </w:rPr>
        <w:t xml:space="preserve">DE </w:t>
      </w:r>
      <w:r w:rsidR="42E7081E" w:rsidRPr="6C796E00">
        <w:rPr>
          <w:sz w:val="24"/>
          <w:szCs w:val="24"/>
        </w:rPr>
        <w:t>FEBRERO</w:t>
      </w:r>
      <w:r w:rsidR="00B353E1" w:rsidRPr="00996BF2">
        <w:rPr>
          <w:sz w:val="24"/>
          <w:szCs w:val="24"/>
        </w:rPr>
        <w:t xml:space="preserve"> DE 20</w:t>
      </w:r>
      <w:r w:rsidR="00403FC6">
        <w:rPr>
          <w:sz w:val="24"/>
          <w:szCs w:val="24"/>
        </w:rPr>
        <w:t>25</w:t>
      </w:r>
    </w:p>
    <w:p w14:paraId="46FDE5BE" w14:textId="77777777" w:rsidR="00B353E1" w:rsidRPr="00E139F3" w:rsidRDefault="00B353E1" w:rsidP="00326507">
      <w:pPr>
        <w:suppressLineNumbers/>
        <w:spacing w:after="0" w:line="240" w:lineRule="auto"/>
        <w:jc w:val="center"/>
        <w:rPr>
          <w:sz w:val="24"/>
          <w:szCs w:val="24"/>
        </w:rPr>
      </w:pPr>
    </w:p>
    <w:p w14:paraId="15638EBB" w14:textId="2BBB4A52" w:rsidR="00B353E1" w:rsidRPr="00A46C34" w:rsidRDefault="00B353E1" w:rsidP="00326507">
      <w:pPr>
        <w:suppressLineNumbers/>
        <w:spacing w:after="0" w:line="240" w:lineRule="auto"/>
        <w:jc w:val="center"/>
        <w:rPr>
          <w:i/>
          <w:sz w:val="24"/>
          <w:szCs w:val="24"/>
        </w:rPr>
      </w:pPr>
      <w:r w:rsidRPr="6C796E00">
        <w:rPr>
          <w:sz w:val="24"/>
          <w:szCs w:val="24"/>
        </w:rPr>
        <w:t xml:space="preserve">Presentado por </w:t>
      </w:r>
      <w:r w:rsidR="00DE33BF" w:rsidRPr="6C796E00">
        <w:rPr>
          <w:sz w:val="24"/>
          <w:szCs w:val="24"/>
        </w:rPr>
        <w:t>el</w:t>
      </w:r>
      <w:r w:rsidRPr="6C796E00">
        <w:rPr>
          <w:sz w:val="24"/>
          <w:szCs w:val="24"/>
        </w:rPr>
        <w:t xml:space="preserve"> representante</w:t>
      </w:r>
      <w:r w:rsidR="00B72672">
        <w:rPr>
          <w:sz w:val="24"/>
          <w:szCs w:val="24"/>
        </w:rPr>
        <w:t xml:space="preserve"> </w:t>
      </w:r>
      <w:r w:rsidR="00B72672" w:rsidRPr="00513B70">
        <w:rPr>
          <w:i/>
          <w:iCs/>
          <w:sz w:val="24"/>
          <w:szCs w:val="24"/>
        </w:rPr>
        <w:t>Colón Rodríguez</w:t>
      </w:r>
      <w:r w:rsidR="00B72672">
        <w:rPr>
          <w:sz w:val="24"/>
          <w:szCs w:val="24"/>
        </w:rPr>
        <w:t xml:space="preserve"> </w:t>
      </w:r>
      <w:r w:rsidRPr="6C796E00">
        <w:rPr>
          <w:i/>
          <w:sz w:val="24"/>
          <w:szCs w:val="24"/>
        </w:rPr>
        <w:t xml:space="preserve"> </w:t>
      </w:r>
    </w:p>
    <w:p w14:paraId="0984B675" w14:textId="7CD7E722" w:rsidR="6C796E00" w:rsidRDefault="6C796E00" w:rsidP="6C796E00">
      <w:pPr>
        <w:suppressLineNumbers/>
        <w:spacing w:after="0" w:line="240" w:lineRule="auto"/>
        <w:jc w:val="center"/>
        <w:rPr>
          <w:i/>
          <w:iCs/>
          <w:sz w:val="24"/>
          <w:szCs w:val="24"/>
        </w:rPr>
      </w:pPr>
    </w:p>
    <w:p w14:paraId="44194DE3" w14:textId="063131B0" w:rsidR="554613E8" w:rsidRDefault="554613E8" w:rsidP="6C796E00">
      <w:pPr>
        <w:suppressLineNumbers/>
        <w:spacing w:after="0" w:line="240" w:lineRule="auto"/>
        <w:jc w:val="center"/>
        <w:rPr>
          <w:sz w:val="24"/>
          <w:szCs w:val="24"/>
        </w:rPr>
      </w:pPr>
      <w:r w:rsidRPr="6C796E00">
        <w:rPr>
          <w:sz w:val="24"/>
          <w:szCs w:val="24"/>
        </w:rPr>
        <w:t xml:space="preserve">Referido a la </w:t>
      </w:r>
      <w:r w:rsidR="0C89ADCE" w:rsidRPr="6C796E00">
        <w:rPr>
          <w:sz w:val="24"/>
          <w:szCs w:val="24"/>
        </w:rPr>
        <w:t xml:space="preserve">Comisión de </w:t>
      </w:r>
      <w:r w:rsidR="002320C2">
        <w:rPr>
          <w:sz w:val="24"/>
          <w:szCs w:val="24"/>
        </w:rPr>
        <w:t>Banca, Seguros y Comercio</w:t>
      </w:r>
    </w:p>
    <w:p w14:paraId="27675435" w14:textId="77777777" w:rsidR="00B353E1" w:rsidRPr="00996BF2" w:rsidRDefault="00B353E1" w:rsidP="00E727BB">
      <w:pPr>
        <w:pStyle w:val="Heading6"/>
        <w:suppressLineNumbers/>
        <w:rPr>
          <w:rFonts w:ascii="Book Antiqua" w:hAnsi="Book Antiqua"/>
          <w:sz w:val="24"/>
        </w:rPr>
      </w:pPr>
    </w:p>
    <w:p w14:paraId="4216388A" w14:textId="77777777" w:rsidR="00CC6B7C" w:rsidRPr="00996BF2" w:rsidRDefault="00CC6B7C" w:rsidP="00E727BB">
      <w:pPr>
        <w:pStyle w:val="Heading6"/>
        <w:suppressLineNumbers/>
        <w:rPr>
          <w:rFonts w:ascii="Book Antiqua" w:hAnsi="Book Antiqua"/>
        </w:rPr>
      </w:pPr>
      <w:r w:rsidRPr="00996BF2">
        <w:rPr>
          <w:rFonts w:ascii="Book Antiqua" w:hAnsi="Book Antiqua"/>
        </w:rPr>
        <w:t>LEY</w:t>
      </w:r>
    </w:p>
    <w:p w14:paraId="6983E451" w14:textId="77777777" w:rsidR="00CC6B7C" w:rsidRPr="00996BF2" w:rsidRDefault="00CC6B7C" w:rsidP="00E727BB">
      <w:pPr>
        <w:suppressLineNumbers/>
        <w:spacing w:after="0" w:line="240" w:lineRule="auto"/>
        <w:rPr>
          <w:sz w:val="24"/>
        </w:rPr>
      </w:pPr>
    </w:p>
    <w:p w14:paraId="03DADDA2" w14:textId="0F527232" w:rsidR="00CC6B7C" w:rsidRPr="00996BF2" w:rsidRDefault="013EE12D" w:rsidP="00E139F3">
      <w:pPr>
        <w:pStyle w:val="BodyText"/>
        <w:suppressLineNumbers/>
        <w:ind w:left="720" w:hanging="720"/>
        <w:rPr>
          <w:rFonts w:ascii="Book Antiqua" w:hAnsi="Book Antiqua"/>
        </w:rPr>
      </w:pPr>
      <w:r w:rsidRPr="1C0DABF2">
        <w:rPr>
          <w:rFonts w:ascii="Book Antiqua" w:hAnsi="Book Antiqua"/>
        </w:rPr>
        <w:t xml:space="preserve">Para </w:t>
      </w:r>
      <w:r w:rsidR="5237799D" w:rsidRPr="1C0DABF2">
        <w:rPr>
          <w:rFonts w:ascii="Book Antiqua" w:hAnsi="Book Antiqua"/>
        </w:rPr>
        <w:t>enmendar</w:t>
      </w:r>
      <w:r w:rsidR="16BEBFE0" w:rsidRPr="1C0DABF2">
        <w:rPr>
          <w:rFonts w:ascii="Book Antiqua" w:hAnsi="Book Antiqua"/>
        </w:rPr>
        <w:t xml:space="preserve"> </w:t>
      </w:r>
      <w:r w:rsidR="2A760878" w:rsidRPr="1C0DABF2">
        <w:rPr>
          <w:rFonts w:ascii="Book Antiqua" w:hAnsi="Book Antiqua"/>
        </w:rPr>
        <w:t>e</w:t>
      </w:r>
      <w:r w:rsidR="5237799D" w:rsidRPr="1C0DABF2">
        <w:rPr>
          <w:rFonts w:ascii="Book Antiqua" w:hAnsi="Book Antiqua"/>
        </w:rPr>
        <w:t>l</w:t>
      </w:r>
      <w:r w:rsidR="075AD5FD" w:rsidRPr="1C0DABF2">
        <w:rPr>
          <w:rFonts w:ascii="Book Antiqua" w:hAnsi="Book Antiqua"/>
        </w:rPr>
        <w:t xml:space="preserve"> </w:t>
      </w:r>
      <w:r w:rsidR="16BEBFE0" w:rsidRPr="1C0DABF2">
        <w:rPr>
          <w:rFonts w:ascii="Book Antiqua" w:hAnsi="Book Antiqua"/>
        </w:rPr>
        <w:t>Artículo 27.16</w:t>
      </w:r>
      <w:r w:rsidR="636509F1" w:rsidRPr="1C0DABF2">
        <w:rPr>
          <w:rFonts w:ascii="Book Antiqua" w:hAnsi="Book Antiqua"/>
        </w:rPr>
        <w:t>4</w:t>
      </w:r>
      <w:r w:rsidR="72D85202" w:rsidRPr="1C0DABF2">
        <w:rPr>
          <w:rFonts w:ascii="Book Antiqua" w:hAnsi="Book Antiqua"/>
        </w:rPr>
        <w:t xml:space="preserve"> y el</w:t>
      </w:r>
      <w:r w:rsidR="46C16AE2" w:rsidRPr="1C0DABF2">
        <w:rPr>
          <w:rFonts w:ascii="Book Antiqua" w:hAnsi="Book Antiqua"/>
        </w:rPr>
        <w:t xml:space="preserve"> Artículo 27.16</w:t>
      </w:r>
      <w:r w:rsidR="636509F1" w:rsidRPr="1C0DABF2">
        <w:rPr>
          <w:rFonts w:ascii="Book Antiqua" w:hAnsi="Book Antiqua"/>
        </w:rPr>
        <w:t>5</w:t>
      </w:r>
      <w:r w:rsidR="46C16AE2" w:rsidRPr="1C0DABF2">
        <w:rPr>
          <w:rFonts w:ascii="Book Antiqua" w:hAnsi="Book Antiqua"/>
        </w:rPr>
        <w:t xml:space="preserve"> </w:t>
      </w:r>
      <w:r w:rsidR="183D524A" w:rsidRPr="1C0DABF2">
        <w:rPr>
          <w:rFonts w:ascii="Book Antiqua" w:hAnsi="Book Antiqua"/>
        </w:rPr>
        <w:t>de la Ley Núm. 77 de 19 de junio de 1957, según enmendada,</w:t>
      </w:r>
      <w:r w:rsidR="4B8EE80B" w:rsidRPr="1C0DABF2">
        <w:rPr>
          <w:rFonts w:ascii="Book Antiqua" w:hAnsi="Book Antiqua"/>
        </w:rPr>
        <w:t xml:space="preserve"> conocida como “</w:t>
      </w:r>
      <w:r w:rsidR="0AD6CA33" w:rsidRPr="1C0DABF2">
        <w:rPr>
          <w:rFonts w:ascii="Book Antiqua" w:hAnsi="Book Antiqua"/>
        </w:rPr>
        <w:t>Código</w:t>
      </w:r>
      <w:r w:rsidR="4B8EE80B" w:rsidRPr="1C0DABF2">
        <w:rPr>
          <w:rFonts w:ascii="Book Antiqua" w:hAnsi="Book Antiqua"/>
        </w:rPr>
        <w:t xml:space="preserve"> de Seguros de Puerto Rico”</w:t>
      </w:r>
      <w:r w:rsidR="6DE83443" w:rsidRPr="1C0DABF2">
        <w:rPr>
          <w:rFonts w:ascii="Book Antiqua" w:hAnsi="Book Antiqua"/>
        </w:rPr>
        <w:t>,</w:t>
      </w:r>
      <w:r w:rsidR="4B8EE80B" w:rsidRPr="1C0DABF2">
        <w:rPr>
          <w:rFonts w:ascii="Book Antiqua" w:hAnsi="Book Antiqua"/>
        </w:rPr>
        <w:t xml:space="preserve"> a los fines de </w:t>
      </w:r>
      <w:r w:rsidR="5237799D" w:rsidRPr="1C0DABF2">
        <w:rPr>
          <w:rFonts w:ascii="Book Antiqua" w:hAnsi="Book Antiqua"/>
        </w:rPr>
        <w:t xml:space="preserve">aclarar el alcance de los </w:t>
      </w:r>
      <w:r w:rsidR="16BEBFE0" w:rsidRPr="1C0DABF2">
        <w:rPr>
          <w:rFonts w:ascii="Book Antiqua" w:hAnsi="Book Antiqua"/>
        </w:rPr>
        <w:t xml:space="preserve">remedios y protecciones civiles </w:t>
      </w:r>
      <w:r w:rsidR="3DF7ACBA" w:rsidRPr="1C0DABF2">
        <w:rPr>
          <w:rFonts w:ascii="Book Antiqua" w:hAnsi="Book Antiqua"/>
        </w:rPr>
        <w:t>creados por la Ley 247</w:t>
      </w:r>
      <w:r w:rsidR="0F6AD34B" w:rsidRPr="1C0DABF2">
        <w:rPr>
          <w:rFonts w:ascii="Book Antiqua" w:hAnsi="Book Antiqua"/>
        </w:rPr>
        <w:t>-</w:t>
      </w:r>
      <w:r w:rsidR="3DF7ACBA" w:rsidRPr="1C0DABF2">
        <w:rPr>
          <w:rFonts w:ascii="Book Antiqua" w:hAnsi="Book Antiqua"/>
        </w:rPr>
        <w:t xml:space="preserve">2018 </w:t>
      </w:r>
      <w:r w:rsidR="16BEBFE0" w:rsidRPr="1C0DABF2">
        <w:rPr>
          <w:rFonts w:ascii="Book Antiqua" w:hAnsi="Book Antiqua"/>
        </w:rPr>
        <w:t>en caso de incumplimiento por parte de la aseguradora a las disposiciones de esta Ley</w:t>
      </w:r>
      <w:r w:rsidR="183D524A" w:rsidRPr="1C0DABF2">
        <w:rPr>
          <w:rFonts w:ascii="Book Antiqua" w:hAnsi="Book Antiqua"/>
        </w:rPr>
        <w:t xml:space="preserve">; </w:t>
      </w:r>
      <w:r w:rsidR="4B8EE80B" w:rsidRPr="1C0DABF2">
        <w:rPr>
          <w:rFonts w:ascii="Book Antiqua" w:hAnsi="Book Antiqua"/>
        </w:rPr>
        <w:t xml:space="preserve">y para otros fines relacionados. </w:t>
      </w:r>
    </w:p>
    <w:p w14:paraId="7E753A08" w14:textId="77777777" w:rsidR="00C63278" w:rsidRPr="00996BF2" w:rsidRDefault="00C63278" w:rsidP="00E727BB">
      <w:pPr>
        <w:pStyle w:val="BodyText"/>
        <w:suppressLineNumbers/>
        <w:ind w:left="540" w:hanging="540"/>
        <w:rPr>
          <w:rFonts w:ascii="Book Antiqua" w:hAnsi="Book Antiqua"/>
        </w:rPr>
      </w:pPr>
    </w:p>
    <w:p w14:paraId="72404F39" w14:textId="77777777" w:rsidR="00C640B1" w:rsidRPr="00996BF2" w:rsidRDefault="001D7C36" w:rsidP="00E727BB">
      <w:pPr>
        <w:pStyle w:val="BodyText"/>
        <w:suppressLineNumbers/>
        <w:jc w:val="center"/>
        <w:rPr>
          <w:rFonts w:ascii="Book Antiqua" w:hAnsi="Book Antiqua"/>
          <w:bCs/>
        </w:rPr>
      </w:pPr>
      <w:r w:rsidRPr="00996BF2">
        <w:rPr>
          <w:rFonts w:ascii="Book Antiqua" w:hAnsi="Book Antiqua"/>
          <w:bCs/>
        </w:rPr>
        <w:t>EXPOSICIÓ</w:t>
      </w:r>
      <w:r w:rsidR="00CC6B7C" w:rsidRPr="00996BF2">
        <w:rPr>
          <w:rFonts w:ascii="Book Antiqua" w:hAnsi="Book Antiqua"/>
          <w:bCs/>
        </w:rPr>
        <w:t>N DE MOTIVOS</w:t>
      </w:r>
    </w:p>
    <w:p w14:paraId="282C2363" w14:textId="77777777" w:rsidR="00BE6D13" w:rsidRPr="00996BF2" w:rsidRDefault="00AE0B6A" w:rsidP="00326507">
      <w:pPr>
        <w:pStyle w:val="BodyText"/>
        <w:suppressLineNumbers/>
        <w:rPr>
          <w:rFonts w:ascii="Book Antiqua" w:hAnsi="Book Antiqua"/>
          <w:color w:val="000000"/>
        </w:rPr>
      </w:pPr>
      <w:r w:rsidRPr="00996BF2">
        <w:rPr>
          <w:rFonts w:ascii="Book Antiqua" w:hAnsi="Book Antiqua"/>
          <w:color w:val="000000"/>
        </w:rPr>
        <w:tab/>
      </w:r>
    </w:p>
    <w:p w14:paraId="4056532C" w14:textId="25D739F2" w:rsidR="003B753A" w:rsidRDefault="3DF7ACBA" w:rsidP="00E139F3">
      <w:pPr>
        <w:pStyle w:val="BodyText"/>
        <w:suppressLineNumbers/>
        <w:ind w:firstLine="720"/>
        <w:rPr>
          <w:rFonts w:ascii="Book Antiqua" w:hAnsi="Book Antiqua"/>
          <w:color w:val="000000"/>
        </w:rPr>
      </w:pPr>
      <w:r>
        <w:rPr>
          <w:rFonts w:ascii="Book Antiqua" w:hAnsi="Book Antiqua"/>
          <w:color w:val="000000"/>
        </w:rPr>
        <w:t>En el mes de septiembre de 2017, Puerto Rico sufrió los embates de l</w:t>
      </w:r>
      <w:r w:rsidR="285A1FC5" w:rsidRPr="00996BF2">
        <w:rPr>
          <w:rFonts w:ascii="Book Antiqua" w:hAnsi="Book Antiqua"/>
          <w:color w:val="000000"/>
        </w:rPr>
        <w:t>os huracanes Irma y María</w:t>
      </w:r>
      <w:r>
        <w:rPr>
          <w:rFonts w:ascii="Book Antiqua" w:hAnsi="Book Antiqua"/>
          <w:color w:val="000000"/>
        </w:rPr>
        <w:t>. L</w:t>
      </w:r>
      <w:r w:rsidRPr="00996BF2">
        <w:rPr>
          <w:rFonts w:ascii="Book Antiqua" w:hAnsi="Book Antiqua"/>
          <w:color w:val="000000"/>
        </w:rPr>
        <w:t xml:space="preserve">a respuesta por parte de la industria de seguros ante esta histórica catástrofe </w:t>
      </w:r>
      <w:r w:rsidR="30CB9812" w:rsidRPr="00996BF2">
        <w:rPr>
          <w:rFonts w:ascii="Book Antiqua" w:hAnsi="Book Antiqua"/>
          <w:color w:val="000000"/>
        </w:rPr>
        <w:t>estuvo</w:t>
      </w:r>
      <w:r w:rsidRPr="00996BF2">
        <w:rPr>
          <w:rFonts w:ascii="Book Antiqua" w:hAnsi="Book Antiqua"/>
          <w:color w:val="000000"/>
        </w:rPr>
        <w:t xml:space="preserve"> plagada de retrasos, mal</w:t>
      </w:r>
      <w:r w:rsidR="6F1A5EC6" w:rsidRPr="00996BF2">
        <w:rPr>
          <w:rFonts w:ascii="Book Antiqua" w:hAnsi="Book Antiqua"/>
          <w:color w:val="000000"/>
        </w:rPr>
        <w:t>os</w:t>
      </w:r>
      <w:r w:rsidRPr="00996BF2">
        <w:rPr>
          <w:rFonts w:ascii="Book Antiqua" w:hAnsi="Book Antiqua"/>
          <w:color w:val="000000"/>
        </w:rPr>
        <w:t xml:space="preserve"> manejos y reiteradas violaciones a las disposiciones de</w:t>
      </w:r>
      <w:r w:rsidR="13AE013E" w:rsidRPr="00996BF2">
        <w:rPr>
          <w:rFonts w:ascii="Book Antiqua" w:hAnsi="Book Antiqua"/>
          <w:color w:val="000000"/>
        </w:rPr>
        <w:t>l</w:t>
      </w:r>
      <w:r w:rsidRPr="00996BF2">
        <w:rPr>
          <w:rFonts w:ascii="Book Antiqua" w:hAnsi="Book Antiqua"/>
          <w:color w:val="000000"/>
        </w:rPr>
        <w:t xml:space="preserve"> Código de Seguros.</w:t>
      </w:r>
      <w:r w:rsidR="0266920E">
        <w:rPr>
          <w:rFonts w:ascii="Book Antiqua" w:hAnsi="Book Antiqua"/>
          <w:color w:val="000000"/>
        </w:rPr>
        <w:t xml:space="preserve"> </w:t>
      </w:r>
      <w:r w:rsidR="6046E9B2">
        <w:rPr>
          <w:rFonts w:ascii="Book Antiqua" w:hAnsi="Book Antiqua"/>
          <w:color w:val="000000"/>
        </w:rPr>
        <w:t>Lamentablemente, dicha conducta afect</w:t>
      </w:r>
      <w:r w:rsidR="5678674C">
        <w:rPr>
          <w:rFonts w:ascii="Book Antiqua" w:hAnsi="Book Antiqua"/>
          <w:color w:val="000000"/>
        </w:rPr>
        <w:t xml:space="preserve">ó </w:t>
      </w:r>
      <w:r w:rsidR="6046E9B2">
        <w:rPr>
          <w:rFonts w:ascii="Book Antiqua" w:hAnsi="Book Antiqua"/>
          <w:color w:val="000000"/>
        </w:rPr>
        <w:t xml:space="preserve">a </w:t>
      </w:r>
      <w:r w:rsidR="78AD6A54">
        <w:rPr>
          <w:rFonts w:ascii="Book Antiqua" w:hAnsi="Book Antiqua"/>
          <w:color w:val="000000"/>
        </w:rPr>
        <w:t xml:space="preserve">municipios, empresas y </w:t>
      </w:r>
      <w:r w:rsidR="6046E9B2">
        <w:rPr>
          <w:rFonts w:ascii="Book Antiqua" w:hAnsi="Book Antiqua"/>
          <w:color w:val="000000"/>
        </w:rPr>
        <w:t>ciudadanos</w:t>
      </w:r>
      <w:r w:rsidR="785519C4">
        <w:rPr>
          <w:rFonts w:ascii="Book Antiqua" w:hAnsi="Book Antiqua"/>
          <w:color w:val="000000"/>
        </w:rPr>
        <w:t xml:space="preserve"> y</w:t>
      </w:r>
      <w:r w:rsidR="5678674C">
        <w:rPr>
          <w:rFonts w:ascii="Book Antiqua" w:hAnsi="Book Antiqua"/>
          <w:color w:val="000000"/>
        </w:rPr>
        <w:t xml:space="preserve"> </w:t>
      </w:r>
      <w:r w:rsidR="35701BEB">
        <w:rPr>
          <w:rFonts w:ascii="Book Antiqua" w:hAnsi="Book Antiqua"/>
          <w:color w:val="000000"/>
        </w:rPr>
        <w:t xml:space="preserve">fue </w:t>
      </w:r>
      <w:r w:rsidR="785519C4">
        <w:rPr>
          <w:rFonts w:ascii="Book Antiqua" w:hAnsi="Book Antiqua"/>
          <w:color w:val="000000"/>
        </w:rPr>
        <w:t>foco</w:t>
      </w:r>
      <w:r w:rsidR="35701BEB">
        <w:rPr>
          <w:rFonts w:ascii="Book Antiqua" w:hAnsi="Book Antiqua"/>
          <w:color w:val="000000"/>
        </w:rPr>
        <w:t xml:space="preserve"> de discusión en la pre</w:t>
      </w:r>
      <w:r w:rsidR="47DACD7F">
        <w:rPr>
          <w:rFonts w:ascii="Book Antiqua" w:hAnsi="Book Antiqua"/>
          <w:color w:val="000000"/>
        </w:rPr>
        <w:t>n</w:t>
      </w:r>
      <w:r w:rsidR="35701BEB">
        <w:rPr>
          <w:rFonts w:ascii="Book Antiqua" w:hAnsi="Book Antiqua"/>
          <w:color w:val="000000"/>
        </w:rPr>
        <w:t xml:space="preserve">sa </w:t>
      </w:r>
      <w:r w:rsidR="5678674C">
        <w:rPr>
          <w:rFonts w:ascii="Book Antiqua" w:hAnsi="Book Antiqua"/>
          <w:color w:val="000000"/>
        </w:rPr>
        <w:t>de</w:t>
      </w:r>
      <w:r w:rsidR="35701BEB">
        <w:rPr>
          <w:rFonts w:ascii="Book Antiqua" w:hAnsi="Book Antiqua"/>
          <w:color w:val="000000"/>
        </w:rPr>
        <w:t xml:space="preserve"> Puerto Rico y </w:t>
      </w:r>
      <w:r w:rsidR="5678674C">
        <w:rPr>
          <w:rFonts w:ascii="Book Antiqua" w:hAnsi="Book Antiqua"/>
          <w:color w:val="000000"/>
        </w:rPr>
        <w:t xml:space="preserve">de </w:t>
      </w:r>
      <w:r w:rsidR="35701BEB">
        <w:rPr>
          <w:rFonts w:ascii="Book Antiqua" w:hAnsi="Book Antiqua"/>
          <w:color w:val="000000"/>
        </w:rPr>
        <w:t>los Estados Unidos.</w:t>
      </w:r>
      <w:r w:rsidR="00AD576C">
        <w:rPr>
          <w:rStyle w:val="FootnoteReference"/>
          <w:rFonts w:ascii="Book Antiqua" w:hAnsi="Book Antiqua"/>
          <w:color w:val="000000"/>
        </w:rPr>
        <w:footnoteReference w:id="2"/>
      </w:r>
      <w:r w:rsidR="35701BEB">
        <w:rPr>
          <w:rFonts w:ascii="Book Antiqua" w:hAnsi="Book Antiqua"/>
          <w:color w:val="000000"/>
        </w:rPr>
        <w:t xml:space="preserve"> </w:t>
      </w:r>
    </w:p>
    <w:p w14:paraId="4AC1A064" w14:textId="77777777" w:rsidR="000D4EA2" w:rsidRDefault="000D4EA2" w:rsidP="00E139F3">
      <w:pPr>
        <w:pStyle w:val="BodyText"/>
        <w:suppressLineNumbers/>
        <w:ind w:firstLine="720"/>
        <w:rPr>
          <w:rFonts w:ascii="Book Antiqua" w:hAnsi="Book Antiqua"/>
          <w:color w:val="000000"/>
        </w:rPr>
      </w:pPr>
    </w:p>
    <w:p w14:paraId="027866A6" w14:textId="4CD6CA10" w:rsidR="00A00D4A" w:rsidRPr="002904E4" w:rsidRDefault="785519C4" w:rsidP="00E139F3">
      <w:pPr>
        <w:pStyle w:val="BodyText"/>
        <w:suppressLineNumbers/>
        <w:ind w:firstLine="720"/>
        <w:rPr>
          <w:rFonts w:ascii="Book Antiqua" w:hAnsi="Book Antiqua"/>
        </w:rPr>
      </w:pPr>
      <w:r>
        <w:rPr>
          <w:rFonts w:ascii="Book Antiqua" w:hAnsi="Book Antiqua"/>
          <w:color w:val="000000"/>
        </w:rPr>
        <w:t xml:space="preserve">Ante </w:t>
      </w:r>
      <w:r w:rsidR="4E60A94C">
        <w:rPr>
          <w:rFonts w:ascii="Book Antiqua" w:hAnsi="Book Antiqua"/>
          <w:color w:val="000000"/>
        </w:rPr>
        <w:t xml:space="preserve">el malestar general de los ciudadanos con la actitud de brazos cruzados de las aseguradoras y </w:t>
      </w:r>
      <w:r>
        <w:rPr>
          <w:rFonts w:ascii="Book Antiqua" w:hAnsi="Book Antiqua"/>
          <w:color w:val="000000"/>
        </w:rPr>
        <w:t xml:space="preserve">las </w:t>
      </w:r>
      <w:r w:rsidR="636509F1">
        <w:rPr>
          <w:rFonts w:ascii="Book Antiqua" w:hAnsi="Book Antiqua"/>
          <w:color w:val="000000"/>
        </w:rPr>
        <w:t>cuantiosas</w:t>
      </w:r>
      <w:r>
        <w:rPr>
          <w:rFonts w:ascii="Book Antiqua" w:hAnsi="Book Antiqua"/>
          <w:color w:val="000000"/>
        </w:rPr>
        <w:t xml:space="preserve"> multas </w:t>
      </w:r>
      <w:r w:rsidR="4E60A94C">
        <w:rPr>
          <w:rFonts w:ascii="Book Antiqua" w:hAnsi="Book Antiqua"/>
          <w:color w:val="000000"/>
        </w:rPr>
        <w:t>impuestas</w:t>
      </w:r>
      <w:r>
        <w:rPr>
          <w:rFonts w:ascii="Book Antiqua" w:hAnsi="Book Antiqua"/>
          <w:color w:val="000000"/>
        </w:rPr>
        <w:t xml:space="preserve"> por la Oficina del Comisionado de </w:t>
      </w:r>
      <w:r>
        <w:rPr>
          <w:rFonts w:ascii="Book Antiqua" w:hAnsi="Book Antiqua"/>
          <w:color w:val="000000"/>
        </w:rPr>
        <w:lastRenderedPageBreak/>
        <w:t xml:space="preserve">Seguros de Puerto Rico </w:t>
      </w:r>
      <w:r w:rsidR="4E60A94C">
        <w:rPr>
          <w:rFonts w:ascii="Book Antiqua" w:hAnsi="Book Antiqua"/>
          <w:color w:val="000000"/>
        </w:rPr>
        <w:t>por violaciones de las compañías aseguradoras,</w:t>
      </w:r>
      <w:r w:rsidR="4E60A94C" w:rsidRPr="000B1049">
        <w:rPr>
          <w:rStyle w:val="FootnoteReference"/>
          <w:rFonts w:ascii="Book Antiqua" w:hAnsi="Book Antiqua"/>
          <w:color w:val="000000"/>
        </w:rPr>
        <w:t xml:space="preserve"> </w:t>
      </w:r>
      <w:r w:rsidR="000B1049" w:rsidRPr="00996BF2">
        <w:rPr>
          <w:rStyle w:val="FootnoteReference"/>
          <w:rFonts w:ascii="Book Antiqua" w:hAnsi="Book Antiqua"/>
          <w:color w:val="000000"/>
        </w:rPr>
        <w:footnoteReference w:id="3"/>
      </w:r>
      <w:r w:rsidR="4E60A94C">
        <w:rPr>
          <w:rFonts w:ascii="Book Antiqua" w:hAnsi="Book Antiqua"/>
          <w:color w:val="000000"/>
        </w:rPr>
        <w:t xml:space="preserve"> en </w:t>
      </w:r>
      <w:r w:rsidR="52A4DDF7">
        <w:rPr>
          <w:rFonts w:ascii="Book Antiqua" w:hAnsi="Book Antiqua"/>
          <w:color w:val="000000"/>
        </w:rPr>
        <w:t>el año 2018 se aprob</w:t>
      </w:r>
      <w:r w:rsidR="00376FC6">
        <w:rPr>
          <w:rFonts w:ascii="Book Antiqua" w:hAnsi="Book Antiqua"/>
          <w:color w:val="000000"/>
        </w:rPr>
        <w:t>aron sendas</w:t>
      </w:r>
      <w:r w:rsidR="52A4DDF7">
        <w:rPr>
          <w:rFonts w:ascii="Book Antiqua" w:hAnsi="Book Antiqua"/>
          <w:color w:val="000000"/>
        </w:rPr>
        <w:t xml:space="preserve"> medidas legislativas dirigidas</w:t>
      </w:r>
      <w:r w:rsidR="4E60A94C">
        <w:rPr>
          <w:rFonts w:ascii="Book Antiqua" w:hAnsi="Book Antiqua"/>
          <w:color w:val="000000"/>
        </w:rPr>
        <w:t>, entre otros fines, a agilizar los procesos</w:t>
      </w:r>
      <w:r w:rsidR="636509F1">
        <w:rPr>
          <w:rFonts w:ascii="Book Antiqua" w:hAnsi="Book Antiqua"/>
          <w:color w:val="000000"/>
        </w:rPr>
        <w:t xml:space="preserve"> de las reclamaciones y </w:t>
      </w:r>
      <w:r w:rsidR="4E60A94C">
        <w:rPr>
          <w:rFonts w:ascii="Book Antiqua" w:hAnsi="Book Antiqua"/>
          <w:color w:val="000000"/>
        </w:rPr>
        <w:t xml:space="preserve">de </w:t>
      </w:r>
      <w:r w:rsidR="636509F1">
        <w:rPr>
          <w:rFonts w:ascii="Book Antiqua" w:hAnsi="Book Antiqua"/>
          <w:color w:val="000000"/>
        </w:rPr>
        <w:t xml:space="preserve">los </w:t>
      </w:r>
      <w:r w:rsidR="4E60A94C">
        <w:rPr>
          <w:rFonts w:ascii="Book Antiqua" w:hAnsi="Book Antiqua"/>
          <w:color w:val="000000"/>
        </w:rPr>
        <w:t xml:space="preserve">pagos de las reclamaciones </w:t>
      </w:r>
      <w:r w:rsidR="0CB32BCC">
        <w:rPr>
          <w:rFonts w:ascii="Book Antiqua" w:hAnsi="Book Antiqua"/>
          <w:color w:val="000000"/>
        </w:rPr>
        <w:t>de los huracanes Irma y María</w:t>
      </w:r>
      <w:r w:rsidR="4E60A94C">
        <w:rPr>
          <w:rFonts w:ascii="Book Antiqua" w:hAnsi="Book Antiqua"/>
          <w:color w:val="000000"/>
        </w:rPr>
        <w:t xml:space="preserve"> y futuras </w:t>
      </w:r>
      <w:r w:rsidR="0CB32BCC">
        <w:rPr>
          <w:rFonts w:ascii="Book Antiqua" w:hAnsi="Book Antiqua"/>
          <w:color w:val="000000"/>
        </w:rPr>
        <w:t xml:space="preserve">reclamaciones </w:t>
      </w:r>
      <w:r w:rsidR="4E60A94C">
        <w:rPr>
          <w:rFonts w:ascii="Book Antiqua" w:hAnsi="Book Antiqua"/>
          <w:color w:val="000000"/>
        </w:rPr>
        <w:t xml:space="preserve">mediante la creación de herramientas adicionales a las ya existentes en el Código de Seguros de Puerto Rico, </w:t>
      </w:r>
      <w:r w:rsidR="4E60A94C" w:rsidRPr="000B1049">
        <w:rPr>
          <w:rFonts w:ascii="Book Antiqua" w:hAnsi="Book Antiqua"/>
          <w:color w:val="000000"/>
        </w:rPr>
        <w:t>Ley Núm. 77 de 19 de junio de 1957, según enmendada.</w:t>
      </w:r>
      <w:r w:rsidR="4E60A94C">
        <w:rPr>
          <w:rFonts w:ascii="Book Antiqua" w:hAnsi="Book Antiqua"/>
          <w:color w:val="000000"/>
        </w:rPr>
        <w:t xml:space="preserve"> Entre esas medidas, se aprobó la Ley </w:t>
      </w:r>
      <w:r w:rsidR="4E60A94C">
        <w:rPr>
          <w:rFonts w:ascii="Book Antiqua" w:hAnsi="Book Antiqua"/>
        </w:rPr>
        <w:t>247</w:t>
      </w:r>
      <w:r w:rsidR="6A8ACF40">
        <w:rPr>
          <w:rFonts w:ascii="Book Antiqua" w:hAnsi="Book Antiqua"/>
        </w:rPr>
        <w:t>-</w:t>
      </w:r>
      <w:r w:rsidR="4E60A94C">
        <w:rPr>
          <w:rFonts w:ascii="Book Antiqua" w:hAnsi="Book Antiqua"/>
        </w:rPr>
        <w:t xml:space="preserve">2018 </w:t>
      </w:r>
      <w:r w:rsidR="0CB32BCC">
        <w:rPr>
          <w:rFonts w:ascii="Book Antiqua" w:hAnsi="Book Antiqua"/>
        </w:rPr>
        <w:t xml:space="preserve">con el fin </w:t>
      </w:r>
      <w:r w:rsidR="0CB32BCC" w:rsidRPr="002904E4">
        <w:rPr>
          <w:rFonts w:ascii="Book Antiqua" w:hAnsi="Book Antiqua"/>
        </w:rPr>
        <w:t xml:space="preserve">de </w:t>
      </w:r>
      <w:r w:rsidR="0CB32BCC">
        <w:rPr>
          <w:rFonts w:ascii="Book Antiqua" w:hAnsi="Book Antiqua"/>
        </w:rPr>
        <w:t>“</w:t>
      </w:r>
      <w:r w:rsidR="0CB32BCC" w:rsidRPr="002904E4">
        <w:rPr>
          <w:rFonts w:ascii="Book Antiqua" w:hAnsi="Book Antiqua"/>
        </w:rPr>
        <w:t>brindar herramientas y protecciones adicionales en beneficio de los asegurados para garantizar el fiel cumplimiento de los fines del Código de Seguros y así agilizar el proceso de recuperación de Puerto Rico.</w:t>
      </w:r>
      <w:r w:rsidR="0CB32BCC">
        <w:rPr>
          <w:rFonts w:ascii="Book Antiqua" w:hAnsi="Book Antiqua"/>
        </w:rPr>
        <w:t>”</w:t>
      </w:r>
      <w:r w:rsidR="002904E4">
        <w:rPr>
          <w:rStyle w:val="FootnoteReference"/>
          <w:rFonts w:ascii="Book Antiqua" w:hAnsi="Book Antiqua"/>
        </w:rPr>
        <w:footnoteReference w:id="4"/>
      </w:r>
      <w:r w:rsidR="0CB32BCC">
        <w:rPr>
          <w:rFonts w:ascii="Book Antiqua" w:hAnsi="Book Antiqua"/>
        </w:rPr>
        <w:t xml:space="preserve"> </w:t>
      </w:r>
    </w:p>
    <w:p w14:paraId="7B2C07C0" w14:textId="1AE6E95D" w:rsidR="00A00D4A" w:rsidRPr="002904E4" w:rsidRDefault="00A00D4A" w:rsidP="1C0DABF2">
      <w:pPr>
        <w:pStyle w:val="BodyText"/>
        <w:suppressLineNumbers/>
        <w:rPr>
          <w:rFonts w:ascii="Book Antiqua" w:hAnsi="Book Antiqua"/>
        </w:rPr>
      </w:pPr>
    </w:p>
    <w:p w14:paraId="0132FB44" w14:textId="3D0DB6B9" w:rsidR="00A00D4A" w:rsidRPr="002904E4" w:rsidRDefault="04AAFECA" w:rsidP="1C0DABF2">
      <w:pPr>
        <w:pStyle w:val="BodyText"/>
        <w:suppressLineNumbers/>
        <w:ind w:firstLine="708"/>
        <w:rPr>
          <w:rFonts w:ascii="Book Antiqua" w:hAnsi="Book Antiqua"/>
        </w:rPr>
      </w:pPr>
      <w:r>
        <w:rPr>
          <w:rFonts w:ascii="Book Antiqua" w:hAnsi="Book Antiqua"/>
        </w:rPr>
        <w:t xml:space="preserve">Entre otras, la </w:t>
      </w:r>
      <w:r>
        <w:rPr>
          <w:rFonts w:ascii="Book Antiqua" w:hAnsi="Book Antiqua"/>
          <w:color w:val="000000"/>
        </w:rPr>
        <w:t>Ley</w:t>
      </w:r>
      <w:r w:rsidR="50A40FEE">
        <w:rPr>
          <w:rFonts w:ascii="Book Antiqua" w:hAnsi="Book Antiqua"/>
        </w:rPr>
        <w:t xml:space="preserve"> </w:t>
      </w:r>
      <w:r>
        <w:rPr>
          <w:rFonts w:ascii="Book Antiqua" w:hAnsi="Book Antiqua"/>
        </w:rPr>
        <w:t>247</w:t>
      </w:r>
      <w:r w:rsidR="39F7E118">
        <w:rPr>
          <w:rFonts w:ascii="Book Antiqua" w:hAnsi="Book Antiqua"/>
        </w:rPr>
        <w:t>-</w:t>
      </w:r>
      <w:r>
        <w:rPr>
          <w:rFonts w:ascii="Book Antiqua" w:hAnsi="Book Antiqua"/>
        </w:rPr>
        <w:t xml:space="preserve">2018 creó una causa de acción civil que, si bien utilizó como referencia estatutos de varias jurisdicciones estatales de los Estados Unidos de América, incorporó disposiciones que no tienen paralelo directo en las leyes de esos estados. Además, con el fin de proveer mayor acceso a los tribunales a los </w:t>
      </w:r>
      <w:r w:rsidR="636509F1">
        <w:rPr>
          <w:rFonts w:ascii="Book Antiqua" w:hAnsi="Book Antiqua"/>
        </w:rPr>
        <w:t>ciudadanos</w:t>
      </w:r>
      <w:r>
        <w:rPr>
          <w:rFonts w:ascii="Book Antiqua" w:hAnsi="Book Antiqua"/>
        </w:rPr>
        <w:t xml:space="preserve">, la causa de acción civil codificada en el Artículo 27.164 del Código de Seguros, incluyó </w:t>
      </w:r>
      <w:r w:rsidR="6FDD90D4">
        <w:rPr>
          <w:rFonts w:ascii="Book Antiqua" w:hAnsi="Book Antiqua"/>
        </w:rPr>
        <w:t>su propia cláusula de</w:t>
      </w:r>
      <w:r>
        <w:rPr>
          <w:rFonts w:ascii="Book Antiqua" w:hAnsi="Book Antiqua"/>
        </w:rPr>
        <w:t xml:space="preserve"> honorarios de abogado </w:t>
      </w:r>
      <w:r w:rsidR="6FDD90D4">
        <w:rPr>
          <w:rFonts w:ascii="Book Antiqua" w:hAnsi="Book Antiqua"/>
        </w:rPr>
        <w:t xml:space="preserve">obligatorios. Por otro lado, e independiente de la causa de acción civil codifica en el Artículo 27.164 del Código de Seguros, la </w:t>
      </w:r>
      <w:r w:rsidR="6FDD90D4">
        <w:rPr>
          <w:rFonts w:ascii="Book Antiqua" w:hAnsi="Book Antiqua"/>
          <w:color w:val="000000"/>
        </w:rPr>
        <w:t xml:space="preserve">Ley </w:t>
      </w:r>
      <w:r w:rsidR="6FDD90D4">
        <w:rPr>
          <w:rFonts w:ascii="Book Antiqua" w:hAnsi="Book Antiqua"/>
        </w:rPr>
        <w:t>247</w:t>
      </w:r>
      <w:r w:rsidR="031FBFD3">
        <w:rPr>
          <w:rFonts w:ascii="Book Antiqua" w:hAnsi="Book Antiqua"/>
        </w:rPr>
        <w:t>-</w:t>
      </w:r>
      <w:r w:rsidR="6FDD90D4">
        <w:rPr>
          <w:rFonts w:ascii="Book Antiqua" w:hAnsi="Book Antiqua"/>
        </w:rPr>
        <w:t xml:space="preserve">2018 también estableció una disposición de honorarios de abogado de aplicación general para casos que no se presenten al amparo de la causa de acción civil del Artículo 27.164. La cláusula </w:t>
      </w:r>
      <w:r w:rsidR="14A2E1B5">
        <w:rPr>
          <w:rFonts w:ascii="Book Antiqua" w:hAnsi="Book Antiqua"/>
        </w:rPr>
        <w:t xml:space="preserve">proveyendo el remedio </w:t>
      </w:r>
      <w:r w:rsidR="6FDD90D4">
        <w:rPr>
          <w:rFonts w:ascii="Book Antiqua" w:hAnsi="Book Antiqua"/>
        </w:rPr>
        <w:t>de honorarios de abogado del Artículo 27.165 del Código de Seguros fue creada con el propósito de derrumbar las “</w:t>
      </w:r>
      <w:r w:rsidR="6FDD90D4" w:rsidRPr="00A00D4A">
        <w:rPr>
          <w:rFonts w:ascii="Book Antiqua" w:hAnsi="Book Antiqua"/>
        </w:rPr>
        <w:t xml:space="preserve">barreras que enfrenta la ciudadanía </w:t>
      </w:r>
      <w:r w:rsidR="3632EB7E" w:rsidRPr="00A00D4A">
        <w:rPr>
          <w:rFonts w:ascii="Book Antiqua" w:hAnsi="Book Antiqua"/>
        </w:rPr>
        <w:t>c</w:t>
      </w:r>
      <w:r w:rsidR="6FDD90D4" w:rsidRPr="00A00D4A">
        <w:rPr>
          <w:rFonts w:ascii="Book Antiqua" w:hAnsi="Book Antiqua"/>
        </w:rPr>
        <w:t xml:space="preserve">on los altos costos de llevar sus reclamos ante los tribunales” </w:t>
      </w:r>
      <w:r w:rsidR="6FDD90D4">
        <w:rPr>
          <w:rFonts w:ascii="Book Antiqua" w:hAnsi="Book Antiqua"/>
        </w:rPr>
        <w:t>para permitir que el ciudadano tenga una oportunidad real de vindicar sus derechos.</w:t>
      </w:r>
      <w:r w:rsidR="00A00D4A">
        <w:rPr>
          <w:rStyle w:val="FootnoteReference"/>
          <w:rFonts w:ascii="Book Antiqua" w:hAnsi="Book Antiqua"/>
        </w:rPr>
        <w:footnoteReference w:id="5"/>
      </w:r>
    </w:p>
    <w:p w14:paraId="1BDE1880" w14:textId="77777777" w:rsidR="0042477A" w:rsidRDefault="0042477A" w:rsidP="007B138A">
      <w:pPr>
        <w:pStyle w:val="BodyText"/>
        <w:suppressLineNumbers/>
        <w:rPr>
          <w:rFonts w:ascii="Book Antiqua" w:hAnsi="Book Antiqua"/>
          <w:color w:val="000000"/>
        </w:rPr>
      </w:pPr>
    </w:p>
    <w:p w14:paraId="522D47BA" w14:textId="77777777" w:rsidR="00147581" w:rsidRDefault="65571E4A" w:rsidP="1C0DABF2">
      <w:pPr>
        <w:pStyle w:val="BodyText"/>
        <w:suppressLineNumbers/>
        <w:ind w:firstLine="708"/>
        <w:rPr>
          <w:rFonts w:ascii="Book Antiqua" w:hAnsi="Book Antiqua"/>
          <w:color w:val="000000" w:themeColor="text1"/>
        </w:rPr>
      </w:pPr>
      <w:r w:rsidRPr="1C0DABF2">
        <w:rPr>
          <w:rFonts w:ascii="Book Antiqua" w:hAnsi="Book Antiqua"/>
        </w:rPr>
        <w:t xml:space="preserve">El Tribunal Supremo interpretó varias de las enmiendas aprobadas por la Asamblea Legislativa </w:t>
      </w:r>
      <w:r w:rsidR="6BD7E282" w:rsidRPr="1C0DABF2">
        <w:rPr>
          <w:rFonts w:ascii="Book Antiqua" w:hAnsi="Book Antiqua"/>
        </w:rPr>
        <w:t>en la Ley 24</w:t>
      </w:r>
      <w:r w:rsidR="7DA5CC73" w:rsidRPr="1C0DABF2">
        <w:rPr>
          <w:rFonts w:ascii="Book Antiqua" w:hAnsi="Book Antiqua"/>
        </w:rPr>
        <w:t>7</w:t>
      </w:r>
      <w:r w:rsidR="6BD7E282" w:rsidRPr="1C0DABF2">
        <w:rPr>
          <w:rFonts w:ascii="Book Antiqua" w:hAnsi="Book Antiqua"/>
        </w:rPr>
        <w:t>-2</w:t>
      </w:r>
      <w:r w:rsidR="758F5F8D" w:rsidRPr="1C0DABF2">
        <w:rPr>
          <w:rFonts w:ascii="Book Antiqua" w:hAnsi="Book Antiqua"/>
        </w:rPr>
        <w:t>0</w:t>
      </w:r>
      <w:r w:rsidR="6BD7E282" w:rsidRPr="1C0DABF2">
        <w:rPr>
          <w:rFonts w:ascii="Book Antiqua" w:hAnsi="Book Antiqua"/>
        </w:rPr>
        <w:t xml:space="preserve">18 </w:t>
      </w:r>
      <w:r w:rsidRPr="1C0DABF2">
        <w:rPr>
          <w:rFonts w:ascii="Book Antiqua" w:hAnsi="Book Antiqua"/>
          <w:color w:val="000000" w:themeColor="text1"/>
        </w:rPr>
        <w:t xml:space="preserve">en las siguientes opiniones:  </w:t>
      </w:r>
      <w:r w:rsidRPr="1C0DABF2">
        <w:rPr>
          <w:rFonts w:ascii="Book Antiqua" w:hAnsi="Book Antiqua"/>
          <w:i/>
          <w:iCs/>
          <w:color w:val="000000" w:themeColor="text1"/>
        </w:rPr>
        <w:t>Consejo de Titulares del Condominio Balcones de San Juan v. MAPFRE Praico Insurance Company</w:t>
      </w:r>
      <w:r w:rsidRPr="1C0DABF2">
        <w:rPr>
          <w:rFonts w:ascii="Book Antiqua" w:hAnsi="Book Antiqua"/>
          <w:color w:val="000000" w:themeColor="text1"/>
        </w:rPr>
        <w:t xml:space="preserve">, 208 D.P.R. 76 (2022); </w:t>
      </w:r>
      <w:r w:rsidRPr="1C0DABF2">
        <w:rPr>
          <w:rFonts w:ascii="Book Antiqua" w:hAnsi="Book Antiqua"/>
          <w:i/>
          <w:iCs/>
          <w:color w:val="000000" w:themeColor="text1"/>
        </w:rPr>
        <w:t>Consejo de Titulares del Condominio Playa Azul II v. MAPFRE Praico Insuran</w:t>
      </w:r>
      <w:r w:rsidR="133776DD" w:rsidRPr="1C0DABF2">
        <w:rPr>
          <w:rFonts w:ascii="Book Antiqua" w:hAnsi="Book Antiqua"/>
          <w:i/>
          <w:iCs/>
          <w:color w:val="000000" w:themeColor="text1"/>
        </w:rPr>
        <w:t>c</w:t>
      </w:r>
      <w:r w:rsidRPr="1C0DABF2">
        <w:rPr>
          <w:rFonts w:ascii="Book Antiqua" w:hAnsi="Book Antiqua"/>
          <w:i/>
          <w:iCs/>
          <w:color w:val="000000" w:themeColor="text1"/>
        </w:rPr>
        <w:t>e Company</w:t>
      </w:r>
      <w:r w:rsidR="7EF0D396" w:rsidRPr="1C0DABF2">
        <w:rPr>
          <w:rFonts w:ascii="Book Antiqua" w:hAnsi="Book Antiqua"/>
          <w:i/>
          <w:iCs/>
          <w:color w:val="000000" w:themeColor="text1"/>
        </w:rPr>
        <w:t>,</w:t>
      </w:r>
      <w:r w:rsidRPr="1C0DABF2">
        <w:rPr>
          <w:rFonts w:ascii="Book Antiqua" w:hAnsi="Book Antiqua"/>
          <w:i/>
          <w:iCs/>
          <w:color w:val="000000" w:themeColor="text1"/>
        </w:rPr>
        <w:t xml:space="preserve"> 2024 TSPR 140, y Consejo de Titulares del Condominio Kings Court 76 v. MAPFRE </w:t>
      </w:r>
      <w:r w:rsidRPr="1C0DABF2">
        <w:rPr>
          <w:rFonts w:ascii="Book Antiqua" w:hAnsi="Book Antiqua"/>
          <w:color w:val="000000" w:themeColor="text1"/>
        </w:rPr>
        <w:t xml:space="preserve">Praico </w:t>
      </w:r>
      <w:r w:rsidRPr="1C0DABF2">
        <w:rPr>
          <w:rFonts w:ascii="Book Antiqua" w:hAnsi="Book Antiqua"/>
          <w:i/>
          <w:iCs/>
          <w:color w:val="000000" w:themeColor="text1"/>
        </w:rPr>
        <w:t>Insurance Company, 208 DPR 1018 (2022)</w:t>
      </w:r>
      <w:r w:rsidR="4467CA29" w:rsidRPr="1C0DABF2">
        <w:rPr>
          <w:rFonts w:ascii="Book Antiqua" w:hAnsi="Book Antiqua"/>
          <w:i/>
          <w:iCs/>
          <w:color w:val="000000" w:themeColor="text1"/>
        </w:rPr>
        <w:t xml:space="preserve">, </w:t>
      </w:r>
      <w:r w:rsidR="4467CA29" w:rsidRPr="1C0DABF2">
        <w:rPr>
          <w:rFonts w:ascii="Book Antiqua" w:hAnsi="Book Antiqua"/>
          <w:color w:val="000000" w:themeColor="text1"/>
        </w:rPr>
        <w:t>pero estas no fueron cónsonas con la intención pro</w:t>
      </w:r>
      <w:r w:rsidR="0C5982EE" w:rsidRPr="1C0DABF2">
        <w:rPr>
          <w:rFonts w:ascii="Book Antiqua" w:hAnsi="Book Antiqua"/>
          <w:color w:val="000000" w:themeColor="text1"/>
        </w:rPr>
        <w:t>m</w:t>
      </w:r>
      <w:r w:rsidR="4467CA29" w:rsidRPr="1C0DABF2">
        <w:rPr>
          <w:rFonts w:ascii="Book Antiqua" w:hAnsi="Book Antiqua"/>
          <w:color w:val="000000" w:themeColor="text1"/>
        </w:rPr>
        <w:t>ulgada en la Ley 247</w:t>
      </w:r>
      <w:r w:rsidR="006442BF">
        <w:rPr>
          <w:rFonts w:ascii="Book Antiqua" w:hAnsi="Book Antiqua"/>
          <w:color w:val="000000" w:themeColor="text1"/>
        </w:rPr>
        <w:t>-</w:t>
      </w:r>
      <w:r w:rsidR="4467CA29" w:rsidRPr="1C0DABF2">
        <w:rPr>
          <w:rFonts w:ascii="Book Antiqua" w:hAnsi="Book Antiqua"/>
          <w:color w:val="000000" w:themeColor="text1"/>
        </w:rPr>
        <w:t xml:space="preserve">2018. </w:t>
      </w:r>
      <w:r w:rsidRPr="1C0DABF2">
        <w:rPr>
          <w:rFonts w:ascii="Book Antiqua" w:hAnsi="Book Antiqua"/>
          <w:color w:val="000000" w:themeColor="text1"/>
        </w:rPr>
        <w:t>Particularmente, es la intención de la Asamblea Legislativa que la ciudadanía afectada por el letargo y la inacción de las aseguradoras, cuente con acceso verdadero y oportuno a la justicia</w:t>
      </w:r>
      <w:r w:rsidR="000C6BCA">
        <w:rPr>
          <w:rFonts w:ascii="Book Antiqua" w:hAnsi="Book Antiqua"/>
          <w:color w:val="000000" w:themeColor="text1"/>
        </w:rPr>
        <w:t>.</w:t>
      </w:r>
      <w:r w:rsidRPr="1C0DABF2">
        <w:rPr>
          <w:rFonts w:ascii="Book Antiqua" w:hAnsi="Book Antiqua"/>
          <w:color w:val="000000" w:themeColor="text1"/>
        </w:rPr>
        <w:t xml:space="preserve"> </w:t>
      </w:r>
    </w:p>
    <w:p w14:paraId="73D93956" w14:textId="77777777" w:rsidR="00147581" w:rsidRDefault="00147581" w:rsidP="1C0DABF2">
      <w:pPr>
        <w:pStyle w:val="BodyText"/>
        <w:suppressLineNumbers/>
        <w:ind w:firstLine="708"/>
        <w:rPr>
          <w:rFonts w:ascii="Book Antiqua" w:hAnsi="Book Antiqua"/>
          <w:color w:val="000000" w:themeColor="text1"/>
        </w:rPr>
      </w:pPr>
    </w:p>
    <w:p w14:paraId="673712E4" w14:textId="72FB2974" w:rsidR="65571E4A" w:rsidRDefault="00147581" w:rsidP="1C0DABF2">
      <w:pPr>
        <w:pStyle w:val="BodyText"/>
        <w:suppressLineNumbers/>
        <w:ind w:firstLine="708"/>
        <w:rPr>
          <w:rFonts w:ascii="Book Antiqua" w:hAnsi="Book Antiqua"/>
          <w:color w:val="000000" w:themeColor="text1"/>
        </w:rPr>
      </w:pPr>
      <w:r>
        <w:rPr>
          <w:rFonts w:ascii="Book Antiqua" w:hAnsi="Book Antiqua"/>
          <w:color w:val="000000" w:themeColor="text1"/>
        </w:rPr>
        <w:lastRenderedPageBreak/>
        <w:t>Es</w:t>
      </w:r>
      <w:r w:rsidR="005BDFD9" w:rsidRPr="1C0DABF2">
        <w:rPr>
          <w:rFonts w:ascii="Book Antiqua" w:hAnsi="Book Antiqua"/>
          <w:color w:val="000000" w:themeColor="text1"/>
        </w:rPr>
        <w:t xml:space="preserve"> necesario </w:t>
      </w:r>
      <w:r>
        <w:rPr>
          <w:rFonts w:ascii="Book Antiqua" w:hAnsi="Book Antiqua"/>
          <w:color w:val="000000" w:themeColor="text1"/>
        </w:rPr>
        <w:t xml:space="preserve">enmendar para </w:t>
      </w:r>
      <w:r w:rsidR="005BDFD9" w:rsidRPr="1C0DABF2">
        <w:rPr>
          <w:rFonts w:ascii="Book Antiqua" w:hAnsi="Book Antiqua"/>
          <w:color w:val="000000" w:themeColor="text1"/>
        </w:rPr>
        <w:t xml:space="preserve">aclarar </w:t>
      </w:r>
      <w:r w:rsidR="65571E4A" w:rsidRPr="1C0DABF2">
        <w:rPr>
          <w:rFonts w:ascii="Book Antiqua" w:hAnsi="Book Antiqua"/>
          <w:color w:val="000000" w:themeColor="text1"/>
        </w:rPr>
        <w:t xml:space="preserve">que los remedios provistos en el Artículo 27.165 </w:t>
      </w:r>
      <w:r w:rsidR="00734F99">
        <w:rPr>
          <w:rFonts w:ascii="Book Antiqua" w:hAnsi="Book Antiqua"/>
          <w:color w:val="000000" w:themeColor="text1"/>
        </w:rPr>
        <w:t xml:space="preserve">no deben estar sujetos </w:t>
      </w:r>
      <w:r w:rsidR="65571E4A" w:rsidRPr="1C0DABF2">
        <w:rPr>
          <w:rFonts w:ascii="Book Antiqua" w:hAnsi="Book Antiqua"/>
          <w:color w:val="000000" w:themeColor="text1"/>
        </w:rPr>
        <w:t>al cumplimiento de un trámite jurisdiccional ante la Oficina del Comisionado de Seguros</w:t>
      </w:r>
      <w:r w:rsidR="00734F99">
        <w:rPr>
          <w:rFonts w:ascii="Book Antiqua" w:hAnsi="Book Antiqua"/>
          <w:color w:val="000000" w:themeColor="text1"/>
        </w:rPr>
        <w:t>.</w:t>
      </w:r>
      <w:r w:rsidR="65571E4A" w:rsidRPr="1C0DABF2">
        <w:rPr>
          <w:rFonts w:ascii="Book Antiqua" w:hAnsi="Book Antiqua"/>
          <w:color w:val="000000" w:themeColor="text1"/>
        </w:rPr>
        <w:t xml:space="preserve"> </w:t>
      </w:r>
      <w:r w:rsidR="00B00891">
        <w:rPr>
          <w:rFonts w:ascii="Book Antiqua" w:hAnsi="Book Antiqua"/>
          <w:color w:val="000000" w:themeColor="text1"/>
        </w:rPr>
        <w:t>Dicho requesito es superfluo e incesario</w:t>
      </w:r>
      <w:r w:rsidR="65571E4A" w:rsidRPr="1C0DABF2">
        <w:rPr>
          <w:rFonts w:ascii="Book Antiqua" w:hAnsi="Book Antiqua"/>
          <w:color w:val="000000" w:themeColor="text1"/>
        </w:rPr>
        <w:t xml:space="preserve">. </w:t>
      </w:r>
      <w:r w:rsidR="49B48E75" w:rsidRPr="1C0DABF2">
        <w:rPr>
          <w:rFonts w:ascii="Book Antiqua" w:hAnsi="Book Antiqua"/>
          <w:color w:val="000000" w:themeColor="text1"/>
        </w:rPr>
        <w:t xml:space="preserve">Por </w:t>
      </w:r>
      <w:r w:rsidR="005643E1">
        <w:rPr>
          <w:rFonts w:ascii="Book Antiqua" w:hAnsi="Book Antiqua"/>
          <w:color w:val="000000" w:themeColor="text1"/>
        </w:rPr>
        <w:t>otro lado</w:t>
      </w:r>
      <w:r w:rsidR="49B48E75" w:rsidRPr="1C0DABF2">
        <w:rPr>
          <w:rFonts w:ascii="Book Antiqua" w:hAnsi="Book Antiqua"/>
          <w:color w:val="000000" w:themeColor="text1"/>
        </w:rPr>
        <w:t xml:space="preserve">, </w:t>
      </w:r>
      <w:r w:rsidR="111460BC" w:rsidRPr="1C0DABF2">
        <w:rPr>
          <w:rFonts w:ascii="Book Antiqua" w:hAnsi="Book Antiqua"/>
          <w:color w:val="000000" w:themeColor="text1"/>
        </w:rPr>
        <w:t xml:space="preserve">es la intención legislativa brindar herramientas adicionales a los asegurados, de modo que puedan efectivamente recibir las </w:t>
      </w:r>
      <w:r w:rsidR="0249B863" w:rsidRPr="1C0DABF2">
        <w:rPr>
          <w:rFonts w:ascii="Book Antiqua" w:hAnsi="Book Antiqua"/>
          <w:color w:val="000000" w:themeColor="text1"/>
        </w:rPr>
        <w:t>i</w:t>
      </w:r>
      <w:r w:rsidR="111460BC" w:rsidRPr="1C0DABF2">
        <w:rPr>
          <w:rFonts w:ascii="Book Antiqua" w:hAnsi="Book Antiqua"/>
          <w:color w:val="000000" w:themeColor="text1"/>
        </w:rPr>
        <w:t>ndemnizaciones que l</w:t>
      </w:r>
      <w:r w:rsidR="1CECE729" w:rsidRPr="1C0DABF2">
        <w:rPr>
          <w:rFonts w:ascii="Book Antiqua" w:hAnsi="Book Antiqua"/>
          <w:color w:val="000000" w:themeColor="text1"/>
        </w:rPr>
        <w:t>es corresponden de parte de las aseguradoras sin que sean víctimas de las prácticas desleales que prohíbe el Código de Seguros</w:t>
      </w:r>
      <w:r w:rsidR="465184E0" w:rsidRPr="1C0DABF2">
        <w:rPr>
          <w:rFonts w:ascii="Book Antiqua" w:hAnsi="Book Antiqua"/>
          <w:color w:val="000000" w:themeColor="text1"/>
        </w:rPr>
        <w:t>. P</w:t>
      </w:r>
      <w:r w:rsidR="1CECE729" w:rsidRPr="1C0DABF2">
        <w:rPr>
          <w:rFonts w:ascii="Book Antiqua" w:hAnsi="Book Antiqua"/>
          <w:color w:val="000000" w:themeColor="text1"/>
        </w:rPr>
        <w:t xml:space="preserve">or ello, </w:t>
      </w:r>
      <w:r w:rsidR="5D4FEF80" w:rsidRPr="1C0DABF2">
        <w:rPr>
          <w:rFonts w:ascii="Book Antiqua" w:hAnsi="Book Antiqua"/>
          <w:color w:val="000000" w:themeColor="text1"/>
        </w:rPr>
        <w:t>se aclara que la causa de acción provista en el Artículo 27.164 es una causa de acción adicional concurrente a cualquier otr</w:t>
      </w:r>
      <w:r w:rsidR="0D0496E3" w:rsidRPr="1C0DABF2">
        <w:rPr>
          <w:rFonts w:ascii="Book Antiqua" w:hAnsi="Book Antiqua"/>
          <w:color w:val="000000" w:themeColor="text1"/>
        </w:rPr>
        <w:t xml:space="preserve">a causa de acción que pueda tener el asegurado bajo nuestro ordenamiento. </w:t>
      </w:r>
    </w:p>
    <w:p w14:paraId="3631AB74" w14:textId="19B08EE8" w:rsidR="1C0DABF2" w:rsidRDefault="1C0DABF2" w:rsidP="1C0DABF2">
      <w:pPr>
        <w:pStyle w:val="BodyText"/>
        <w:suppressLineNumbers/>
        <w:rPr>
          <w:rFonts w:ascii="Book Antiqua" w:hAnsi="Book Antiqua"/>
          <w:color w:val="000000" w:themeColor="text1"/>
        </w:rPr>
      </w:pPr>
    </w:p>
    <w:p w14:paraId="325EB434" w14:textId="0A171570" w:rsidR="0038519D" w:rsidRDefault="0042477A" w:rsidP="007B138A">
      <w:pPr>
        <w:pStyle w:val="BodyText"/>
        <w:suppressLineNumbers/>
        <w:rPr>
          <w:rFonts w:ascii="Book Antiqua" w:hAnsi="Book Antiqua"/>
          <w:color w:val="000000"/>
        </w:rPr>
      </w:pPr>
      <w:r>
        <w:rPr>
          <w:rFonts w:ascii="Book Antiqua" w:hAnsi="Book Antiqua"/>
          <w:color w:val="000000"/>
        </w:rPr>
        <w:tab/>
      </w:r>
      <w:r w:rsidR="6F92B71F">
        <w:rPr>
          <w:rFonts w:ascii="Book Antiqua" w:hAnsi="Book Antiqua"/>
          <w:color w:val="000000"/>
        </w:rPr>
        <w:t>L</w:t>
      </w:r>
      <w:r w:rsidR="5678674C">
        <w:rPr>
          <w:rFonts w:ascii="Book Antiqua" w:hAnsi="Book Antiqua"/>
          <w:color w:val="000000"/>
        </w:rPr>
        <w:t xml:space="preserve">os efectos de la </w:t>
      </w:r>
      <w:r w:rsidR="4E86553C">
        <w:rPr>
          <w:rFonts w:ascii="Book Antiqua" w:hAnsi="Book Antiqua"/>
          <w:color w:val="000000"/>
        </w:rPr>
        <w:t>pobre</w:t>
      </w:r>
      <w:r w:rsidR="5678674C">
        <w:rPr>
          <w:rFonts w:ascii="Book Antiqua" w:hAnsi="Book Antiqua"/>
          <w:color w:val="000000"/>
        </w:rPr>
        <w:t xml:space="preserve"> respuesta de las aseguradoras </w:t>
      </w:r>
      <w:r w:rsidR="2AB5B02D">
        <w:rPr>
          <w:rFonts w:ascii="Book Antiqua" w:hAnsi="Book Antiqua"/>
          <w:color w:val="000000"/>
        </w:rPr>
        <w:t xml:space="preserve">a las reclamaciones de los huracanes Irma y María </w:t>
      </w:r>
      <w:r w:rsidR="5678674C">
        <w:rPr>
          <w:rFonts w:ascii="Book Antiqua" w:hAnsi="Book Antiqua"/>
          <w:color w:val="000000"/>
        </w:rPr>
        <w:t xml:space="preserve">todavía </w:t>
      </w:r>
      <w:r w:rsidR="2AB5B02D">
        <w:rPr>
          <w:rFonts w:ascii="Book Antiqua" w:hAnsi="Book Antiqua"/>
          <w:color w:val="000000"/>
        </w:rPr>
        <w:t>se siente</w:t>
      </w:r>
      <w:r w:rsidR="636509F1">
        <w:rPr>
          <w:rFonts w:ascii="Book Antiqua" w:hAnsi="Book Antiqua"/>
          <w:color w:val="000000"/>
        </w:rPr>
        <w:t>n y se manifiestan en los núcleos de la familia puertorriqueña</w:t>
      </w:r>
      <w:r w:rsidR="5678674C">
        <w:rPr>
          <w:rFonts w:ascii="Book Antiqua" w:hAnsi="Book Antiqua"/>
          <w:color w:val="000000"/>
        </w:rPr>
        <w:t>.</w:t>
      </w:r>
      <w:r w:rsidR="785519C4">
        <w:rPr>
          <w:rFonts w:ascii="Book Antiqua" w:hAnsi="Book Antiqua"/>
          <w:color w:val="000000"/>
        </w:rPr>
        <w:t xml:space="preserve"> </w:t>
      </w:r>
      <w:r w:rsidR="2AB5B02D">
        <w:rPr>
          <w:rFonts w:ascii="Book Antiqua" w:hAnsi="Book Antiqua"/>
          <w:color w:val="000000"/>
        </w:rPr>
        <w:t>Con su actuar, las aseguradoras no</w:t>
      </w:r>
      <w:r w:rsidR="4E86553C">
        <w:rPr>
          <w:rFonts w:ascii="Book Antiqua" w:hAnsi="Book Antiqua"/>
          <w:color w:val="000000"/>
        </w:rPr>
        <w:t xml:space="preserve"> solo han retrasado el proceso de pago de la</w:t>
      </w:r>
      <w:r w:rsidR="038A07AF">
        <w:rPr>
          <w:rFonts w:ascii="Book Antiqua" w:hAnsi="Book Antiqua"/>
          <w:color w:val="000000"/>
        </w:rPr>
        <w:t>s</w:t>
      </w:r>
      <w:r w:rsidR="4E86553C">
        <w:rPr>
          <w:rFonts w:ascii="Book Antiqua" w:hAnsi="Book Antiqua"/>
          <w:color w:val="000000"/>
        </w:rPr>
        <w:t xml:space="preserve"> indemnizaci</w:t>
      </w:r>
      <w:r w:rsidR="038A07AF">
        <w:rPr>
          <w:rFonts w:ascii="Book Antiqua" w:hAnsi="Book Antiqua"/>
          <w:color w:val="000000"/>
        </w:rPr>
        <w:t>ones</w:t>
      </w:r>
      <w:r w:rsidR="4E86553C">
        <w:rPr>
          <w:rFonts w:ascii="Book Antiqua" w:hAnsi="Book Antiqua"/>
          <w:color w:val="000000"/>
        </w:rPr>
        <w:t xml:space="preserve"> </w:t>
      </w:r>
      <w:r w:rsidR="038A07AF">
        <w:rPr>
          <w:rFonts w:ascii="Book Antiqua" w:hAnsi="Book Antiqua"/>
          <w:color w:val="000000"/>
        </w:rPr>
        <w:t>correspondientes,</w:t>
      </w:r>
      <w:r w:rsidR="4E86553C">
        <w:rPr>
          <w:rFonts w:ascii="Book Antiqua" w:hAnsi="Book Antiqua"/>
          <w:color w:val="000000"/>
        </w:rPr>
        <w:t xml:space="preserve"> sino que, además, han</w:t>
      </w:r>
      <w:r w:rsidR="038A07AF">
        <w:rPr>
          <w:rFonts w:ascii="Book Antiqua" w:hAnsi="Book Antiqua"/>
          <w:color w:val="000000"/>
        </w:rPr>
        <w:t xml:space="preserve"> obligado a miles de ciudadanos a recurrir a los tribu</w:t>
      </w:r>
      <w:r w:rsidR="785519C4">
        <w:rPr>
          <w:rFonts w:ascii="Book Antiqua" w:hAnsi="Book Antiqua"/>
          <w:color w:val="000000"/>
        </w:rPr>
        <w:t>n</w:t>
      </w:r>
      <w:r w:rsidR="038A07AF">
        <w:rPr>
          <w:rFonts w:ascii="Book Antiqua" w:hAnsi="Book Antiqua"/>
          <w:color w:val="000000"/>
        </w:rPr>
        <w:t xml:space="preserve">ales. Según datos provistos por el Poder Judicial de Puerto Rico, desde el 2017 al 2023 se presentaron </w:t>
      </w:r>
      <w:r w:rsidR="45027C46">
        <w:rPr>
          <w:rFonts w:ascii="Book Antiqua" w:hAnsi="Book Antiqua"/>
          <w:color w:val="000000"/>
        </w:rPr>
        <w:t xml:space="preserve">unos </w:t>
      </w:r>
      <w:r w:rsidR="038A07AF">
        <w:rPr>
          <w:rFonts w:ascii="Book Antiqua" w:hAnsi="Book Antiqua"/>
          <w:color w:val="000000"/>
        </w:rPr>
        <w:t>4,317 casos civiles relacionados a incumplimientos por aseguradoras en reclamaciones de daños por los huracanes Irma y María.</w:t>
      </w:r>
      <w:r w:rsidR="00387A4F">
        <w:rPr>
          <w:rStyle w:val="FootnoteReference"/>
          <w:rFonts w:ascii="Book Antiqua" w:hAnsi="Book Antiqua"/>
          <w:color w:val="000000"/>
        </w:rPr>
        <w:footnoteReference w:id="6"/>
      </w:r>
      <w:r w:rsidR="0E068A64">
        <w:rPr>
          <w:rFonts w:ascii="Book Antiqua" w:hAnsi="Book Antiqua"/>
          <w:color w:val="000000"/>
        </w:rPr>
        <w:t xml:space="preserve"> </w:t>
      </w:r>
      <w:r w:rsidR="3B3159A8">
        <w:rPr>
          <w:rFonts w:ascii="Book Antiqua" w:hAnsi="Book Antiqua"/>
          <w:color w:val="000000"/>
        </w:rPr>
        <w:t xml:space="preserve">La alta cantidad de pleitos </w:t>
      </w:r>
      <w:r w:rsidR="0DA45426">
        <w:rPr>
          <w:rFonts w:ascii="Book Antiqua" w:hAnsi="Book Antiqua"/>
          <w:color w:val="000000"/>
        </w:rPr>
        <w:t xml:space="preserve">incoados, a su vez, </w:t>
      </w:r>
      <w:r w:rsidR="3B3159A8">
        <w:rPr>
          <w:rFonts w:ascii="Book Antiqua" w:hAnsi="Book Antiqua"/>
          <w:color w:val="000000"/>
        </w:rPr>
        <w:t>ha fomentado una serie de cuestionamientos e interpretaciones</w:t>
      </w:r>
      <w:r w:rsidR="2AB5B02D">
        <w:rPr>
          <w:rFonts w:ascii="Book Antiqua" w:hAnsi="Book Antiqua"/>
          <w:color w:val="000000"/>
        </w:rPr>
        <w:t xml:space="preserve"> variadas</w:t>
      </w:r>
      <w:r w:rsidR="3B3159A8">
        <w:rPr>
          <w:rFonts w:ascii="Book Antiqua" w:hAnsi="Book Antiqua"/>
          <w:color w:val="000000"/>
        </w:rPr>
        <w:t xml:space="preserve"> de las medidas y herramientas </w:t>
      </w:r>
      <w:r w:rsidR="2AB5B02D">
        <w:rPr>
          <w:rFonts w:ascii="Book Antiqua" w:hAnsi="Book Antiqua"/>
          <w:color w:val="000000"/>
        </w:rPr>
        <w:t>estatutarias de reciente cuño</w:t>
      </w:r>
      <w:r w:rsidR="0DA45426">
        <w:rPr>
          <w:rFonts w:ascii="Book Antiqua" w:hAnsi="Book Antiqua"/>
          <w:color w:val="000000"/>
        </w:rPr>
        <w:t>,</w:t>
      </w:r>
      <w:r w:rsidR="3B3159A8">
        <w:rPr>
          <w:rFonts w:ascii="Book Antiqua" w:hAnsi="Book Antiqua"/>
          <w:color w:val="000000"/>
        </w:rPr>
        <w:t xml:space="preserve"> tales como la causa de acción civil </w:t>
      </w:r>
      <w:r w:rsidR="2AB5B02D">
        <w:rPr>
          <w:rFonts w:ascii="Book Antiqua" w:hAnsi="Book Antiqua"/>
          <w:color w:val="000000"/>
        </w:rPr>
        <w:t>del Artículo 27.164 del Código de Seguros</w:t>
      </w:r>
      <w:r w:rsidR="096384F2">
        <w:rPr>
          <w:rFonts w:ascii="Book Antiqua" w:hAnsi="Book Antiqua"/>
          <w:color w:val="000000"/>
        </w:rPr>
        <w:t>,</w:t>
      </w:r>
      <w:r w:rsidR="2AB5B02D">
        <w:rPr>
          <w:rFonts w:ascii="Book Antiqua" w:hAnsi="Book Antiqua"/>
          <w:color w:val="000000"/>
        </w:rPr>
        <w:t xml:space="preserve"> así como la disposición de honorarios de abogado obligatorios para </w:t>
      </w:r>
      <w:r w:rsidR="0DA45426">
        <w:rPr>
          <w:rFonts w:ascii="Book Antiqua" w:hAnsi="Book Antiqua"/>
          <w:color w:val="000000"/>
        </w:rPr>
        <w:t>el resto de los</w:t>
      </w:r>
      <w:r w:rsidR="2AB5B02D">
        <w:rPr>
          <w:rFonts w:ascii="Book Antiqua" w:hAnsi="Book Antiqua"/>
          <w:color w:val="000000"/>
        </w:rPr>
        <w:t xml:space="preserve"> casos codificada en el Artículo 27.165 del mismo Código. </w:t>
      </w:r>
    </w:p>
    <w:p w14:paraId="7633FBBA" w14:textId="77777777" w:rsidR="0038519D" w:rsidRDefault="0038519D" w:rsidP="007B138A">
      <w:pPr>
        <w:pStyle w:val="BodyText"/>
        <w:suppressLineNumbers/>
        <w:rPr>
          <w:rFonts w:ascii="Book Antiqua" w:hAnsi="Book Antiqua"/>
          <w:color w:val="000000"/>
        </w:rPr>
      </w:pPr>
    </w:p>
    <w:p w14:paraId="434D060B" w14:textId="68BA7F66" w:rsidR="001E5E95" w:rsidRDefault="0E068A64" w:rsidP="0038519D">
      <w:pPr>
        <w:pStyle w:val="BodyText"/>
        <w:suppressLineNumbers/>
        <w:ind w:firstLine="708"/>
        <w:rPr>
          <w:rFonts w:ascii="Book Antiqua" w:hAnsi="Book Antiqua"/>
          <w:color w:val="000000"/>
        </w:rPr>
      </w:pPr>
      <w:r>
        <w:rPr>
          <w:rFonts w:ascii="Book Antiqua" w:hAnsi="Book Antiqua"/>
          <w:color w:val="000000"/>
        </w:rPr>
        <w:t xml:space="preserve">La retención de los pagos </w:t>
      </w:r>
      <w:r w:rsidR="0DA45426">
        <w:rPr>
          <w:rFonts w:ascii="Book Antiqua" w:hAnsi="Book Antiqua"/>
          <w:color w:val="000000"/>
        </w:rPr>
        <w:t>y las</w:t>
      </w:r>
      <w:r>
        <w:rPr>
          <w:rFonts w:ascii="Book Antiqua" w:hAnsi="Book Antiqua"/>
          <w:color w:val="000000"/>
        </w:rPr>
        <w:t xml:space="preserve"> ofertas </w:t>
      </w:r>
      <w:r w:rsidR="2AB5B02D">
        <w:rPr>
          <w:rFonts w:ascii="Book Antiqua" w:hAnsi="Book Antiqua"/>
          <w:color w:val="000000"/>
        </w:rPr>
        <w:t xml:space="preserve">de pago por indemnización </w:t>
      </w:r>
      <w:r>
        <w:rPr>
          <w:rFonts w:ascii="Book Antiqua" w:hAnsi="Book Antiqua"/>
          <w:color w:val="000000"/>
        </w:rPr>
        <w:t xml:space="preserve">irrazonables </w:t>
      </w:r>
      <w:r w:rsidR="0DA45426">
        <w:rPr>
          <w:rFonts w:ascii="Book Antiqua" w:hAnsi="Book Antiqua"/>
          <w:color w:val="000000"/>
        </w:rPr>
        <w:t xml:space="preserve">por parte de las aseguradoras </w:t>
      </w:r>
      <w:r>
        <w:rPr>
          <w:rFonts w:ascii="Book Antiqua" w:hAnsi="Book Antiqua"/>
          <w:color w:val="000000"/>
        </w:rPr>
        <w:t xml:space="preserve">a estos miles de ciudadanos </w:t>
      </w:r>
      <w:r w:rsidR="0DA45426">
        <w:rPr>
          <w:rFonts w:ascii="Book Antiqua" w:hAnsi="Book Antiqua"/>
          <w:color w:val="000000"/>
        </w:rPr>
        <w:t>que se vieron en la necesidad de tocar las p</w:t>
      </w:r>
      <w:r w:rsidR="0383F05D">
        <w:rPr>
          <w:rFonts w:ascii="Book Antiqua" w:hAnsi="Book Antiqua"/>
          <w:color w:val="000000"/>
        </w:rPr>
        <w:t>uertas</w:t>
      </w:r>
      <w:r w:rsidR="0DA45426">
        <w:rPr>
          <w:rFonts w:ascii="Book Antiqua" w:hAnsi="Book Antiqua"/>
          <w:color w:val="000000"/>
        </w:rPr>
        <w:t xml:space="preserve"> de los tribunales</w:t>
      </w:r>
      <w:r w:rsidR="3B3159A8">
        <w:rPr>
          <w:rFonts w:ascii="Book Antiqua" w:hAnsi="Book Antiqua"/>
          <w:color w:val="000000"/>
        </w:rPr>
        <w:t xml:space="preserve"> </w:t>
      </w:r>
      <w:r w:rsidR="395EE796">
        <w:rPr>
          <w:rFonts w:ascii="Book Antiqua" w:hAnsi="Book Antiqua"/>
          <w:color w:val="000000"/>
        </w:rPr>
        <w:t xml:space="preserve">sin duda </w:t>
      </w:r>
      <w:r>
        <w:rPr>
          <w:rFonts w:ascii="Book Antiqua" w:hAnsi="Book Antiqua"/>
          <w:color w:val="000000"/>
        </w:rPr>
        <w:t xml:space="preserve">ha </w:t>
      </w:r>
      <w:r w:rsidR="395EE796">
        <w:rPr>
          <w:rFonts w:ascii="Book Antiqua" w:hAnsi="Book Antiqua"/>
          <w:color w:val="000000"/>
        </w:rPr>
        <w:t>tenido un efecto</w:t>
      </w:r>
      <w:r>
        <w:rPr>
          <w:rFonts w:ascii="Book Antiqua" w:hAnsi="Book Antiqua"/>
          <w:color w:val="000000"/>
        </w:rPr>
        <w:t xml:space="preserve"> </w:t>
      </w:r>
      <w:r w:rsidR="0DA45426">
        <w:rPr>
          <w:rFonts w:ascii="Book Antiqua" w:hAnsi="Book Antiqua"/>
          <w:color w:val="000000"/>
        </w:rPr>
        <w:t>direct</w:t>
      </w:r>
      <w:r w:rsidR="395EE796">
        <w:rPr>
          <w:rFonts w:ascii="Book Antiqua" w:hAnsi="Book Antiqua"/>
          <w:color w:val="000000"/>
        </w:rPr>
        <w:t>o en</w:t>
      </w:r>
      <w:r w:rsidR="0DA45426">
        <w:rPr>
          <w:rFonts w:ascii="Book Antiqua" w:hAnsi="Book Antiqua"/>
          <w:color w:val="000000"/>
        </w:rPr>
        <w:t xml:space="preserve"> </w:t>
      </w:r>
      <w:r>
        <w:rPr>
          <w:rFonts w:ascii="Book Antiqua" w:hAnsi="Book Antiqua"/>
          <w:color w:val="000000"/>
        </w:rPr>
        <w:t xml:space="preserve">el presupuesto de </w:t>
      </w:r>
      <w:r w:rsidR="395EE796">
        <w:rPr>
          <w:rFonts w:ascii="Book Antiqua" w:hAnsi="Book Antiqua"/>
          <w:color w:val="000000"/>
        </w:rPr>
        <w:t>esas</w:t>
      </w:r>
      <w:r>
        <w:rPr>
          <w:rFonts w:ascii="Book Antiqua" w:hAnsi="Book Antiqua"/>
          <w:color w:val="000000"/>
        </w:rPr>
        <w:t xml:space="preserve"> familias y ha trastocado la reconstrucción de hogares y estructuras afectadas por los vientos huracanados</w:t>
      </w:r>
      <w:r w:rsidR="785519C4">
        <w:rPr>
          <w:rFonts w:ascii="Book Antiqua" w:hAnsi="Book Antiqua"/>
          <w:color w:val="000000"/>
        </w:rPr>
        <w:t xml:space="preserve">. Ello, a su vez, </w:t>
      </w:r>
      <w:r w:rsidR="4E60A94C">
        <w:rPr>
          <w:rFonts w:ascii="Book Antiqua" w:hAnsi="Book Antiqua"/>
          <w:color w:val="000000"/>
        </w:rPr>
        <w:t xml:space="preserve">ha </w:t>
      </w:r>
      <w:r w:rsidR="785519C4">
        <w:rPr>
          <w:rFonts w:ascii="Book Antiqua" w:hAnsi="Book Antiqua"/>
          <w:color w:val="000000"/>
        </w:rPr>
        <w:t xml:space="preserve">impactado negativamente la </w:t>
      </w:r>
      <w:r w:rsidR="0DA45426">
        <w:rPr>
          <w:rFonts w:ascii="Book Antiqua" w:hAnsi="Book Antiqua"/>
          <w:color w:val="000000"/>
        </w:rPr>
        <w:t xml:space="preserve">reconstrucción de </w:t>
      </w:r>
      <w:r w:rsidR="30A7D239" w:rsidRPr="1C0DABF2">
        <w:rPr>
          <w:rFonts w:ascii="Book Antiqua" w:hAnsi="Book Antiqua"/>
          <w:color w:val="000000" w:themeColor="text1"/>
        </w:rPr>
        <w:t>nuestra</w:t>
      </w:r>
      <w:r w:rsidR="30A7D239">
        <w:rPr>
          <w:rFonts w:ascii="Book Antiqua" w:hAnsi="Book Antiqua"/>
          <w:color w:val="000000"/>
        </w:rPr>
        <w:t xml:space="preserve"> Isla</w:t>
      </w:r>
      <w:r w:rsidR="0DA45426">
        <w:rPr>
          <w:rFonts w:ascii="Book Antiqua" w:hAnsi="Book Antiqua"/>
          <w:color w:val="000000"/>
        </w:rPr>
        <w:t xml:space="preserve">, </w:t>
      </w:r>
      <w:r w:rsidR="395EE796">
        <w:rPr>
          <w:rFonts w:ascii="Book Antiqua" w:hAnsi="Book Antiqua"/>
          <w:color w:val="000000"/>
        </w:rPr>
        <w:t>así como</w:t>
      </w:r>
      <w:r w:rsidR="0DA45426">
        <w:rPr>
          <w:rFonts w:ascii="Book Antiqua" w:hAnsi="Book Antiqua"/>
          <w:color w:val="000000"/>
        </w:rPr>
        <w:t xml:space="preserve"> afectado la </w:t>
      </w:r>
      <w:r w:rsidR="785519C4">
        <w:rPr>
          <w:rFonts w:ascii="Book Antiqua" w:hAnsi="Book Antiqua"/>
          <w:color w:val="000000"/>
        </w:rPr>
        <w:t>industria de la construcción y otras ramas importantes de la economía puertorriqueña.</w:t>
      </w:r>
      <w:r>
        <w:rPr>
          <w:rFonts w:ascii="Book Antiqua" w:hAnsi="Book Antiqua"/>
          <w:color w:val="000000"/>
        </w:rPr>
        <w:t xml:space="preserve"> </w:t>
      </w:r>
      <w:r w:rsidR="3B3159A8">
        <w:rPr>
          <w:rFonts w:ascii="Book Antiqua" w:hAnsi="Book Antiqua"/>
          <w:color w:val="000000"/>
        </w:rPr>
        <w:t>Incluso</w:t>
      </w:r>
      <w:r w:rsidR="0CB32BCC">
        <w:rPr>
          <w:rFonts w:ascii="Book Antiqua" w:hAnsi="Book Antiqua"/>
          <w:color w:val="000000"/>
        </w:rPr>
        <w:t>, varios años después de aprobada la Ley 247</w:t>
      </w:r>
      <w:r w:rsidR="7EC6DA0A">
        <w:rPr>
          <w:rFonts w:ascii="Book Antiqua" w:hAnsi="Book Antiqua"/>
          <w:color w:val="000000"/>
        </w:rPr>
        <w:t>-</w:t>
      </w:r>
      <w:r w:rsidR="0CB32BCC">
        <w:rPr>
          <w:rFonts w:ascii="Book Antiqua" w:hAnsi="Book Antiqua"/>
          <w:color w:val="000000"/>
        </w:rPr>
        <w:t xml:space="preserve">2018, </w:t>
      </w:r>
      <w:r w:rsidR="07BE3438">
        <w:rPr>
          <w:rFonts w:ascii="Book Antiqua" w:hAnsi="Book Antiqua"/>
          <w:color w:val="000000"/>
        </w:rPr>
        <w:t xml:space="preserve">aún </w:t>
      </w:r>
      <w:r w:rsidR="0CB32BCC">
        <w:rPr>
          <w:rFonts w:ascii="Book Antiqua" w:hAnsi="Book Antiqua"/>
          <w:color w:val="000000"/>
        </w:rPr>
        <w:t xml:space="preserve">restaban </w:t>
      </w:r>
      <w:r w:rsidR="45027C46">
        <w:rPr>
          <w:rFonts w:ascii="Book Antiqua" w:hAnsi="Book Antiqua"/>
          <w:color w:val="000000"/>
        </w:rPr>
        <w:t>unos $1.6 Billones por pagarse en reclamaciones por los daños del huracán María.</w:t>
      </w:r>
      <w:r w:rsidR="00B90450">
        <w:rPr>
          <w:rStyle w:val="FootnoteReference"/>
          <w:rFonts w:ascii="Book Antiqua" w:hAnsi="Book Antiqua"/>
          <w:color w:val="000000"/>
        </w:rPr>
        <w:footnoteReference w:id="7"/>
      </w:r>
      <w:r w:rsidR="45027C46">
        <w:rPr>
          <w:rFonts w:ascii="Book Antiqua" w:hAnsi="Book Antiqua"/>
          <w:color w:val="000000"/>
        </w:rPr>
        <w:t xml:space="preserve"> </w:t>
      </w:r>
    </w:p>
    <w:p w14:paraId="7CEDB2A1" w14:textId="77777777" w:rsidR="001E5E95" w:rsidRDefault="001E5E95" w:rsidP="007B138A">
      <w:pPr>
        <w:pStyle w:val="BodyText"/>
        <w:suppressLineNumbers/>
        <w:rPr>
          <w:rFonts w:ascii="Book Antiqua" w:hAnsi="Book Antiqua"/>
          <w:color w:val="000000"/>
        </w:rPr>
      </w:pPr>
    </w:p>
    <w:p w14:paraId="45EAB423" w14:textId="77777777" w:rsidR="00814E6D" w:rsidRPr="00996BF2" w:rsidRDefault="5B2DEDFE" w:rsidP="00B90450">
      <w:pPr>
        <w:pStyle w:val="BodyText"/>
        <w:suppressLineNumbers/>
        <w:ind w:firstLine="708"/>
        <w:rPr>
          <w:rFonts w:ascii="Book Antiqua" w:hAnsi="Book Antiqua"/>
          <w:color w:val="000000"/>
        </w:rPr>
      </w:pPr>
      <w:r w:rsidRPr="1C0DABF2">
        <w:rPr>
          <w:rFonts w:ascii="Book Antiqua" w:hAnsi="Book Antiqua"/>
          <w:color w:val="000000" w:themeColor="text1"/>
        </w:rPr>
        <w:lastRenderedPageBreak/>
        <w:t xml:space="preserve">Este patrón de reiteradas violaciones por parte de compañías aseguradoras mueve a esta Asamblea Legislativa a </w:t>
      </w:r>
      <w:r w:rsidR="07BE3438" w:rsidRPr="1C0DABF2">
        <w:rPr>
          <w:rFonts w:ascii="Book Antiqua" w:hAnsi="Book Antiqua"/>
          <w:color w:val="000000" w:themeColor="text1"/>
        </w:rPr>
        <w:t xml:space="preserve">reiterar su compromiso </w:t>
      </w:r>
      <w:r w:rsidR="2AB5B02D" w:rsidRPr="1C0DABF2">
        <w:rPr>
          <w:rFonts w:ascii="Book Antiqua" w:hAnsi="Book Antiqua"/>
          <w:color w:val="000000" w:themeColor="text1"/>
        </w:rPr>
        <w:t>inquebrantable con la justicia y con</w:t>
      </w:r>
      <w:r w:rsidR="07BE3438" w:rsidRPr="1C0DABF2">
        <w:rPr>
          <w:rFonts w:ascii="Book Antiqua" w:hAnsi="Book Antiqua"/>
          <w:color w:val="000000" w:themeColor="text1"/>
        </w:rPr>
        <w:t xml:space="preserve"> </w:t>
      </w:r>
      <w:r w:rsidRPr="1C0DABF2">
        <w:rPr>
          <w:rFonts w:ascii="Book Antiqua" w:hAnsi="Book Antiqua"/>
          <w:color w:val="000000" w:themeColor="text1"/>
        </w:rPr>
        <w:t>legislar a los fines de brindar herramientas y protecciones adicionales en beneficio de los asegurados a modo de garantizar el fiel cumplimiento de los fines del Código de Seguros</w:t>
      </w:r>
      <w:r w:rsidR="2AB5B02D" w:rsidRPr="1C0DABF2">
        <w:rPr>
          <w:rFonts w:ascii="Book Antiqua" w:hAnsi="Book Antiqua"/>
          <w:color w:val="000000" w:themeColor="text1"/>
        </w:rPr>
        <w:t xml:space="preserve">. </w:t>
      </w:r>
    </w:p>
    <w:p w14:paraId="59EF8DF6" w14:textId="21D9CFDD" w:rsidR="27926170" w:rsidRDefault="27926170" w:rsidP="27926170">
      <w:pPr>
        <w:pStyle w:val="BodyText"/>
        <w:suppressLineNumbers/>
        <w:ind w:firstLine="708"/>
        <w:rPr>
          <w:rFonts w:ascii="Book Antiqua" w:hAnsi="Book Antiqua"/>
          <w:color w:val="000000" w:themeColor="text1"/>
        </w:rPr>
      </w:pPr>
    </w:p>
    <w:p w14:paraId="1916DDC2" w14:textId="4D83F718" w:rsidR="006C58FD" w:rsidRPr="00284EA3" w:rsidRDefault="45027C46" w:rsidP="00E727BB">
      <w:pPr>
        <w:pStyle w:val="BodyText"/>
        <w:suppressLineNumbers/>
        <w:ind w:firstLine="708"/>
        <w:rPr>
          <w:rFonts w:ascii="Book Antiqua" w:hAnsi="Book Antiqua"/>
          <w:color w:val="000000"/>
        </w:rPr>
      </w:pPr>
      <w:r w:rsidRPr="1C0DABF2">
        <w:rPr>
          <w:rFonts w:ascii="Book Antiqua" w:hAnsi="Book Antiqua"/>
          <w:color w:val="000000" w:themeColor="text1"/>
        </w:rPr>
        <w:t xml:space="preserve">Por todo lo anterior, así como para </w:t>
      </w:r>
      <w:r w:rsidR="07BE3438" w:rsidRPr="1C0DABF2">
        <w:rPr>
          <w:rFonts w:ascii="Book Antiqua" w:hAnsi="Book Antiqua"/>
          <w:color w:val="000000" w:themeColor="text1"/>
        </w:rPr>
        <w:t>continuar promoviendo la recuperación de Puerto Rico</w:t>
      </w:r>
      <w:r w:rsidR="2AB5B02D" w:rsidRPr="1C0DABF2">
        <w:rPr>
          <w:rFonts w:ascii="Book Antiqua" w:hAnsi="Book Antiqua"/>
          <w:color w:val="000000" w:themeColor="text1"/>
        </w:rPr>
        <w:t xml:space="preserve"> tras el paso de los huracanes Irma y María</w:t>
      </w:r>
      <w:r w:rsidR="4B5E1533" w:rsidRPr="1C0DABF2">
        <w:rPr>
          <w:rFonts w:ascii="Book Antiqua" w:hAnsi="Book Antiqua"/>
          <w:color w:val="000000" w:themeColor="text1"/>
        </w:rPr>
        <w:t>, est</w:t>
      </w:r>
      <w:r w:rsidR="2AC92FD7" w:rsidRPr="1C0DABF2">
        <w:rPr>
          <w:rFonts w:ascii="Book Antiqua" w:hAnsi="Book Antiqua"/>
          <w:color w:val="000000" w:themeColor="text1"/>
        </w:rPr>
        <w:t xml:space="preserve">a Asamblea Legislativa </w:t>
      </w:r>
      <w:r w:rsidR="4B5E1533" w:rsidRPr="1C0DABF2">
        <w:rPr>
          <w:rFonts w:ascii="Book Antiqua" w:hAnsi="Book Antiqua"/>
          <w:color w:val="000000" w:themeColor="text1"/>
        </w:rPr>
        <w:t xml:space="preserve">entiende necesario </w:t>
      </w:r>
      <w:r w:rsidR="07BE3438" w:rsidRPr="1C0DABF2">
        <w:rPr>
          <w:rFonts w:ascii="Book Antiqua" w:hAnsi="Book Antiqua"/>
          <w:color w:val="000000" w:themeColor="text1"/>
        </w:rPr>
        <w:t xml:space="preserve">enmendar </w:t>
      </w:r>
      <w:r w:rsidR="60E6DC66" w:rsidRPr="1C0DABF2">
        <w:rPr>
          <w:rFonts w:ascii="Book Antiqua" w:hAnsi="Book Antiqua"/>
          <w:color w:val="000000" w:themeColor="text1"/>
        </w:rPr>
        <w:t>el</w:t>
      </w:r>
      <w:r w:rsidR="60E6DC66" w:rsidRPr="1C0DABF2">
        <w:rPr>
          <w:rFonts w:ascii="Book Antiqua" w:hAnsi="Book Antiqua"/>
        </w:rPr>
        <w:t xml:space="preserve"> Artículo 27.164 y el Artículo 27.165 del </w:t>
      </w:r>
      <w:r w:rsidR="2AC92FD7" w:rsidRPr="1C0DABF2">
        <w:rPr>
          <w:rFonts w:ascii="Book Antiqua" w:hAnsi="Book Antiqua"/>
          <w:color w:val="000000" w:themeColor="text1"/>
        </w:rPr>
        <w:t xml:space="preserve">Código de Seguros. Entendemos que de esta forma brindamos </w:t>
      </w:r>
      <w:r w:rsidR="4B5E1533" w:rsidRPr="1C0DABF2">
        <w:rPr>
          <w:rFonts w:ascii="Book Antiqua" w:hAnsi="Book Antiqua"/>
          <w:color w:val="000000" w:themeColor="text1"/>
        </w:rPr>
        <w:t xml:space="preserve">mayor seguridad, remedios y protecciones a la ciudadanía </w:t>
      </w:r>
      <w:r w:rsidR="07BE3438" w:rsidRPr="1C0DABF2">
        <w:rPr>
          <w:rFonts w:ascii="Book Antiqua" w:hAnsi="Book Antiqua"/>
          <w:color w:val="000000" w:themeColor="text1"/>
        </w:rPr>
        <w:t>que tanto lo necesita.</w:t>
      </w:r>
    </w:p>
    <w:p w14:paraId="1D462C07" w14:textId="77777777" w:rsidR="00213E61" w:rsidRPr="00284EA3" w:rsidRDefault="00213E61" w:rsidP="00B90450">
      <w:pPr>
        <w:pStyle w:val="BodyText"/>
        <w:suppressLineNumbers/>
        <w:rPr>
          <w:rFonts w:ascii="Book Antiqua" w:hAnsi="Book Antiqua"/>
          <w:color w:val="000000"/>
        </w:rPr>
      </w:pPr>
    </w:p>
    <w:p w14:paraId="2813C623" w14:textId="77777777" w:rsidR="00B353E1" w:rsidRPr="00284EA3" w:rsidRDefault="00B353E1" w:rsidP="00E727BB">
      <w:pPr>
        <w:suppressLineNumbers/>
        <w:spacing w:after="0" w:line="480" w:lineRule="auto"/>
        <w:jc w:val="both"/>
        <w:rPr>
          <w:i/>
          <w:sz w:val="24"/>
          <w:szCs w:val="24"/>
        </w:rPr>
      </w:pPr>
      <w:r w:rsidRPr="00284EA3">
        <w:rPr>
          <w:i/>
          <w:sz w:val="24"/>
          <w:szCs w:val="24"/>
        </w:rPr>
        <w:t>DECR</w:t>
      </w:r>
      <w:r w:rsidR="001D7C36" w:rsidRPr="00284EA3">
        <w:rPr>
          <w:i/>
          <w:sz w:val="24"/>
          <w:szCs w:val="24"/>
        </w:rPr>
        <w:t>É</w:t>
      </w:r>
      <w:r w:rsidRPr="00284EA3">
        <w:rPr>
          <w:i/>
          <w:sz w:val="24"/>
          <w:szCs w:val="24"/>
        </w:rPr>
        <w:t>TASE POR LA ASAMBLEA LEGISLATIVA DE PUERTO RICO:</w:t>
      </w:r>
    </w:p>
    <w:p w14:paraId="19A4EC08" w14:textId="6A9D2D38" w:rsidR="000249BC" w:rsidRPr="00284EA3" w:rsidRDefault="008A5E5B" w:rsidP="00C24291">
      <w:pPr>
        <w:spacing w:after="0" w:line="480" w:lineRule="auto"/>
        <w:ind w:firstLine="720"/>
        <w:jc w:val="both"/>
        <w:rPr>
          <w:sz w:val="24"/>
          <w:szCs w:val="24"/>
        </w:rPr>
      </w:pPr>
      <w:r w:rsidRPr="00284EA3">
        <w:rPr>
          <w:sz w:val="24"/>
          <w:szCs w:val="24"/>
        </w:rPr>
        <w:t>Sección 1.-</w:t>
      </w:r>
      <w:r w:rsidR="001E5E95">
        <w:rPr>
          <w:sz w:val="24"/>
          <w:szCs w:val="24"/>
        </w:rPr>
        <w:t>Se enmienda el Artículo 27.16</w:t>
      </w:r>
      <w:r w:rsidR="001C1E9F">
        <w:rPr>
          <w:sz w:val="24"/>
          <w:szCs w:val="24"/>
        </w:rPr>
        <w:t>4</w:t>
      </w:r>
      <w:r w:rsidR="001E5E95">
        <w:rPr>
          <w:sz w:val="24"/>
          <w:szCs w:val="24"/>
        </w:rPr>
        <w:t xml:space="preserve"> </w:t>
      </w:r>
      <w:r w:rsidR="001E5E95" w:rsidRPr="00284EA3">
        <w:rPr>
          <w:sz w:val="24"/>
          <w:szCs w:val="24"/>
        </w:rPr>
        <w:t>la Ley Núm. 77 de 19 de junio de 1957, conocida como “Código de Seguros de Puerto Rico”</w:t>
      </w:r>
      <w:r w:rsidR="001E5E95">
        <w:rPr>
          <w:sz w:val="24"/>
          <w:szCs w:val="24"/>
        </w:rPr>
        <w:t>, según enmendada, para que</w:t>
      </w:r>
      <w:r w:rsidR="003B1EBD">
        <w:rPr>
          <w:sz w:val="24"/>
          <w:szCs w:val="24"/>
        </w:rPr>
        <w:t xml:space="preserve"> se</w:t>
      </w:r>
      <w:r w:rsidR="001E5E95">
        <w:rPr>
          <w:sz w:val="24"/>
          <w:szCs w:val="24"/>
        </w:rPr>
        <w:t xml:space="preserve"> lea como sigue:  </w:t>
      </w:r>
    </w:p>
    <w:p w14:paraId="66FFB509" w14:textId="77777777" w:rsidR="000249BC" w:rsidRPr="001E5E95" w:rsidRDefault="00F75AE4" w:rsidP="00C24291">
      <w:pPr>
        <w:spacing w:after="0" w:line="480" w:lineRule="auto"/>
        <w:ind w:firstLine="720"/>
        <w:jc w:val="both"/>
        <w:rPr>
          <w:iCs/>
          <w:sz w:val="24"/>
          <w:szCs w:val="24"/>
        </w:rPr>
      </w:pPr>
      <w:r w:rsidRPr="001E5E95">
        <w:rPr>
          <w:iCs/>
          <w:sz w:val="24"/>
          <w:szCs w:val="24"/>
        </w:rPr>
        <w:t>“</w:t>
      </w:r>
      <w:r w:rsidR="000249BC" w:rsidRPr="001E5E95">
        <w:rPr>
          <w:iCs/>
          <w:sz w:val="24"/>
          <w:szCs w:val="24"/>
        </w:rPr>
        <w:t>Artículo 27.16</w:t>
      </w:r>
      <w:r w:rsidR="001C1E9F">
        <w:rPr>
          <w:iCs/>
          <w:sz w:val="24"/>
          <w:szCs w:val="24"/>
        </w:rPr>
        <w:t>4</w:t>
      </w:r>
      <w:r w:rsidR="000249BC" w:rsidRPr="001E5E95">
        <w:rPr>
          <w:iCs/>
          <w:sz w:val="24"/>
          <w:szCs w:val="24"/>
        </w:rPr>
        <w:t>- Remedios Civiles</w:t>
      </w:r>
    </w:p>
    <w:p w14:paraId="7AD11B11" w14:textId="584FB206" w:rsidR="000249BC" w:rsidRPr="001E5E95" w:rsidRDefault="006812FA" w:rsidP="00957468">
      <w:pPr>
        <w:spacing w:after="0" w:line="480" w:lineRule="auto"/>
        <w:ind w:left="360"/>
        <w:jc w:val="both"/>
        <w:rPr>
          <w:iCs/>
          <w:sz w:val="24"/>
          <w:szCs w:val="24"/>
        </w:rPr>
      </w:pPr>
      <w:r>
        <w:rPr>
          <w:iCs/>
          <w:sz w:val="24"/>
          <w:szCs w:val="24"/>
        </w:rPr>
        <w:t xml:space="preserve">(1) </w:t>
      </w:r>
      <w:r w:rsidR="00AB2F9F">
        <w:rPr>
          <w:iCs/>
          <w:sz w:val="24"/>
          <w:szCs w:val="24"/>
        </w:rPr>
        <w:t>…</w:t>
      </w:r>
    </w:p>
    <w:p w14:paraId="43086498" w14:textId="3271952F" w:rsidR="00A007EE" w:rsidRPr="00A007EE" w:rsidRDefault="006812FA" w:rsidP="00957468">
      <w:pPr>
        <w:spacing w:after="0" w:line="480" w:lineRule="auto"/>
        <w:ind w:left="360"/>
        <w:jc w:val="both"/>
        <w:rPr>
          <w:iCs/>
          <w:sz w:val="24"/>
          <w:szCs w:val="24"/>
        </w:rPr>
      </w:pPr>
      <w:r>
        <w:rPr>
          <w:iCs/>
          <w:sz w:val="24"/>
          <w:szCs w:val="24"/>
        </w:rPr>
        <w:t>(2)</w:t>
      </w:r>
    </w:p>
    <w:p w14:paraId="3407FA01" w14:textId="66129526" w:rsidR="001C1E9F" w:rsidRPr="00957468" w:rsidRDefault="006812FA" w:rsidP="00957468">
      <w:pPr>
        <w:spacing w:after="0" w:line="480" w:lineRule="auto"/>
        <w:ind w:left="360"/>
        <w:jc w:val="both"/>
        <w:rPr>
          <w:b/>
          <w:bCs/>
          <w:sz w:val="24"/>
          <w:szCs w:val="24"/>
        </w:rPr>
      </w:pPr>
      <w:r>
        <w:rPr>
          <w:b/>
          <w:bCs/>
          <w:color w:val="000000"/>
          <w:sz w:val="24"/>
          <w:szCs w:val="24"/>
          <w:shd w:val="clear" w:color="auto" w:fill="FFFFFF"/>
        </w:rPr>
        <w:t>[</w:t>
      </w:r>
      <w:r w:rsidRPr="00957468">
        <w:rPr>
          <w:b/>
          <w:bCs/>
          <w:color w:val="000000"/>
          <w:sz w:val="24"/>
          <w:szCs w:val="24"/>
          <w:shd w:val="clear" w:color="auto" w:fill="FFFFFF"/>
        </w:rPr>
        <w:t xml:space="preserve">(3) </w:t>
      </w:r>
      <w:r w:rsidR="0DA45426" w:rsidRPr="00957468">
        <w:rPr>
          <w:b/>
          <w:bCs/>
          <w:color w:val="000000"/>
          <w:sz w:val="24"/>
          <w:szCs w:val="24"/>
          <w:shd w:val="clear" w:color="auto" w:fill="FFFFFF"/>
        </w:rPr>
        <w:t>Como condición previa a entablar una acción bajo las disposiciones de este Artículo, la parte afectada deberá notificar por escrito al Comisionado y a la aseguradora de la violación.  La Aseguradora tendrá un término de sesenta (60) días para remediar la misma. El Comisionado, de entender que la notificación por escrito es insuficiente o vaga, devolverá la misma y el término de sesenta (60) días no comenzará a cursar hasta tanto se subsane la deficiencia identificada por el Comisionado.</w:t>
      </w:r>
    </w:p>
    <w:p w14:paraId="310EC996" w14:textId="71F0BDE9" w:rsidR="00BB0B96" w:rsidRPr="00957468" w:rsidRDefault="69B49B6B" w:rsidP="006812FA">
      <w:pPr>
        <w:numPr>
          <w:ilvl w:val="1"/>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Dicha notificación deberá hacerse en un formulario oficial a ser provisto por el Comisionado y deberá contener la siguiente información así como </w:t>
      </w:r>
      <w:r w:rsidRPr="00957468">
        <w:rPr>
          <w:rFonts w:eastAsia="Times New Roman"/>
          <w:b/>
          <w:bCs/>
          <w:color w:val="000000" w:themeColor="text1"/>
          <w:sz w:val="24"/>
          <w:szCs w:val="24"/>
        </w:rPr>
        <w:lastRenderedPageBreak/>
        <w:t>cualquier otra información que el Comisionado, a su discreción, entienda necesario discreción del Comisionado:</w:t>
      </w:r>
    </w:p>
    <w:p w14:paraId="1F585570" w14:textId="3BB299C4" w:rsidR="00BB0B96" w:rsidRPr="00957468" w:rsidRDefault="48D0A18D" w:rsidP="006812FA">
      <w:pPr>
        <w:numPr>
          <w:ilvl w:val="2"/>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Citar el Artículo o Sección bajo la cual se imputa una violación y una cita del lenguaje incluido bajo dicho Artículo o Sección que se alega fue infringido por la aseguradora.</w:t>
      </w:r>
    </w:p>
    <w:p w14:paraId="3A4A3295" w14:textId="4DC1D370" w:rsidR="22831365" w:rsidRPr="00957468" w:rsidRDefault="7061517A" w:rsidP="006812FA">
      <w:pPr>
        <w:numPr>
          <w:ilvl w:val="2"/>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Una relación de hechos que dieron pie a la violación.</w:t>
      </w:r>
    </w:p>
    <w:p w14:paraId="1543EF4D" w14:textId="1FD9445C" w:rsidR="00EC0DCB" w:rsidRPr="00957468" w:rsidRDefault="54FA2D28" w:rsidP="006812FA">
      <w:pPr>
        <w:numPr>
          <w:ilvl w:val="2"/>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El nombre de la persona o entidad involucrada en la violación.</w:t>
      </w:r>
    </w:p>
    <w:p w14:paraId="5D77F790" w14:textId="6D203AA3" w:rsidR="22831365" w:rsidRPr="00957468" w:rsidRDefault="5A8D2AAA" w:rsidP="006812FA">
      <w:pPr>
        <w:numPr>
          <w:ilvl w:val="2"/>
          <w:numId w:val="4"/>
        </w:numPr>
        <w:spacing w:after="0" w:line="480" w:lineRule="auto"/>
        <w:jc w:val="both"/>
        <w:rPr>
          <w:rFonts w:eastAsia="Times New Roman"/>
          <w:b/>
          <w:bCs/>
          <w:color w:val="000000" w:themeColor="text1"/>
          <w:sz w:val="24"/>
          <w:szCs w:val="24"/>
        </w:rPr>
      </w:pPr>
      <w:r w:rsidRPr="00957468">
        <w:rPr>
          <w:rFonts w:eastAsia="Times New Roman"/>
          <w:b/>
          <w:bCs/>
          <w:color w:val="000000" w:themeColor="text1"/>
          <w:sz w:val="24"/>
          <w:szCs w:val="24"/>
        </w:rPr>
        <w:t xml:space="preserve"> Referencia al lenguaje bajo las cubiertas de la póliza que sea relevante bajo la violación alegada. Si la persona que presenta la reclamación es un tercero, no se le pedirá que haga referencia al lenguaje específico de la póliza si la aseguradora autorizada no ha proporcionado una copia de la póliza al reclamante, luego de este haberla solicitado por escrito.</w:t>
      </w:r>
    </w:p>
    <w:p w14:paraId="37DAB0E8" w14:textId="6E541BC5" w:rsidR="00EC0DCB" w:rsidRPr="00957468" w:rsidRDefault="5A8D2AAA" w:rsidP="00957468">
      <w:pPr>
        <w:pStyle w:val="ListParagraph"/>
        <w:numPr>
          <w:ilvl w:val="2"/>
          <w:numId w:val="4"/>
        </w:numPr>
        <w:spacing w:line="480" w:lineRule="auto"/>
        <w:jc w:val="both"/>
        <w:rPr>
          <w:b/>
          <w:bCs/>
        </w:rPr>
      </w:pPr>
      <w:r w:rsidRPr="00957468">
        <w:rPr>
          <w:rFonts w:eastAsia="Times New Roman"/>
          <w:b/>
          <w:bCs/>
          <w:color w:val="000000" w:themeColor="text1"/>
          <w:sz w:val="24"/>
          <w:szCs w:val="24"/>
        </w:rPr>
        <w:t>Una declaración de que la notificación se entrega con el fin de perfeccionar el derecho a buscar el recurso civil autorizado por esta Sección.</w:t>
      </w:r>
      <w:r w:rsidR="0FF2363D" w:rsidRPr="00957468">
        <w:rPr>
          <w:rFonts w:eastAsia="Times New Roman"/>
          <w:b/>
          <w:bCs/>
          <w:color w:val="000000" w:themeColor="text1"/>
          <w:sz w:val="24"/>
          <w:szCs w:val="24"/>
        </w:rPr>
        <w:t>]</w:t>
      </w:r>
    </w:p>
    <w:p w14:paraId="5BC17D8F" w14:textId="0B312E41" w:rsidR="00EC0DCB" w:rsidRPr="00957468" w:rsidRDefault="32137EB3" w:rsidP="00957468">
      <w:pPr>
        <w:numPr>
          <w:ilvl w:val="1"/>
          <w:numId w:val="4"/>
        </w:numPr>
        <w:spacing w:after="0" w:line="480" w:lineRule="auto"/>
        <w:jc w:val="both"/>
        <w:rPr>
          <w:b/>
          <w:bCs/>
          <w:sz w:val="24"/>
          <w:szCs w:val="24"/>
        </w:rPr>
      </w:pPr>
      <w:r w:rsidRPr="00957468">
        <w:rPr>
          <w:rFonts w:eastAsia="Times New Roman"/>
          <w:b/>
          <w:bCs/>
          <w:color w:val="000000" w:themeColor="text1"/>
          <w:sz w:val="24"/>
          <w:szCs w:val="24"/>
        </w:rPr>
        <w:t>Dentro de los veinte (20) días posteriores al recibo de la notificación, el Comisionado podrá devolver cualquier notificación que no proporcione en el aviso la información específica requerida por este Artículo. El Comisionado deberá indicar las deficiencias específicas contenidas en la notificación.</w:t>
      </w:r>
    </w:p>
    <w:p w14:paraId="28FAC984" w14:textId="41655CD1" w:rsidR="00431732" w:rsidRPr="00957468" w:rsidRDefault="55E5DBE7" w:rsidP="006812FA">
      <w:pPr>
        <w:numPr>
          <w:ilvl w:val="1"/>
          <w:numId w:val="4"/>
        </w:numPr>
        <w:spacing w:after="0" w:line="480" w:lineRule="auto"/>
        <w:jc w:val="both"/>
        <w:rPr>
          <w:b/>
          <w:bCs/>
          <w:sz w:val="24"/>
          <w:szCs w:val="24"/>
        </w:rPr>
      </w:pPr>
      <w:r w:rsidRPr="00957468">
        <w:rPr>
          <w:b/>
          <w:bCs/>
          <w:sz w:val="24"/>
          <w:szCs w:val="24"/>
        </w:rPr>
        <w:lastRenderedPageBreak/>
        <w:t>No procederá acción</w:t>
      </w:r>
      <w:r w:rsidR="07BE3438" w:rsidRPr="00957468">
        <w:rPr>
          <w:b/>
          <w:bCs/>
          <w:sz w:val="24"/>
          <w:szCs w:val="24"/>
        </w:rPr>
        <w:t xml:space="preserve"> </w:t>
      </w:r>
      <w:r w:rsidR="275D6D3E" w:rsidRPr="00957468">
        <w:rPr>
          <w:b/>
          <w:bCs/>
          <w:sz w:val="24"/>
          <w:szCs w:val="24"/>
        </w:rPr>
        <w:t>alguna</w:t>
      </w:r>
      <w:r w:rsidR="006812FA">
        <w:rPr>
          <w:b/>
          <w:bCs/>
          <w:sz w:val="24"/>
          <w:szCs w:val="24"/>
        </w:rPr>
        <w:t xml:space="preserve"> </w:t>
      </w:r>
      <w:r w:rsidRPr="00957468">
        <w:rPr>
          <w:b/>
          <w:bCs/>
          <w:sz w:val="24"/>
          <w:szCs w:val="24"/>
        </w:rPr>
        <w:t>si, dentro de los 60 días posteriores al recibo de la notificación, se pagan los daños o se corrigen las deficiencias o violaciones que dieron pie a la notificación</w:t>
      </w:r>
      <w:r w:rsidR="7BF091AB" w:rsidRPr="00957468">
        <w:rPr>
          <w:b/>
          <w:bCs/>
          <w:i/>
          <w:iCs/>
          <w:sz w:val="24"/>
          <w:szCs w:val="24"/>
        </w:rPr>
        <w:t>.</w:t>
      </w:r>
    </w:p>
    <w:p w14:paraId="6CC17E9D" w14:textId="354B0003" w:rsidR="22831365" w:rsidRPr="00957468" w:rsidRDefault="501E5272" w:rsidP="006812FA">
      <w:pPr>
        <w:numPr>
          <w:ilvl w:val="1"/>
          <w:numId w:val="4"/>
        </w:numPr>
        <w:spacing w:after="0" w:line="480" w:lineRule="auto"/>
        <w:jc w:val="both"/>
        <w:rPr>
          <w:rFonts w:cs="Book Antiqua"/>
          <w:b/>
          <w:bCs/>
          <w:sz w:val="24"/>
          <w:szCs w:val="24"/>
        </w:rPr>
      </w:pPr>
      <w:r w:rsidRPr="00957468">
        <w:rPr>
          <w:rFonts w:eastAsia="Times New Roman"/>
          <w:b/>
          <w:bCs/>
          <w:color w:val="000000" w:themeColor="text1"/>
          <w:sz w:val="24"/>
          <w:szCs w:val="24"/>
        </w:rPr>
        <w:t xml:space="preserve"> El asegurador autorizado que sea el destinatario de la notificación bajo este Artículo deberá notificar al Comisionado sobre la resolución de la presunta violación, acompañado por un acuerdo de conformidad y satisfacción firmado por el reclamante o su representante.</w:t>
      </w:r>
    </w:p>
    <w:p w14:paraId="16A8FD66" w14:textId="350D0366" w:rsidR="00431732" w:rsidRPr="00957468" w:rsidRDefault="55E5DBE7" w:rsidP="006812FA">
      <w:pPr>
        <w:numPr>
          <w:ilvl w:val="1"/>
          <w:numId w:val="4"/>
        </w:numPr>
        <w:spacing w:after="0" w:line="480" w:lineRule="auto"/>
        <w:jc w:val="both"/>
        <w:rPr>
          <w:b/>
          <w:bCs/>
          <w:sz w:val="24"/>
          <w:szCs w:val="24"/>
        </w:rPr>
      </w:pPr>
      <w:r w:rsidRPr="00957468">
        <w:rPr>
          <w:b/>
          <w:bCs/>
          <w:sz w:val="24"/>
          <w:szCs w:val="24"/>
        </w:rPr>
        <w:t>Una notificación bajo esta Sección</w:t>
      </w:r>
      <w:r w:rsidR="72A74FC7" w:rsidRPr="00957468">
        <w:rPr>
          <w:b/>
          <w:bCs/>
          <w:sz w:val="24"/>
          <w:szCs w:val="24"/>
        </w:rPr>
        <w:t xml:space="preserve">, </w:t>
      </w:r>
      <w:r w:rsidR="2F64AC94" w:rsidRPr="00957468">
        <w:rPr>
          <w:b/>
          <w:bCs/>
          <w:sz w:val="24"/>
          <w:szCs w:val="24"/>
        </w:rPr>
        <w:t>así</w:t>
      </w:r>
      <w:r w:rsidR="72A74FC7" w:rsidRPr="00957468">
        <w:rPr>
          <w:b/>
          <w:bCs/>
          <w:sz w:val="24"/>
          <w:szCs w:val="24"/>
        </w:rPr>
        <w:t xml:space="preserve"> como cualquier otra notificación subsiguiente</w:t>
      </w:r>
      <w:r w:rsidR="07BC3D93" w:rsidRPr="00957468">
        <w:rPr>
          <w:b/>
          <w:bCs/>
          <w:sz w:val="24"/>
          <w:szCs w:val="24"/>
        </w:rPr>
        <w:t>,</w:t>
      </w:r>
      <w:r w:rsidR="7BF091AB" w:rsidRPr="00957468">
        <w:rPr>
          <w:b/>
          <w:bCs/>
          <w:sz w:val="24"/>
          <w:szCs w:val="24"/>
        </w:rPr>
        <w:t xml:space="preserve"> </w:t>
      </w:r>
      <w:r w:rsidRPr="00957468">
        <w:rPr>
          <w:b/>
          <w:bCs/>
          <w:sz w:val="24"/>
          <w:szCs w:val="24"/>
        </w:rPr>
        <w:t xml:space="preserve"> interrumpirá </w:t>
      </w:r>
      <w:r w:rsidR="72A74FC7" w:rsidRPr="00957468">
        <w:rPr>
          <w:b/>
          <w:bCs/>
          <w:sz w:val="24"/>
          <w:szCs w:val="24"/>
        </w:rPr>
        <w:t>por se</w:t>
      </w:r>
      <w:r w:rsidR="7BF091AB" w:rsidRPr="00957468">
        <w:rPr>
          <w:b/>
          <w:bCs/>
          <w:sz w:val="24"/>
          <w:szCs w:val="24"/>
        </w:rPr>
        <w:t>s</w:t>
      </w:r>
      <w:r w:rsidR="72A74FC7" w:rsidRPr="00957468">
        <w:rPr>
          <w:b/>
          <w:bCs/>
          <w:sz w:val="24"/>
          <w:szCs w:val="24"/>
        </w:rPr>
        <w:t>enta</w:t>
      </w:r>
      <w:r w:rsidR="7BF091AB" w:rsidRPr="00957468">
        <w:rPr>
          <w:b/>
          <w:bCs/>
          <w:sz w:val="24"/>
          <w:szCs w:val="24"/>
        </w:rPr>
        <w:t xml:space="preserve"> </w:t>
      </w:r>
      <w:r w:rsidR="0B225D24" w:rsidRPr="00957468">
        <w:rPr>
          <w:b/>
          <w:bCs/>
          <w:sz w:val="24"/>
          <w:szCs w:val="24"/>
        </w:rPr>
        <w:t xml:space="preserve">y </w:t>
      </w:r>
      <w:r w:rsidR="72A74FC7" w:rsidRPr="00957468">
        <w:rPr>
          <w:b/>
          <w:bCs/>
          <w:sz w:val="24"/>
          <w:szCs w:val="24"/>
        </w:rPr>
        <w:t>cinco (65) días</w:t>
      </w:r>
      <w:r w:rsidR="0B225D24" w:rsidRPr="00957468">
        <w:rPr>
          <w:b/>
          <w:bCs/>
          <w:sz w:val="24"/>
          <w:szCs w:val="24"/>
        </w:rPr>
        <w:t>,</w:t>
      </w:r>
      <w:r w:rsidR="72A74FC7" w:rsidRPr="00957468">
        <w:rPr>
          <w:b/>
          <w:bCs/>
          <w:sz w:val="24"/>
          <w:szCs w:val="24"/>
        </w:rPr>
        <w:t xml:space="preserve"> desde la fecha </w:t>
      </w:r>
      <w:r w:rsidR="44AB415A" w:rsidRPr="006812FA">
        <w:rPr>
          <w:b/>
          <w:bCs/>
          <w:sz w:val="24"/>
          <w:szCs w:val="24"/>
        </w:rPr>
        <w:t>desde la fecha del depósito</w:t>
      </w:r>
      <w:r w:rsidR="72A74FC7" w:rsidRPr="00957468">
        <w:rPr>
          <w:b/>
          <w:bCs/>
          <w:sz w:val="24"/>
          <w:szCs w:val="24"/>
        </w:rPr>
        <w:t xml:space="preserve"> de la notificación, </w:t>
      </w:r>
      <w:r w:rsidRPr="00957468">
        <w:rPr>
          <w:b/>
          <w:bCs/>
          <w:sz w:val="24"/>
          <w:szCs w:val="24"/>
        </w:rPr>
        <w:t xml:space="preserve">cualquier </w:t>
      </w:r>
      <w:r w:rsidR="4525B278" w:rsidRPr="00957468">
        <w:rPr>
          <w:b/>
          <w:bCs/>
          <w:sz w:val="24"/>
          <w:szCs w:val="24"/>
        </w:rPr>
        <w:t>término</w:t>
      </w:r>
      <w:r w:rsidR="72A74FC7" w:rsidRPr="00957468">
        <w:rPr>
          <w:b/>
          <w:bCs/>
          <w:sz w:val="24"/>
          <w:szCs w:val="24"/>
        </w:rPr>
        <w:t xml:space="preserve"> prescriptivo</w:t>
      </w:r>
      <w:r w:rsidRPr="00957468">
        <w:rPr>
          <w:b/>
          <w:bCs/>
          <w:sz w:val="24"/>
          <w:szCs w:val="24"/>
        </w:rPr>
        <w:t xml:space="preserve"> para incoar acciones en los</w:t>
      </w:r>
      <w:r w:rsidR="0B225D24" w:rsidRPr="00957468">
        <w:rPr>
          <w:b/>
          <w:bCs/>
          <w:sz w:val="24"/>
          <w:szCs w:val="24"/>
        </w:rPr>
        <w:t xml:space="preserve"> t</w:t>
      </w:r>
      <w:r w:rsidRPr="00957468">
        <w:rPr>
          <w:b/>
          <w:bCs/>
          <w:sz w:val="24"/>
          <w:szCs w:val="24"/>
        </w:rPr>
        <w:t>ribunales.</w:t>
      </w:r>
      <w:r w:rsidR="5353B10D" w:rsidRPr="00957468">
        <w:rPr>
          <w:b/>
          <w:bCs/>
          <w:sz w:val="24"/>
          <w:szCs w:val="24"/>
        </w:rPr>
        <w:t>]</w:t>
      </w:r>
    </w:p>
    <w:p w14:paraId="6C0DE275" w14:textId="06F2319C" w:rsidR="00431732" w:rsidRPr="006812FA" w:rsidRDefault="006812FA" w:rsidP="00957468">
      <w:pPr>
        <w:spacing w:after="0" w:line="480" w:lineRule="auto"/>
        <w:ind w:left="360"/>
        <w:jc w:val="both"/>
        <w:rPr>
          <w:sz w:val="24"/>
          <w:szCs w:val="24"/>
        </w:rPr>
      </w:pPr>
      <w:r w:rsidRPr="00957468">
        <w:rPr>
          <w:b/>
          <w:bCs/>
          <w:sz w:val="24"/>
          <w:szCs w:val="24"/>
        </w:rPr>
        <w:t>[(4)]</w:t>
      </w:r>
      <w:r w:rsidRPr="006812FA">
        <w:rPr>
          <w:sz w:val="24"/>
          <w:szCs w:val="24"/>
        </w:rPr>
        <w:t xml:space="preserve"> </w:t>
      </w:r>
      <w:r>
        <w:rPr>
          <w:sz w:val="24"/>
          <w:szCs w:val="24"/>
        </w:rPr>
        <w:t>(</w:t>
      </w:r>
      <w:r>
        <w:rPr>
          <w:i/>
          <w:iCs/>
          <w:sz w:val="24"/>
          <w:szCs w:val="24"/>
        </w:rPr>
        <w:t xml:space="preserve">3) </w:t>
      </w:r>
      <w:r w:rsidR="75453774" w:rsidRPr="006812FA">
        <w:rPr>
          <w:sz w:val="24"/>
          <w:szCs w:val="24"/>
        </w:rPr>
        <w:t xml:space="preserve">En caso de adjudicación adversa </w:t>
      </w:r>
      <w:r w:rsidR="6341634C" w:rsidRPr="006812FA">
        <w:rPr>
          <w:b/>
          <w:bCs/>
          <w:sz w:val="24"/>
          <w:szCs w:val="24"/>
        </w:rPr>
        <w:t>[</w:t>
      </w:r>
      <w:r w:rsidR="77BAF914" w:rsidRPr="00957468">
        <w:rPr>
          <w:rFonts w:eastAsia="Times New Roman"/>
          <w:b/>
          <w:bCs/>
          <w:color w:val="000000" w:themeColor="text1"/>
          <w:sz w:val="24"/>
          <w:szCs w:val="24"/>
        </w:rPr>
        <w:t>en el juicio o luego de una apelación</w:t>
      </w:r>
      <w:r w:rsidR="74ACD67F" w:rsidRPr="006812FA">
        <w:rPr>
          <w:b/>
          <w:bCs/>
          <w:sz w:val="24"/>
          <w:szCs w:val="24"/>
        </w:rPr>
        <w:t>]</w:t>
      </w:r>
      <w:r w:rsidR="75453774" w:rsidRPr="006812FA">
        <w:rPr>
          <w:sz w:val="24"/>
          <w:szCs w:val="24"/>
        </w:rPr>
        <w:t xml:space="preserve">, el asegurador autorizado será responsable de los daños, junto con costos judiciales y honorarios razonables de abogados incurridos por el demandante. </w:t>
      </w:r>
    </w:p>
    <w:p w14:paraId="6BB58961" w14:textId="778CF0FB" w:rsidR="00E03B10" w:rsidRPr="006812FA" w:rsidRDefault="006812FA" w:rsidP="00957468">
      <w:pPr>
        <w:spacing w:after="0" w:line="480" w:lineRule="auto"/>
        <w:ind w:left="360"/>
        <w:jc w:val="both"/>
        <w:rPr>
          <w:iCs/>
          <w:sz w:val="24"/>
          <w:szCs w:val="24"/>
        </w:rPr>
      </w:pPr>
      <w:r w:rsidRPr="00957468">
        <w:rPr>
          <w:b/>
          <w:bCs/>
          <w:iCs/>
          <w:sz w:val="24"/>
          <w:szCs w:val="24"/>
        </w:rPr>
        <w:t>[(5)]</w:t>
      </w:r>
      <w:r w:rsidRPr="006812FA">
        <w:rPr>
          <w:iCs/>
          <w:sz w:val="24"/>
          <w:szCs w:val="24"/>
        </w:rPr>
        <w:t xml:space="preserve"> </w:t>
      </w:r>
      <w:r>
        <w:rPr>
          <w:i/>
          <w:sz w:val="24"/>
          <w:szCs w:val="24"/>
        </w:rPr>
        <w:t xml:space="preserve">(4) </w:t>
      </w:r>
      <w:r w:rsidR="00AB2F9F" w:rsidRPr="006812FA">
        <w:rPr>
          <w:iCs/>
          <w:sz w:val="24"/>
          <w:szCs w:val="24"/>
        </w:rPr>
        <w:t xml:space="preserve">… </w:t>
      </w:r>
    </w:p>
    <w:p w14:paraId="2E643737" w14:textId="1FEEB972" w:rsidR="000D7C30" w:rsidRPr="00957468" w:rsidRDefault="006812FA" w:rsidP="00957468">
      <w:pPr>
        <w:spacing w:after="0" w:line="480" w:lineRule="auto"/>
        <w:ind w:left="360"/>
        <w:jc w:val="both"/>
        <w:rPr>
          <w:color w:val="000000" w:themeColor="text1"/>
          <w:sz w:val="24"/>
          <w:szCs w:val="24"/>
        </w:rPr>
      </w:pPr>
      <w:r w:rsidRPr="00957468">
        <w:rPr>
          <w:b/>
          <w:bCs/>
          <w:color w:val="000000"/>
          <w:sz w:val="24"/>
          <w:szCs w:val="24"/>
          <w:shd w:val="clear" w:color="auto" w:fill="FFFFFF"/>
        </w:rPr>
        <w:t>[(6)]</w:t>
      </w:r>
      <w:r w:rsidRPr="00957468">
        <w:rPr>
          <w:color w:val="000000"/>
          <w:sz w:val="24"/>
          <w:szCs w:val="24"/>
          <w:shd w:val="clear" w:color="auto" w:fill="FFFFFF"/>
        </w:rPr>
        <w:t xml:space="preserve"> </w:t>
      </w:r>
      <w:r>
        <w:rPr>
          <w:i/>
          <w:iCs/>
          <w:color w:val="000000"/>
          <w:sz w:val="24"/>
          <w:szCs w:val="24"/>
          <w:shd w:val="clear" w:color="auto" w:fill="FFFFFF"/>
        </w:rPr>
        <w:t xml:space="preserve">(5) </w:t>
      </w:r>
      <w:r w:rsidR="556E1CDF" w:rsidRPr="00957468">
        <w:rPr>
          <w:color w:val="000000"/>
          <w:sz w:val="24"/>
          <w:szCs w:val="24"/>
          <w:shd w:val="clear" w:color="auto" w:fill="FFFFFF"/>
        </w:rPr>
        <w:t xml:space="preserve">El recurso civil especificado en este Artículo no sustituye cualquier otro recurso o causa de acción prevista en virtud de cualquier otro estatuto o de conformidad con las leyes de Puerto Rico o las leyes federales aplicables. </w:t>
      </w:r>
      <w:r w:rsidR="556E1CDF" w:rsidRPr="00106333">
        <w:rPr>
          <w:color w:val="000000"/>
          <w:sz w:val="24"/>
          <w:szCs w:val="24"/>
          <w:shd w:val="clear" w:color="auto" w:fill="FFFFFF"/>
        </w:rPr>
        <w:t xml:space="preserve">Cualquier persona podrá reclamar bajo las disposiciones generales referente a materia de contratos </w:t>
      </w:r>
      <w:r w:rsidR="00106333">
        <w:rPr>
          <w:color w:val="000000"/>
          <w:sz w:val="24"/>
          <w:szCs w:val="24"/>
          <w:shd w:val="clear" w:color="auto" w:fill="FFFFFF"/>
        </w:rPr>
        <w:t>y</w:t>
      </w:r>
      <w:r w:rsidR="556E1CDF" w:rsidRPr="00106333">
        <w:rPr>
          <w:color w:val="000000"/>
          <w:sz w:val="24"/>
          <w:szCs w:val="24"/>
          <w:shd w:val="clear" w:color="auto" w:fill="FFFFFF"/>
        </w:rPr>
        <w:t xml:space="preserve"> derecho extracontractual </w:t>
      </w:r>
      <w:r w:rsidR="00106333">
        <w:rPr>
          <w:color w:val="000000"/>
          <w:sz w:val="24"/>
          <w:szCs w:val="24"/>
          <w:shd w:val="clear" w:color="auto" w:fill="FFFFFF"/>
        </w:rPr>
        <w:t>y</w:t>
      </w:r>
      <w:r w:rsidR="556E1CDF" w:rsidRPr="00106333">
        <w:rPr>
          <w:color w:val="000000"/>
          <w:sz w:val="24"/>
          <w:szCs w:val="24"/>
          <w:shd w:val="clear" w:color="auto" w:fill="FFFFFF"/>
        </w:rPr>
        <w:t xml:space="preserve"> daños y perjuicios, según contemplados en el Código Civil de Puerto Rico.</w:t>
      </w:r>
      <w:r w:rsidR="556E1CDF" w:rsidRPr="00957468">
        <w:rPr>
          <w:b/>
          <w:bCs/>
          <w:color w:val="000000"/>
          <w:sz w:val="24"/>
          <w:szCs w:val="24"/>
          <w:shd w:val="clear" w:color="auto" w:fill="FFFFFF"/>
        </w:rPr>
        <w:t xml:space="preserve">  </w:t>
      </w:r>
      <w:r w:rsidR="00106333">
        <w:rPr>
          <w:b/>
          <w:bCs/>
          <w:color w:val="000000"/>
          <w:sz w:val="24"/>
          <w:szCs w:val="24"/>
          <w:shd w:val="clear" w:color="auto" w:fill="FFFFFF"/>
        </w:rPr>
        <w:t>[</w:t>
      </w:r>
      <w:r w:rsidR="556E1CDF" w:rsidRPr="00957468">
        <w:rPr>
          <w:b/>
          <w:bCs/>
          <w:color w:val="000000"/>
          <w:sz w:val="24"/>
          <w:szCs w:val="24"/>
          <w:shd w:val="clear" w:color="auto" w:fill="FFFFFF"/>
        </w:rPr>
        <w:t>Sin embargo, los tribunales o foros adjudicativos están impedidos de procesar y adjudicar ambos recursos o causas de acción.</w:t>
      </w:r>
      <w:r w:rsidR="4E60BFF5" w:rsidRPr="00957468">
        <w:rPr>
          <w:b/>
          <w:bCs/>
          <w:color w:val="000000"/>
          <w:sz w:val="24"/>
          <w:szCs w:val="24"/>
          <w:shd w:val="clear" w:color="auto" w:fill="FFFFFF"/>
        </w:rPr>
        <w:t>]</w:t>
      </w:r>
      <w:r w:rsidR="556E1CDF" w:rsidRPr="00957468">
        <w:rPr>
          <w:color w:val="000000"/>
          <w:sz w:val="24"/>
          <w:szCs w:val="24"/>
          <w:shd w:val="clear" w:color="auto" w:fill="FFFFFF"/>
        </w:rPr>
        <w:t xml:space="preserve"> Los </w:t>
      </w:r>
      <w:r w:rsidR="556E1CDF" w:rsidRPr="00957468">
        <w:rPr>
          <w:color w:val="000000"/>
          <w:sz w:val="24"/>
          <w:szCs w:val="24"/>
          <w:shd w:val="clear" w:color="auto" w:fill="FFFFFF"/>
        </w:rPr>
        <w:lastRenderedPageBreak/>
        <w:t>daños recuperables de conformidad con este Artículo incluirá</w:t>
      </w:r>
      <w:r w:rsidR="556E1CDF" w:rsidRPr="00957468">
        <w:rPr>
          <w:i/>
          <w:iCs/>
          <w:color w:val="000000"/>
          <w:sz w:val="24"/>
          <w:szCs w:val="24"/>
          <w:shd w:val="clear" w:color="auto" w:fill="FFFFFF"/>
        </w:rPr>
        <w:t>n</w:t>
      </w:r>
      <w:r w:rsidR="556E1CDF" w:rsidRPr="00957468">
        <w:rPr>
          <w:color w:val="000000"/>
          <w:sz w:val="24"/>
          <w:szCs w:val="24"/>
          <w:shd w:val="clear" w:color="auto" w:fill="FFFFFF"/>
        </w:rPr>
        <w:t xml:space="preserve"> aquellos daños que son un resultado razonablemente previsible de una violación específica de este Artículo por la aseguradora autorizada y puede incluir una adjudicación o juicio por un monto que exceda los límites de la póliza.</w:t>
      </w:r>
      <w:r w:rsidR="0296A9D3" w:rsidRPr="00957468">
        <w:rPr>
          <w:color w:val="000000"/>
          <w:sz w:val="24"/>
          <w:szCs w:val="24"/>
          <w:shd w:val="clear" w:color="auto" w:fill="FFFFFF"/>
        </w:rPr>
        <w:t>”</w:t>
      </w:r>
    </w:p>
    <w:p w14:paraId="55A6FEE3" w14:textId="77777777" w:rsidR="00F75AE4" w:rsidRPr="001E5E95" w:rsidRDefault="00814E6D" w:rsidP="00A007EE">
      <w:pPr>
        <w:spacing w:after="0" w:line="480" w:lineRule="auto"/>
        <w:ind w:firstLine="720"/>
        <w:jc w:val="both"/>
        <w:rPr>
          <w:iCs/>
          <w:sz w:val="24"/>
          <w:szCs w:val="24"/>
        </w:rPr>
      </w:pPr>
      <w:r w:rsidRPr="001E5E95">
        <w:rPr>
          <w:iCs/>
          <w:sz w:val="24"/>
          <w:szCs w:val="24"/>
        </w:rPr>
        <w:t xml:space="preserve">Sección </w:t>
      </w:r>
      <w:r w:rsidR="008A5E5B" w:rsidRPr="001E5E95">
        <w:rPr>
          <w:iCs/>
          <w:sz w:val="24"/>
          <w:szCs w:val="24"/>
        </w:rPr>
        <w:t>2</w:t>
      </w:r>
      <w:r w:rsidR="001B0A72" w:rsidRPr="001E5E95">
        <w:rPr>
          <w:iCs/>
          <w:sz w:val="24"/>
          <w:szCs w:val="24"/>
        </w:rPr>
        <w:t>.-</w:t>
      </w:r>
      <w:r w:rsidR="00A175C2">
        <w:rPr>
          <w:sz w:val="24"/>
          <w:szCs w:val="24"/>
        </w:rPr>
        <w:t>Se enmienda el Artículo 27.16</w:t>
      </w:r>
      <w:r w:rsidR="000D7C30">
        <w:rPr>
          <w:sz w:val="24"/>
          <w:szCs w:val="24"/>
        </w:rPr>
        <w:t>5</w:t>
      </w:r>
      <w:r w:rsidR="00A175C2">
        <w:rPr>
          <w:sz w:val="24"/>
          <w:szCs w:val="24"/>
        </w:rPr>
        <w:t xml:space="preserve"> </w:t>
      </w:r>
      <w:r w:rsidR="00A175C2" w:rsidRPr="00284EA3">
        <w:rPr>
          <w:sz w:val="24"/>
          <w:szCs w:val="24"/>
        </w:rPr>
        <w:t>la Ley Núm. 77 de 19 de junio de 1957, conocida como “Código de Seguros de Puerto Rico”</w:t>
      </w:r>
      <w:r w:rsidR="00A175C2">
        <w:rPr>
          <w:sz w:val="24"/>
          <w:szCs w:val="24"/>
        </w:rPr>
        <w:t>, según enmendada, para que lea como sigue:</w:t>
      </w:r>
      <w:r w:rsidR="00A175C2" w:rsidRPr="001E5E95">
        <w:rPr>
          <w:iCs/>
          <w:sz w:val="24"/>
          <w:szCs w:val="24"/>
        </w:rPr>
        <w:t xml:space="preserve"> </w:t>
      </w:r>
    </w:p>
    <w:p w14:paraId="028D365E" w14:textId="77777777" w:rsidR="00037451" w:rsidRPr="001E5E95" w:rsidRDefault="00F75AE4" w:rsidP="00C24291">
      <w:pPr>
        <w:spacing w:after="0" w:line="480" w:lineRule="auto"/>
        <w:ind w:firstLine="720"/>
        <w:jc w:val="both"/>
        <w:rPr>
          <w:iCs/>
          <w:sz w:val="24"/>
          <w:szCs w:val="24"/>
        </w:rPr>
      </w:pPr>
      <w:r w:rsidRPr="001E5E95">
        <w:rPr>
          <w:iCs/>
          <w:sz w:val="24"/>
          <w:szCs w:val="24"/>
        </w:rPr>
        <w:t>“</w:t>
      </w:r>
      <w:r w:rsidR="00E5357E" w:rsidRPr="001E5E95">
        <w:rPr>
          <w:iCs/>
          <w:sz w:val="24"/>
          <w:szCs w:val="24"/>
        </w:rPr>
        <w:t>Artículo 27.16</w:t>
      </w:r>
      <w:r w:rsidR="000D7C30">
        <w:rPr>
          <w:iCs/>
          <w:sz w:val="24"/>
          <w:szCs w:val="24"/>
        </w:rPr>
        <w:t>5</w:t>
      </w:r>
      <w:r w:rsidR="00E5357E" w:rsidRPr="001E5E95">
        <w:rPr>
          <w:iCs/>
          <w:sz w:val="24"/>
          <w:szCs w:val="24"/>
        </w:rPr>
        <w:t>-Costas y Honorarios de Abogado</w:t>
      </w:r>
    </w:p>
    <w:p w14:paraId="7E6B56D6" w14:textId="260AA2FE" w:rsidR="000D7C30" w:rsidRDefault="556E1CDF" w:rsidP="1C0DABF2">
      <w:pPr>
        <w:numPr>
          <w:ilvl w:val="0"/>
          <w:numId w:val="5"/>
        </w:numPr>
        <w:spacing w:after="0" w:line="480" w:lineRule="auto"/>
        <w:jc w:val="both"/>
        <w:rPr>
          <w:sz w:val="24"/>
          <w:szCs w:val="24"/>
        </w:rPr>
      </w:pPr>
      <w:r w:rsidRPr="1C0DABF2">
        <w:rPr>
          <w:sz w:val="24"/>
          <w:szCs w:val="24"/>
        </w:rPr>
        <w:t>Al recaer una sentencia o decreto por cualquiera de los tribunales</w:t>
      </w:r>
      <w:r w:rsidRPr="1C0DABF2">
        <w:rPr>
          <w:i/>
          <w:iCs/>
          <w:sz w:val="24"/>
          <w:szCs w:val="24"/>
        </w:rPr>
        <w:t xml:space="preserve">, foro administrativo o proceso de mediación u otro </w:t>
      </w:r>
      <w:r w:rsidRPr="1C0DABF2">
        <w:rPr>
          <w:sz w:val="24"/>
          <w:szCs w:val="24"/>
        </w:rPr>
        <w:t xml:space="preserve">contra un asegurador y en favor de cualquier asegurado nombrado o el beneficiario designado bajo una póliza o contrato ejecutado por el asegurador, el Tribunal de Primera Instancia o, en el caso de una apelación en la que prevalezca el asegurado o beneficiario, el tribunal de apelación, deberá adjudicar o decretar contra el asegurador y a favor del asegurado o el abogado del beneficiario una suma razonable como honorarios o compensación por haber procesado la demanda en la que se obtuvo una recuperación </w:t>
      </w:r>
      <w:r w:rsidRPr="1C0DABF2">
        <w:rPr>
          <w:i/>
          <w:iCs/>
          <w:sz w:val="24"/>
          <w:szCs w:val="24"/>
        </w:rPr>
        <w:t xml:space="preserve">que </w:t>
      </w:r>
      <w:r w:rsidR="281C2A92" w:rsidRPr="1C0DABF2">
        <w:rPr>
          <w:i/>
          <w:iCs/>
          <w:sz w:val="24"/>
          <w:szCs w:val="24"/>
        </w:rPr>
        <w:t>será el</w:t>
      </w:r>
      <w:r w:rsidRPr="1C0DABF2">
        <w:rPr>
          <w:i/>
          <w:iCs/>
          <w:sz w:val="24"/>
          <w:szCs w:val="24"/>
        </w:rPr>
        <w:t xml:space="preserve"> treinta y tres por ciento (33%) del</w:t>
      </w:r>
      <w:r w:rsidRPr="1C0DABF2">
        <w:rPr>
          <w:sz w:val="24"/>
          <w:szCs w:val="24"/>
        </w:rPr>
        <w:t xml:space="preserve"> </w:t>
      </w:r>
      <w:r w:rsidRPr="1C0DABF2">
        <w:rPr>
          <w:i/>
          <w:iCs/>
          <w:sz w:val="24"/>
          <w:szCs w:val="24"/>
        </w:rPr>
        <w:t>monto recuperado</w:t>
      </w:r>
      <w:r w:rsidRPr="1C0DABF2">
        <w:rPr>
          <w:sz w:val="24"/>
          <w:szCs w:val="24"/>
        </w:rPr>
        <w:t>.</w:t>
      </w:r>
    </w:p>
    <w:p w14:paraId="76EF53C4" w14:textId="77777777" w:rsidR="00E03B10" w:rsidRPr="001E5E95" w:rsidRDefault="00A007EE" w:rsidP="000B69D0">
      <w:pPr>
        <w:numPr>
          <w:ilvl w:val="0"/>
          <w:numId w:val="5"/>
        </w:numPr>
        <w:spacing w:after="0" w:line="480" w:lineRule="auto"/>
        <w:jc w:val="both"/>
        <w:rPr>
          <w:iCs/>
          <w:sz w:val="24"/>
          <w:szCs w:val="24"/>
        </w:rPr>
      </w:pPr>
      <w:r>
        <w:rPr>
          <w:iCs/>
          <w:sz w:val="24"/>
          <w:szCs w:val="24"/>
        </w:rPr>
        <w:t>..</w:t>
      </w:r>
      <w:r w:rsidR="00E03B10" w:rsidRPr="001E5E95">
        <w:rPr>
          <w:iCs/>
          <w:sz w:val="24"/>
          <w:szCs w:val="24"/>
        </w:rPr>
        <w:t>.</w:t>
      </w:r>
    </w:p>
    <w:p w14:paraId="566D78EB" w14:textId="35F3BC70" w:rsidR="00E03B10" w:rsidRPr="001E5E95" w:rsidRDefault="556E1CDF" w:rsidP="1C0DABF2">
      <w:pPr>
        <w:numPr>
          <w:ilvl w:val="0"/>
          <w:numId w:val="5"/>
        </w:numPr>
        <w:spacing w:after="0" w:line="480" w:lineRule="auto"/>
        <w:jc w:val="both"/>
        <w:rPr>
          <w:sz w:val="24"/>
          <w:szCs w:val="24"/>
        </w:rPr>
      </w:pPr>
      <w:r w:rsidRPr="1C0DABF2">
        <w:rPr>
          <w:sz w:val="24"/>
          <w:szCs w:val="24"/>
        </w:rPr>
        <w:t>…</w:t>
      </w:r>
      <w:r w:rsidR="23D99D71" w:rsidRPr="1C0DABF2">
        <w:rPr>
          <w:sz w:val="24"/>
          <w:szCs w:val="24"/>
        </w:rPr>
        <w:t>”</w:t>
      </w:r>
    </w:p>
    <w:p w14:paraId="54264815" w14:textId="33AB46E3" w:rsidR="000D7C30" w:rsidRPr="000D7C30" w:rsidRDefault="000D7C30" w:rsidP="000D7C30">
      <w:pPr>
        <w:spacing w:after="0" w:line="480" w:lineRule="auto"/>
        <w:ind w:firstLine="720"/>
        <w:jc w:val="both"/>
        <w:rPr>
          <w:sz w:val="24"/>
          <w:szCs w:val="24"/>
        </w:rPr>
      </w:pPr>
      <w:r w:rsidRPr="000D7C30">
        <w:rPr>
          <w:sz w:val="24"/>
          <w:szCs w:val="24"/>
        </w:rPr>
        <w:t xml:space="preserve">Sección </w:t>
      </w:r>
      <w:r w:rsidR="001941F7">
        <w:rPr>
          <w:sz w:val="24"/>
          <w:szCs w:val="24"/>
        </w:rPr>
        <w:t>3</w:t>
      </w:r>
      <w:r w:rsidRPr="000D7C30">
        <w:rPr>
          <w:sz w:val="24"/>
          <w:szCs w:val="24"/>
        </w:rPr>
        <w:t>.-Separabilidad</w:t>
      </w:r>
    </w:p>
    <w:p w14:paraId="5BA82106" w14:textId="77777777" w:rsidR="000D7C30" w:rsidRDefault="000D7C30" w:rsidP="000D7C30">
      <w:pPr>
        <w:spacing w:after="0" w:line="480" w:lineRule="auto"/>
        <w:ind w:firstLine="708"/>
        <w:jc w:val="both"/>
        <w:rPr>
          <w:sz w:val="24"/>
          <w:szCs w:val="24"/>
        </w:rPr>
      </w:pPr>
      <w:r w:rsidRPr="000D7C30">
        <w:rPr>
          <w:sz w:val="24"/>
          <w:szCs w:val="24"/>
        </w:rPr>
        <w:lastRenderedPageBreak/>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perjudique o declare inconstitucional su aplicación a alguna persona o circunstancia. La Asamblea Legislativa hubiera aprobado esta Ley sin importar la determinación de separabilidad que el Tribunal pueda hacer.</w:t>
      </w:r>
    </w:p>
    <w:p w14:paraId="2EF445E9" w14:textId="6D9828A8" w:rsidR="001941F7" w:rsidRPr="00284EA3" w:rsidRDefault="001941F7" w:rsidP="001941F7">
      <w:pPr>
        <w:spacing w:after="0" w:line="480" w:lineRule="auto"/>
        <w:ind w:firstLine="720"/>
        <w:jc w:val="both"/>
        <w:rPr>
          <w:sz w:val="24"/>
          <w:szCs w:val="24"/>
        </w:rPr>
      </w:pPr>
      <w:r w:rsidRPr="000911E9">
        <w:rPr>
          <w:sz w:val="24"/>
          <w:szCs w:val="24"/>
        </w:rPr>
        <w:t xml:space="preserve">Sección </w:t>
      </w:r>
      <w:r>
        <w:rPr>
          <w:sz w:val="24"/>
          <w:szCs w:val="24"/>
        </w:rPr>
        <w:t>4</w:t>
      </w:r>
      <w:r w:rsidRPr="000911E9">
        <w:rPr>
          <w:sz w:val="24"/>
          <w:szCs w:val="24"/>
        </w:rPr>
        <w:t>.-Esta Ley comenzará a regir inmediatamente después de su aprobación</w:t>
      </w:r>
      <w:r>
        <w:rPr>
          <w:sz w:val="24"/>
          <w:szCs w:val="24"/>
        </w:rPr>
        <w:t xml:space="preserve"> y tendrá aplicación retroactiva</w:t>
      </w:r>
      <w:r w:rsidRPr="000911E9">
        <w:rPr>
          <w:sz w:val="24"/>
          <w:szCs w:val="24"/>
        </w:rPr>
        <w:t>.</w:t>
      </w:r>
      <w:r w:rsidRPr="00284EA3">
        <w:rPr>
          <w:sz w:val="24"/>
          <w:szCs w:val="24"/>
        </w:rPr>
        <w:t xml:space="preserve"> </w:t>
      </w:r>
    </w:p>
    <w:sectPr w:rsidR="001941F7" w:rsidRPr="00284EA3" w:rsidSect="000B69D0">
      <w:headerReference w:type="default" r:id="rId8"/>
      <w:type w:val="continuous"/>
      <w:pgSz w:w="12240" w:h="15840"/>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8CF57" w14:textId="77777777" w:rsidR="004108CF" w:rsidRDefault="004108CF">
      <w:pPr>
        <w:spacing w:after="0" w:line="240" w:lineRule="auto"/>
      </w:pPr>
      <w:r>
        <w:separator/>
      </w:r>
    </w:p>
  </w:endnote>
  <w:endnote w:type="continuationSeparator" w:id="0">
    <w:p w14:paraId="42ECD6A8" w14:textId="77777777" w:rsidR="004108CF" w:rsidRDefault="004108CF">
      <w:pPr>
        <w:spacing w:after="0" w:line="240" w:lineRule="auto"/>
      </w:pPr>
      <w:r>
        <w:continuationSeparator/>
      </w:r>
    </w:p>
  </w:endnote>
  <w:endnote w:type="continuationNotice" w:id="1">
    <w:p w14:paraId="2F44349F" w14:textId="77777777" w:rsidR="004108CF" w:rsidRDefault="004108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D53AC" w14:textId="77777777" w:rsidR="004108CF" w:rsidRDefault="004108CF">
      <w:pPr>
        <w:spacing w:after="0" w:line="240" w:lineRule="auto"/>
      </w:pPr>
      <w:r>
        <w:separator/>
      </w:r>
    </w:p>
  </w:footnote>
  <w:footnote w:type="continuationSeparator" w:id="0">
    <w:p w14:paraId="728618B8" w14:textId="77777777" w:rsidR="004108CF" w:rsidRDefault="004108CF">
      <w:pPr>
        <w:spacing w:after="0" w:line="240" w:lineRule="auto"/>
      </w:pPr>
      <w:r>
        <w:continuationSeparator/>
      </w:r>
    </w:p>
  </w:footnote>
  <w:footnote w:type="continuationNotice" w:id="1">
    <w:p w14:paraId="50E125A4" w14:textId="77777777" w:rsidR="004108CF" w:rsidRDefault="004108CF">
      <w:pPr>
        <w:spacing w:after="0" w:line="240" w:lineRule="auto"/>
      </w:pPr>
    </w:p>
  </w:footnote>
  <w:footnote w:id="2">
    <w:p w14:paraId="2583122F" w14:textId="77777777" w:rsidR="00AD576C" w:rsidRPr="00AD576C" w:rsidRDefault="00AD576C" w:rsidP="00C73952">
      <w:pPr>
        <w:pStyle w:val="FootnoteText"/>
        <w:jc w:val="both"/>
        <w:rPr>
          <w:lang w:val="en-US"/>
        </w:rPr>
      </w:pPr>
      <w:r>
        <w:rPr>
          <w:rStyle w:val="FootnoteReference"/>
        </w:rPr>
        <w:footnoteRef/>
      </w:r>
      <w:r>
        <w:t xml:space="preserve"> </w:t>
      </w:r>
      <w:r>
        <w:rPr>
          <w:lang w:val="en-US"/>
        </w:rPr>
        <w:t xml:space="preserve">Ver </w:t>
      </w:r>
      <w:proofErr w:type="spellStart"/>
      <w:r>
        <w:rPr>
          <w:lang w:val="en-US"/>
        </w:rPr>
        <w:t>artículo</w:t>
      </w:r>
      <w:proofErr w:type="spellEnd"/>
      <w:r>
        <w:rPr>
          <w:lang w:val="en-US"/>
        </w:rPr>
        <w:t xml:space="preserve"> </w:t>
      </w:r>
      <w:proofErr w:type="spellStart"/>
      <w:r>
        <w:rPr>
          <w:lang w:val="en-US"/>
        </w:rPr>
        <w:t>publicado</w:t>
      </w:r>
      <w:proofErr w:type="spellEnd"/>
      <w:r>
        <w:rPr>
          <w:lang w:val="en-US"/>
        </w:rPr>
        <w:t xml:space="preserve"> </w:t>
      </w:r>
      <w:proofErr w:type="spellStart"/>
      <w:r>
        <w:rPr>
          <w:lang w:val="en-US"/>
        </w:rPr>
        <w:t>en</w:t>
      </w:r>
      <w:proofErr w:type="spellEnd"/>
      <w:r>
        <w:rPr>
          <w:lang w:val="en-US"/>
        </w:rPr>
        <w:t xml:space="preserve"> </w:t>
      </w:r>
      <w:r w:rsidR="003B753A">
        <w:rPr>
          <w:lang w:val="en-US"/>
        </w:rPr>
        <w:t>The</w:t>
      </w:r>
      <w:r>
        <w:rPr>
          <w:lang w:val="en-US"/>
        </w:rPr>
        <w:t xml:space="preserve"> New York Times </w:t>
      </w:r>
      <w:proofErr w:type="spellStart"/>
      <w:r>
        <w:rPr>
          <w:lang w:val="en-US"/>
        </w:rPr>
        <w:t>titulado</w:t>
      </w:r>
      <w:proofErr w:type="spellEnd"/>
      <w:r>
        <w:rPr>
          <w:lang w:val="en-US"/>
        </w:rPr>
        <w:t xml:space="preserve"> </w:t>
      </w:r>
      <w:r w:rsidRPr="003B753A">
        <w:rPr>
          <w:i/>
          <w:iCs/>
          <w:lang w:val="en-US"/>
        </w:rPr>
        <w:t>After Disaster, Puerto Ricans Are Left With $1.6 Billion in Unpaid Insurance Claims</w:t>
      </w:r>
      <w:r>
        <w:rPr>
          <w:lang w:val="en-US"/>
        </w:rPr>
        <w:t xml:space="preserve"> </w:t>
      </w:r>
      <w:proofErr w:type="spellStart"/>
      <w:r>
        <w:rPr>
          <w:lang w:val="en-US"/>
        </w:rPr>
        <w:t>publicado</w:t>
      </w:r>
      <w:proofErr w:type="spellEnd"/>
      <w:r>
        <w:rPr>
          <w:lang w:val="en-US"/>
        </w:rPr>
        <w:t xml:space="preserve"> </w:t>
      </w:r>
      <w:proofErr w:type="spellStart"/>
      <w:r>
        <w:rPr>
          <w:lang w:val="en-US"/>
        </w:rPr>
        <w:t>el</w:t>
      </w:r>
      <w:proofErr w:type="spellEnd"/>
      <w:r>
        <w:rPr>
          <w:lang w:val="en-US"/>
        </w:rPr>
        <w:t xml:space="preserve"> </w:t>
      </w:r>
      <w:r w:rsidR="003B753A">
        <w:rPr>
          <w:lang w:val="en-US"/>
        </w:rPr>
        <w:t xml:space="preserve">6 de </w:t>
      </w:r>
      <w:proofErr w:type="spellStart"/>
      <w:r w:rsidR="003B753A">
        <w:rPr>
          <w:lang w:val="en-US"/>
        </w:rPr>
        <w:t>febrero</w:t>
      </w:r>
      <w:proofErr w:type="spellEnd"/>
      <w:r w:rsidR="003B753A">
        <w:rPr>
          <w:lang w:val="en-US"/>
        </w:rPr>
        <w:t xml:space="preserve"> de 2020 y disponible </w:t>
      </w:r>
      <w:proofErr w:type="spellStart"/>
      <w:r w:rsidR="003B753A">
        <w:rPr>
          <w:lang w:val="en-US"/>
        </w:rPr>
        <w:t>en</w:t>
      </w:r>
      <w:proofErr w:type="spellEnd"/>
      <w:r w:rsidR="003B753A">
        <w:rPr>
          <w:lang w:val="en-US"/>
        </w:rPr>
        <w:t xml:space="preserve"> </w:t>
      </w:r>
      <w:r w:rsidRPr="00AD576C">
        <w:rPr>
          <w:lang w:val="en-US"/>
        </w:rPr>
        <w:t>https://www.nytimes.com/2020/02/06/us/puerto-rico-insurance-tsunami.html</w:t>
      </w:r>
    </w:p>
  </w:footnote>
  <w:footnote w:id="3">
    <w:p w14:paraId="305D6B3E" w14:textId="77777777" w:rsidR="000B1049" w:rsidRPr="0038519D" w:rsidRDefault="000B1049" w:rsidP="000B1049">
      <w:pPr>
        <w:pStyle w:val="NoSpacing"/>
        <w:jc w:val="both"/>
        <w:rPr>
          <w:sz w:val="20"/>
          <w:szCs w:val="20"/>
        </w:rPr>
      </w:pPr>
      <w:r w:rsidRPr="0038519D">
        <w:rPr>
          <w:rStyle w:val="FootnoteReference"/>
          <w:sz w:val="20"/>
          <w:szCs w:val="20"/>
        </w:rPr>
        <w:footnoteRef/>
      </w:r>
      <w:r w:rsidRPr="0038519D">
        <w:rPr>
          <w:sz w:val="20"/>
          <w:szCs w:val="20"/>
        </w:rPr>
        <w:t xml:space="preserve"> Ver artículo publicado en El Nuevo Día titulado </w:t>
      </w:r>
      <w:r w:rsidRPr="0038519D">
        <w:rPr>
          <w:i/>
          <w:sz w:val="20"/>
          <w:szCs w:val="20"/>
        </w:rPr>
        <w:t>Continúan las multas a las compañías de seguros</w:t>
      </w:r>
      <w:r w:rsidRPr="0038519D">
        <w:rPr>
          <w:sz w:val="20"/>
          <w:szCs w:val="20"/>
        </w:rPr>
        <w:t xml:space="preserve"> publicada el 31 de marzo de 2018 y disponible en </w:t>
      </w:r>
      <w:hyperlink r:id="rId1" w:history="1">
        <w:r w:rsidR="002904E4" w:rsidRPr="0038519D">
          <w:rPr>
            <w:rStyle w:val="Hyperlink"/>
            <w:sz w:val="20"/>
            <w:szCs w:val="20"/>
          </w:rPr>
          <w:t>https://www.elnuevodia.com/negocios/empresas/nota/continuanlasmultasalascompaniasdeseguros-2410791/</w:t>
        </w:r>
      </w:hyperlink>
    </w:p>
    <w:p w14:paraId="0AE7FF05" w14:textId="77777777" w:rsidR="002904E4" w:rsidRPr="0038519D" w:rsidRDefault="002904E4" w:rsidP="000B1049">
      <w:pPr>
        <w:pStyle w:val="NoSpacing"/>
        <w:jc w:val="both"/>
        <w:rPr>
          <w:sz w:val="20"/>
          <w:szCs w:val="20"/>
        </w:rPr>
      </w:pPr>
    </w:p>
  </w:footnote>
  <w:footnote w:id="4">
    <w:p w14:paraId="012F1FF6" w14:textId="77777777" w:rsidR="002904E4" w:rsidRPr="00957468" w:rsidRDefault="002904E4">
      <w:pPr>
        <w:pStyle w:val="FootnoteText"/>
        <w:rPr>
          <w:lang w:val="es-ES"/>
        </w:rPr>
      </w:pPr>
      <w:r w:rsidRPr="0038519D">
        <w:rPr>
          <w:rStyle w:val="FootnoteReference"/>
        </w:rPr>
        <w:footnoteRef/>
      </w:r>
      <w:r w:rsidRPr="0038519D">
        <w:t xml:space="preserve"> </w:t>
      </w:r>
      <w:r w:rsidRPr="00957468">
        <w:rPr>
          <w:lang w:val="es-ES"/>
        </w:rPr>
        <w:t xml:space="preserve">Exposición de Motivos de la </w:t>
      </w:r>
      <w:r w:rsidRPr="0038519D">
        <w:rPr>
          <w:color w:val="000000"/>
        </w:rPr>
        <w:t xml:space="preserve">Ley </w:t>
      </w:r>
      <w:r w:rsidRPr="0038519D">
        <w:t>Núm. 247 de 27 de noviembre de 2018.</w:t>
      </w:r>
    </w:p>
  </w:footnote>
  <w:footnote w:id="5">
    <w:p w14:paraId="07E9DC3D" w14:textId="77777777" w:rsidR="00A00D4A" w:rsidRPr="00957468" w:rsidRDefault="00A00D4A">
      <w:pPr>
        <w:pStyle w:val="FootnoteText"/>
        <w:rPr>
          <w:lang w:val="es-ES"/>
        </w:rPr>
      </w:pPr>
      <w:r>
        <w:rPr>
          <w:rStyle w:val="FootnoteReference"/>
        </w:rPr>
        <w:footnoteRef/>
      </w:r>
      <w:r>
        <w:t xml:space="preserve"> </w:t>
      </w:r>
      <w:r w:rsidRPr="00957468">
        <w:rPr>
          <w:lang w:val="es-ES"/>
        </w:rPr>
        <w:t xml:space="preserve">Exposición de Motivos de la </w:t>
      </w:r>
      <w:r w:rsidRPr="0038519D">
        <w:rPr>
          <w:color w:val="000000"/>
        </w:rPr>
        <w:t xml:space="preserve">Ley </w:t>
      </w:r>
      <w:r w:rsidRPr="0038519D">
        <w:t>Núm. 247 de 27 de noviembre de 2018</w:t>
      </w:r>
    </w:p>
  </w:footnote>
  <w:footnote w:id="6">
    <w:p w14:paraId="31B2C8A9" w14:textId="77777777" w:rsidR="00387A4F" w:rsidRPr="0038519D" w:rsidRDefault="00387A4F" w:rsidP="00480FD4">
      <w:pPr>
        <w:pStyle w:val="NoSpacing"/>
        <w:jc w:val="both"/>
        <w:rPr>
          <w:rFonts w:cs="Book Antiqua"/>
          <w:sz w:val="20"/>
          <w:szCs w:val="20"/>
        </w:rPr>
      </w:pPr>
      <w:r w:rsidRPr="0038519D">
        <w:rPr>
          <w:rStyle w:val="FootnoteReference"/>
          <w:sz w:val="20"/>
          <w:szCs w:val="20"/>
        </w:rPr>
        <w:footnoteRef/>
      </w:r>
      <w:r w:rsidRPr="0038519D">
        <w:rPr>
          <w:sz w:val="20"/>
          <w:szCs w:val="20"/>
        </w:rPr>
        <w:t xml:space="preserve"> </w:t>
      </w:r>
      <w:r w:rsidRPr="00957468">
        <w:rPr>
          <w:sz w:val="20"/>
          <w:szCs w:val="20"/>
          <w:lang w:val="es-ES"/>
        </w:rPr>
        <w:t xml:space="preserve">Ver datos provistos </w:t>
      </w:r>
      <w:r w:rsidR="00480FD4" w:rsidRPr="00957468">
        <w:rPr>
          <w:sz w:val="20"/>
          <w:szCs w:val="20"/>
          <w:lang w:val="es-ES"/>
        </w:rPr>
        <w:t xml:space="preserve">por la </w:t>
      </w:r>
      <w:r w:rsidRPr="00957468">
        <w:rPr>
          <w:sz w:val="20"/>
          <w:szCs w:val="20"/>
          <w:lang w:val="es-ES"/>
        </w:rPr>
        <w:t xml:space="preserve">Administración de Tribunales de Puerto Rico, Oficina de Administración de los Tribunales, Directoría de Operaciones, Oficina Estadística de 10 de abril de 2023 incluida en el Primer Informe de Comisión </w:t>
      </w:r>
      <w:r w:rsidRPr="0038519D">
        <w:rPr>
          <w:rFonts w:cs="Book Antiqua"/>
          <w:sz w:val="20"/>
          <w:szCs w:val="20"/>
        </w:rPr>
        <w:t>sobre los Derechos del Consumidor, Servicios Bancarios e Industria de Seguros de la Cámara de Representantes del Estado Libre Asociado de Puerto Rico, previo estudio y consideración del P. de la C. 1533 de 5 de junio de 2023.</w:t>
      </w:r>
    </w:p>
    <w:p w14:paraId="32C8B8B9" w14:textId="77777777" w:rsidR="00B90450" w:rsidRPr="00957468" w:rsidRDefault="00B90450" w:rsidP="00480FD4">
      <w:pPr>
        <w:pStyle w:val="NoSpacing"/>
        <w:jc w:val="both"/>
        <w:rPr>
          <w:sz w:val="20"/>
          <w:szCs w:val="20"/>
          <w:lang w:val="es-ES"/>
        </w:rPr>
      </w:pPr>
    </w:p>
  </w:footnote>
  <w:footnote w:id="7">
    <w:p w14:paraId="596371AD" w14:textId="77777777" w:rsidR="00B90450" w:rsidRPr="00957468" w:rsidRDefault="00B90450" w:rsidP="00B90450">
      <w:pPr>
        <w:pStyle w:val="FootnoteText"/>
        <w:jc w:val="both"/>
        <w:rPr>
          <w:lang w:val="es-ES"/>
        </w:rPr>
      </w:pPr>
      <w:r w:rsidRPr="0038519D">
        <w:rPr>
          <w:rStyle w:val="FootnoteReference"/>
        </w:rPr>
        <w:footnoteRef/>
      </w:r>
      <w:r w:rsidRPr="0038519D">
        <w:t xml:space="preserve"> </w:t>
      </w:r>
      <w:r w:rsidRPr="00957468">
        <w:rPr>
          <w:lang w:val="es-ES"/>
        </w:rPr>
        <w:t xml:space="preserve">Ver artículo publicado en The New York Times titulado </w:t>
      </w:r>
      <w:r w:rsidRPr="00957468">
        <w:rPr>
          <w:i/>
          <w:iCs/>
          <w:lang w:val="es-ES"/>
        </w:rPr>
        <w:t>After Disaster, Puerto Ricans Are Left With $1.6 Billion in Unpaid Insurance Claims</w:t>
      </w:r>
      <w:r w:rsidRPr="00957468">
        <w:rPr>
          <w:lang w:val="es-ES"/>
        </w:rPr>
        <w:t xml:space="preserve"> publicado el 6 de febrero de 2020 y disponible en https://www.nytimes.com/2020/02/06/us/puerto-rico-insurance-tsunami.html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6884D" w14:textId="77777777" w:rsidR="00637E1F" w:rsidRDefault="00637E1F">
    <w:pPr>
      <w:pStyle w:val="Header"/>
      <w:jc w:val="center"/>
    </w:pPr>
    <w:r>
      <w:fldChar w:fldCharType="begin"/>
    </w:r>
    <w:r>
      <w:instrText xml:space="preserve"> PAGE   \* MERGEFORMAT </w:instrText>
    </w:r>
    <w:r>
      <w:fldChar w:fldCharType="separate"/>
    </w:r>
    <w:r w:rsidR="00326507">
      <w:rPr>
        <w:noProof/>
      </w:rPr>
      <w:t>10</w:t>
    </w:r>
    <w:r>
      <w:rPr>
        <w:noProof/>
      </w:rPr>
      <w:fldChar w:fldCharType="end"/>
    </w:r>
  </w:p>
  <w:p w14:paraId="2827C43F" w14:textId="77777777" w:rsidR="00637E1F" w:rsidRDefault="00637E1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6EB1"/>
    <w:multiLevelType w:val="hybridMultilevel"/>
    <w:tmpl w:val="04941942"/>
    <w:lvl w:ilvl="0" w:tplc="92AC5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CAB78DA"/>
    <w:multiLevelType w:val="hybridMultilevel"/>
    <w:tmpl w:val="49BAE99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2" w15:restartNumberingAfterBreak="0">
    <w:nsid w:val="51D93465"/>
    <w:multiLevelType w:val="hybridMultilevel"/>
    <w:tmpl w:val="2C9E2C4A"/>
    <w:lvl w:ilvl="0" w:tplc="256CF1DC">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3" w15:restartNumberingAfterBreak="0">
    <w:nsid w:val="54272E9C"/>
    <w:multiLevelType w:val="hybridMultilevel"/>
    <w:tmpl w:val="2D9E6E22"/>
    <w:lvl w:ilvl="0" w:tplc="3C3C4D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595EF0"/>
    <w:multiLevelType w:val="hybridMultilevel"/>
    <w:tmpl w:val="F2E28486"/>
    <w:lvl w:ilvl="0" w:tplc="256CF1DC">
      <w:start w:val="1"/>
      <w:numFmt w:val="lowerLetter"/>
      <w:lvlText w:val="(%1)"/>
      <w:lvlJc w:val="left"/>
      <w:pPr>
        <w:ind w:left="1069" w:hanging="360"/>
      </w:pPr>
      <w:rPr>
        <w:rFonts w:hint="default"/>
      </w:rPr>
    </w:lvl>
    <w:lvl w:ilvl="1" w:tplc="500A0019" w:tentative="1">
      <w:start w:val="1"/>
      <w:numFmt w:val="lowerLetter"/>
      <w:lvlText w:val="%2."/>
      <w:lvlJc w:val="left"/>
      <w:pPr>
        <w:ind w:left="1441" w:hanging="360"/>
      </w:pPr>
    </w:lvl>
    <w:lvl w:ilvl="2" w:tplc="500A001B" w:tentative="1">
      <w:start w:val="1"/>
      <w:numFmt w:val="lowerRoman"/>
      <w:lvlText w:val="%3."/>
      <w:lvlJc w:val="right"/>
      <w:pPr>
        <w:ind w:left="2161" w:hanging="180"/>
      </w:pPr>
    </w:lvl>
    <w:lvl w:ilvl="3" w:tplc="500A000F" w:tentative="1">
      <w:start w:val="1"/>
      <w:numFmt w:val="decimal"/>
      <w:lvlText w:val="%4."/>
      <w:lvlJc w:val="left"/>
      <w:pPr>
        <w:ind w:left="2881" w:hanging="360"/>
      </w:pPr>
    </w:lvl>
    <w:lvl w:ilvl="4" w:tplc="500A0019" w:tentative="1">
      <w:start w:val="1"/>
      <w:numFmt w:val="lowerLetter"/>
      <w:lvlText w:val="%5."/>
      <w:lvlJc w:val="left"/>
      <w:pPr>
        <w:ind w:left="3601" w:hanging="360"/>
      </w:pPr>
    </w:lvl>
    <w:lvl w:ilvl="5" w:tplc="500A001B" w:tentative="1">
      <w:start w:val="1"/>
      <w:numFmt w:val="lowerRoman"/>
      <w:lvlText w:val="%6."/>
      <w:lvlJc w:val="right"/>
      <w:pPr>
        <w:ind w:left="4321" w:hanging="180"/>
      </w:pPr>
    </w:lvl>
    <w:lvl w:ilvl="6" w:tplc="500A000F" w:tentative="1">
      <w:start w:val="1"/>
      <w:numFmt w:val="decimal"/>
      <w:lvlText w:val="%7."/>
      <w:lvlJc w:val="left"/>
      <w:pPr>
        <w:ind w:left="5041" w:hanging="360"/>
      </w:pPr>
    </w:lvl>
    <w:lvl w:ilvl="7" w:tplc="500A0019" w:tentative="1">
      <w:start w:val="1"/>
      <w:numFmt w:val="lowerLetter"/>
      <w:lvlText w:val="%8."/>
      <w:lvlJc w:val="left"/>
      <w:pPr>
        <w:ind w:left="5761" w:hanging="360"/>
      </w:pPr>
    </w:lvl>
    <w:lvl w:ilvl="8" w:tplc="500A001B" w:tentative="1">
      <w:start w:val="1"/>
      <w:numFmt w:val="lowerRoman"/>
      <w:lvlText w:val="%9."/>
      <w:lvlJc w:val="right"/>
      <w:pPr>
        <w:ind w:left="6481" w:hanging="180"/>
      </w:pPr>
    </w:lvl>
  </w:abstractNum>
  <w:num w:numId="1" w16cid:durableId="936065226">
    <w:abstractNumId w:val="1"/>
  </w:num>
  <w:num w:numId="2" w16cid:durableId="1363630392">
    <w:abstractNumId w:val="2"/>
  </w:num>
  <w:num w:numId="3" w16cid:durableId="2134131569">
    <w:abstractNumId w:val="4"/>
  </w:num>
  <w:num w:numId="4" w16cid:durableId="397478846">
    <w:abstractNumId w:val="3"/>
  </w:num>
  <w:num w:numId="5" w16cid:durableId="568342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2F1"/>
    <w:rsid w:val="000249BC"/>
    <w:rsid w:val="0003430B"/>
    <w:rsid w:val="00037451"/>
    <w:rsid w:val="00044980"/>
    <w:rsid w:val="000479F6"/>
    <w:rsid w:val="00072A26"/>
    <w:rsid w:val="000911E9"/>
    <w:rsid w:val="000B1049"/>
    <w:rsid w:val="000B4CB8"/>
    <w:rsid w:val="000B69D0"/>
    <w:rsid w:val="000C5A98"/>
    <w:rsid w:val="000C6BCA"/>
    <w:rsid w:val="000D255D"/>
    <w:rsid w:val="000D4EA2"/>
    <w:rsid w:val="000D7C30"/>
    <w:rsid w:val="000E0675"/>
    <w:rsid w:val="000E3747"/>
    <w:rsid w:val="000E6CA9"/>
    <w:rsid w:val="00106333"/>
    <w:rsid w:val="0011042F"/>
    <w:rsid w:val="00126667"/>
    <w:rsid w:val="00136F2C"/>
    <w:rsid w:val="00141FF1"/>
    <w:rsid w:val="00147581"/>
    <w:rsid w:val="00151AC5"/>
    <w:rsid w:val="0016087F"/>
    <w:rsid w:val="0018087B"/>
    <w:rsid w:val="001941F7"/>
    <w:rsid w:val="00196B8C"/>
    <w:rsid w:val="001A1C2A"/>
    <w:rsid w:val="001A375B"/>
    <w:rsid w:val="001A3D56"/>
    <w:rsid w:val="001B0A72"/>
    <w:rsid w:val="001C1E9F"/>
    <w:rsid w:val="001C5EBC"/>
    <w:rsid w:val="001D3107"/>
    <w:rsid w:val="001D388F"/>
    <w:rsid w:val="001D58D1"/>
    <w:rsid w:val="001D7C36"/>
    <w:rsid w:val="001E5E95"/>
    <w:rsid w:val="001F173E"/>
    <w:rsid w:val="001F727F"/>
    <w:rsid w:val="002053C1"/>
    <w:rsid w:val="00213E61"/>
    <w:rsid w:val="002236C2"/>
    <w:rsid w:val="0022453E"/>
    <w:rsid w:val="002313C6"/>
    <w:rsid w:val="002320C2"/>
    <w:rsid w:val="00284EA3"/>
    <w:rsid w:val="002904E4"/>
    <w:rsid w:val="00296DBE"/>
    <w:rsid w:val="002A4146"/>
    <w:rsid w:val="002A584B"/>
    <w:rsid w:val="002B6DFB"/>
    <w:rsid w:val="002B7FEC"/>
    <w:rsid w:val="002F0DB9"/>
    <w:rsid w:val="002F5CE1"/>
    <w:rsid w:val="002F6444"/>
    <w:rsid w:val="002F6C5E"/>
    <w:rsid w:val="00313412"/>
    <w:rsid w:val="0031710C"/>
    <w:rsid w:val="00326507"/>
    <w:rsid w:val="003462AD"/>
    <w:rsid w:val="0036018F"/>
    <w:rsid w:val="00360979"/>
    <w:rsid w:val="00374B89"/>
    <w:rsid w:val="00376FC6"/>
    <w:rsid w:val="0038519D"/>
    <w:rsid w:val="00387A4F"/>
    <w:rsid w:val="00390853"/>
    <w:rsid w:val="003B1EBD"/>
    <w:rsid w:val="003B3241"/>
    <w:rsid w:val="003B753A"/>
    <w:rsid w:val="003C615D"/>
    <w:rsid w:val="003E03B4"/>
    <w:rsid w:val="00403FC6"/>
    <w:rsid w:val="004108CF"/>
    <w:rsid w:val="0042477A"/>
    <w:rsid w:val="00431732"/>
    <w:rsid w:val="004364B9"/>
    <w:rsid w:val="00471EA8"/>
    <w:rsid w:val="00474D20"/>
    <w:rsid w:val="00480FD4"/>
    <w:rsid w:val="0049251B"/>
    <w:rsid w:val="00496EA6"/>
    <w:rsid w:val="004A30A2"/>
    <w:rsid w:val="004B4A0B"/>
    <w:rsid w:val="004B70B7"/>
    <w:rsid w:val="004E296F"/>
    <w:rsid w:val="0050559B"/>
    <w:rsid w:val="00513B70"/>
    <w:rsid w:val="00532040"/>
    <w:rsid w:val="00557C96"/>
    <w:rsid w:val="00561199"/>
    <w:rsid w:val="005643E1"/>
    <w:rsid w:val="005654F1"/>
    <w:rsid w:val="005841C7"/>
    <w:rsid w:val="005871CA"/>
    <w:rsid w:val="005875A4"/>
    <w:rsid w:val="0059727A"/>
    <w:rsid w:val="005A9040"/>
    <w:rsid w:val="005B0A79"/>
    <w:rsid w:val="005B331B"/>
    <w:rsid w:val="005BDFD9"/>
    <w:rsid w:val="005E5161"/>
    <w:rsid w:val="00605916"/>
    <w:rsid w:val="00625527"/>
    <w:rsid w:val="00634B85"/>
    <w:rsid w:val="00637E1F"/>
    <w:rsid w:val="006442BF"/>
    <w:rsid w:val="00647060"/>
    <w:rsid w:val="0065202A"/>
    <w:rsid w:val="00657C10"/>
    <w:rsid w:val="00671884"/>
    <w:rsid w:val="006812FA"/>
    <w:rsid w:val="00684845"/>
    <w:rsid w:val="006A5976"/>
    <w:rsid w:val="006A5B5B"/>
    <w:rsid w:val="006A7149"/>
    <w:rsid w:val="006C42E4"/>
    <w:rsid w:val="006C58FD"/>
    <w:rsid w:val="006E0449"/>
    <w:rsid w:val="006E5EFE"/>
    <w:rsid w:val="006E6EC7"/>
    <w:rsid w:val="006F5993"/>
    <w:rsid w:val="007000BE"/>
    <w:rsid w:val="00730FCE"/>
    <w:rsid w:val="00734F99"/>
    <w:rsid w:val="007543AA"/>
    <w:rsid w:val="00767724"/>
    <w:rsid w:val="007724BC"/>
    <w:rsid w:val="00777619"/>
    <w:rsid w:val="0079086A"/>
    <w:rsid w:val="007B138A"/>
    <w:rsid w:val="007B4A51"/>
    <w:rsid w:val="007F04CB"/>
    <w:rsid w:val="00814E6D"/>
    <w:rsid w:val="00815482"/>
    <w:rsid w:val="00822C77"/>
    <w:rsid w:val="0083418D"/>
    <w:rsid w:val="00835E6C"/>
    <w:rsid w:val="00841328"/>
    <w:rsid w:val="008465F5"/>
    <w:rsid w:val="008663F2"/>
    <w:rsid w:val="0088253C"/>
    <w:rsid w:val="008A5E5B"/>
    <w:rsid w:val="008B2825"/>
    <w:rsid w:val="008B68C2"/>
    <w:rsid w:val="008C0B28"/>
    <w:rsid w:val="008C366D"/>
    <w:rsid w:val="008E4BDD"/>
    <w:rsid w:val="008F113F"/>
    <w:rsid w:val="00902419"/>
    <w:rsid w:val="009025BA"/>
    <w:rsid w:val="009058C7"/>
    <w:rsid w:val="009212E9"/>
    <w:rsid w:val="0092136B"/>
    <w:rsid w:val="00934BA6"/>
    <w:rsid w:val="0093537B"/>
    <w:rsid w:val="009452F1"/>
    <w:rsid w:val="00953F9E"/>
    <w:rsid w:val="00955906"/>
    <w:rsid w:val="00957468"/>
    <w:rsid w:val="00965919"/>
    <w:rsid w:val="00976C65"/>
    <w:rsid w:val="00996BF2"/>
    <w:rsid w:val="009B00EA"/>
    <w:rsid w:val="009B04AE"/>
    <w:rsid w:val="009C601B"/>
    <w:rsid w:val="009E109C"/>
    <w:rsid w:val="009E61B5"/>
    <w:rsid w:val="009F61EB"/>
    <w:rsid w:val="00A007EE"/>
    <w:rsid w:val="00A00D4A"/>
    <w:rsid w:val="00A145DF"/>
    <w:rsid w:val="00A175C2"/>
    <w:rsid w:val="00A17E77"/>
    <w:rsid w:val="00A246D8"/>
    <w:rsid w:val="00A4271E"/>
    <w:rsid w:val="00A427F3"/>
    <w:rsid w:val="00A46C34"/>
    <w:rsid w:val="00A52069"/>
    <w:rsid w:val="00A53AEA"/>
    <w:rsid w:val="00A552BB"/>
    <w:rsid w:val="00A63C4D"/>
    <w:rsid w:val="00A64AD3"/>
    <w:rsid w:val="00A829F0"/>
    <w:rsid w:val="00A86E47"/>
    <w:rsid w:val="00A969AB"/>
    <w:rsid w:val="00AA3503"/>
    <w:rsid w:val="00AB2F9F"/>
    <w:rsid w:val="00ABEFEE"/>
    <w:rsid w:val="00AD3A5D"/>
    <w:rsid w:val="00AD576C"/>
    <w:rsid w:val="00AD5F88"/>
    <w:rsid w:val="00AE0B6A"/>
    <w:rsid w:val="00AE2B42"/>
    <w:rsid w:val="00AF0D7D"/>
    <w:rsid w:val="00AF3F99"/>
    <w:rsid w:val="00AF4BC4"/>
    <w:rsid w:val="00B00891"/>
    <w:rsid w:val="00B2392B"/>
    <w:rsid w:val="00B320B9"/>
    <w:rsid w:val="00B351B9"/>
    <w:rsid w:val="00B353E1"/>
    <w:rsid w:val="00B36F2C"/>
    <w:rsid w:val="00B43FD6"/>
    <w:rsid w:val="00B45CA4"/>
    <w:rsid w:val="00B72672"/>
    <w:rsid w:val="00B85B67"/>
    <w:rsid w:val="00B90450"/>
    <w:rsid w:val="00BA487B"/>
    <w:rsid w:val="00BB0B96"/>
    <w:rsid w:val="00BC20B5"/>
    <w:rsid w:val="00BC3C37"/>
    <w:rsid w:val="00BC62D9"/>
    <w:rsid w:val="00BD1CA7"/>
    <w:rsid w:val="00BE2589"/>
    <w:rsid w:val="00BE5CED"/>
    <w:rsid w:val="00BE6D13"/>
    <w:rsid w:val="00BF46DB"/>
    <w:rsid w:val="00C135CB"/>
    <w:rsid w:val="00C171A7"/>
    <w:rsid w:val="00C24291"/>
    <w:rsid w:val="00C44678"/>
    <w:rsid w:val="00C50FC5"/>
    <w:rsid w:val="00C51212"/>
    <w:rsid w:val="00C56013"/>
    <w:rsid w:val="00C561B2"/>
    <w:rsid w:val="00C56AC0"/>
    <w:rsid w:val="00C57CE3"/>
    <w:rsid w:val="00C6116D"/>
    <w:rsid w:val="00C63278"/>
    <w:rsid w:val="00C640B1"/>
    <w:rsid w:val="00C73952"/>
    <w:rsid w:val="00C75C22"/>
    <w:rsid w:val="00CB64F8"/>
    <w:rsid w:val="00CC0263"/>
    <w:rsid w:val="00CC6B7C"/>
    <w:rsid w:val="00CD10B7"/>
    <w:rsid w:val="00D1789A"/>
    <w:rsid w:val="00D21B6B"/>
    <w:rsid w:val="00D23B9F"/>
    <w:rsid w:val="00D24017"/>
    <w:rsid w:val="00D3009A"/>
    <w:rsid w:val="00D3510B"/>
    <w:rsid w:val="00D37C8E"/>
    <w:rsid w:val="00D673BF"/>
    <w:rsid w:val="00D8028B"/>
    <w:rsid w:val="00D86DC9"/>
    <w:rsid w:val="00D925F5"/>
    <w:rsid w:val="00DA19CC"/>
    <w:rsid w:val="00DB1262"/>
    <w:rsid w:val="00DC1D16"/>
    <w:rsid w:val="00DE283D"/>
    <w:rsid w:val="00DE33BF"/>
    <w:rsid w:val="00DE6903"/>
    <w:rsid w:val="00E02028"/>
    <w:rsid w:val="00E0207A"/>
    <w:rsid w:val="00E03B10"/>
    <w:rsid w:val="00E07DEE"/>
    <w:rsid w:val="00E139F3"/>
    <w:rsid w:val="00E15AEF"/>
    <w:rsid w:val="00E30E34"/>
    <w:rsid w:val="00E32D26"/>
    <w:rsid w:val="00E46BC7"/>
    <w:rsid w:val="00E5357E"/>
    <w:rsid w:val="00E550DD"/>
    <w:rsid w:val="00E727BB"/>
    <w:rsid w:val="00E816E9"/>
    <w:rsid w:val="00E95835"/>
    <w:rsid w:val="00EC0DCB"/>
    <w:rsid w:val="00EC3149"/>
    <w:rsid w:val="00EF5DEC"/>
    <w:rsid w:val="00F26597"/>
    <w:rsid w:val="00F33295"/>
    <w:rsid w:val="00F362E5"/>
    <w:rsid w:val="00F422FB"/>
    <w:rsid w:val="00F50E6A"/>
    <w:rsid w:val="00F75AE4"/>
    <w:rsid w:val="00F76CA0"/>
    <w:rsid w:val="00F82A14"/>
    <w:rsid w:val="00F84F95"/>
    <w:rsid w:val="00F92B1B"/>
    <w:rsid w:val="00FA0485"/>
    <w:rsid w:val="00FA686A"/>
    <w:rsid w:val="00FB58DE"/>
    <w:rsid w:val="00FC00C8"/>
    <w:rsid w:val="00FC0257"/>
    <w:rsid w:val="00FD5FBD"/>
    <w:rsid w:val="00FE6BDB"/>
    <w:rsid w:val="013EE12D"/>
    <w:rsid w:val="01818ED9"/>
    <w:rsid w:val="01F79D90"/>
    <w:rsid w:val="0218E3F8"/>
    <w:rsid w:val="0230313F"/>
    <w:rsid w:val="0249B863"/>
    <w:rsid w:val="0266920E"/>
    <w:rsid w:val="0296A9D3"/>
    <w:rsid w:val="02FAAD60"/>
    <w:rsid w:val="031FBFD3"/>
    <w:rsid w:val="0383F05D"/>
    <w:rsid w:val="038A07AF"/>
    <w:rsid w:val="045989C5"/>
    <w:rsid w:val="0482D265"/>
    <w:rsid w:val="04AAFECA"/>
    <w:rsid w:val="04B5E4F3"/>
    <w:rsid w:val="04D3E832"/>
    <w:rsid w:val="056A2FE2"/>
    <w:rsid w:val="058C74BE"/>
    <w:rsid w:val="05A8EA42"/>
    <w:rsid w:val="05EB31B5"/>
    <w:rsid w:val="0657C8CC"/>
    <w:rsid w:val="068BBA23"/>
    <w:rsid w:val="06CECCD6"/>
    <w:rsid w:val="0711029E"/>
    <w:rsid w:val="075AD5FD"/>
    <w:rsid w:val="0766D8FD"/>
    <w:rsid w:val="07BC3D93"/>
    <w:rsid w:val="07BE3438"/>
    <w:rsid w:val="07DD4923"/>
    <w:rsid w:val="084D228C"/>
    <w:rsid w:val="08E2C7D1"/>
    <w:rsid w:val="09033B17"/>
    <w:rsid w:val="091870CC"/>
    <w:rsid w:val="096384F2"/>
    <w:rsid w:val="0A35D590"/>
    <w:rsid w:val="0AD6CA33"/>
    <w:rsid w:val="0B225D24"/>
    <w:rsid w:val="0BFC94DA"/>
    <w:rsid w:val="0C5982EE"/>
    <w:rsid w:val="0C89ADCE"/>
    <w:rsid w:val="0C89C376"/>
    <w:rsid w:val="0CB32BCC"/>
    <w:rsid w:val="0CC9833D"/>
    <w:rsid w:val="0D0496E3"/>
    <w:rsid w:val="0D616C3B"/>
    <w:rsid w:val="0DA45426"/>
    <w:rsid w:val="0DE3A714"/>
    <w:rsid w:val="0E068A64"/>
    <w:rsid w:val="0F2BAF46"/>
    <w:rsid w:val="0F4EF734"/>
    <w:rsid w:val="0F6AD34B"/>
    <w:rsid w:val="0FF2363D"/>
    <w:rsid w:val="1080ED8F"/>
    <w:rsid w:val="111460BC"/>
    <w:rsid w:val="114639D6"/>
    <w:rsid w:val="12597451"/>
    <w:rsid w:val="133776DD"/>
    <w:rsid w:val="138DA078"/>
    <w:rsid w:val="13AE013E"/>
    <w:rsid w:val="149AB299"/>
    <w:rsid w:val="14A2E1B5"/>
    <w:rsid w:val="15A052E8"/>
    <w:rsid w:val="16619E4E"/>
    <w:rsid w:val="16BEBFE0"/>
    <w:rsid w:val="1704F533"/>
    <w:rsid w:val="183D524A"/>
    <w:rsid w:val="1A53CF4A"/>
    <w:rsid w:val="1AE5595B"/>
    <w:rsid w:val="1B1A561C"/>
    <w:rsid w:val="1B2B60ED"/>
    <w:rsid w:val="1BF047B7"/>
    <w:rsid w:val="1C0DABF2"/>
    <w:rsid w:val="1CECE729"/>
    <w:rsid w:val="1DF4CC4D"/>
    <w:rsid w:val="1E6D66CE"/>
    <w:rsid w:val="1F771352"/>
    <w:rsid w:val="217FA13E"/>
    <w:rsid w:val="22111EC8"/>
    <w:rsid w:val="227EB446"/>
    <w:rsid w:val="22831365"/>
    <w:rsid w:val="22CF428B"/>
    <w:rsid w:val="22DED988"/>
    <w:rsid w:val="23D99D71"/>
    <w:rsid w:val="2539988B"/>
    <w:rsid w:val="261BA1D5"/>
    <w:rsid w:val="2711C6BC"/>
    <w:rsid w:val="275D6D3E"/>
    <w:rsid w:val="27926170"/>
    <w:rsid w:val="281C2A92"/>
    <w:rsid w:val="285A1FC5"/>
    <w:rsid w:val="289371D2"/>
    <w:rsid w:val="296B6182"/>
    <w:rsid w:val="29743289"/>
    <w:rsid w:val="29C3AF1C"/>
    <w:rsid w:val="29F8D6D4"/>
    <w:rsid w:val="2A760878"/>
    <w:rsid w:val="2AB5B02D"/>
    <w:rsid w:val="2AC92FD7"/>
    <w:rsid w:val="2B251488"/>
    <w:rsid w:val="2B878106"/>
    <w:rsid w:val="2BD01346"/>
    <w:rsid w:val="2BF2FD08"/>
    <w:rsid w:val="2C1A2C8D"/>
    <w:rsid w:val="2CA36C5C"/>
    <w:rsid w:val="2D54C340"/>
    <w:rsid w:val="2D620FB7"/>
    <w:rsid w:val="2EF2D6C2"/>
    <w:rsid w:val="2F64AC94"/>
    <w:rsid w:val="2FE347BC"/>
    <w:rsid w:val="30A7D239"/>
    <w:rsid w:val="30CB9812"/>
    <w:rsid w:val="310D1751"/>
    <w:rsid w:val="31EE5010"/>
    <w:rsid w:val="32137EB3"/>
    <w:rsid w:val="321483A7"/>
    <w:rsid w:val="34F6AA19"/>
    <w:rsid w:val="34FB2E24"/>
    <w:rsid w:val="351AD048"/>
    <w:rsid w:val="356F6F8B"/>
    <w:rsid w:val="35701BEB"/>
    <w:rsid w:val="35B9FDC0"/>
    <w:rsid w:val="3619E52F"/>
    <w:rsid w:val="361BC9ED"/>
    <w:rsid w:val="3632EB7E"/>
    <w:rsid w:val="36DF6BFB"/>
    <w:rsid w:val="37617E28"/>
    <w:rsid w:val="38FF8596"/>
    <w:rsid w:val="395EE796"/>
    <w:rsid w:val="39F7E118"/>
    <w:rsid w:val="3A7EBEF6"/>
    <w:rsid w:val="3ADC5990"/>
    <w:rsid w:val="3B3159A8"/>
    <w:rsid w:val="3BD718B2"/>
    <w:rsid w:val="3C1E6F75"/>
    <w:rsid w:val="3C50E3AB"/>
    <w:rsid w:val="3D1B3355"/>
    <w:rsid w:val="3D3A1E88"/>
    <w:rsid w:val="3DF7ACBA"/>
    <w:rsid w:val="3E27047E"/>
    <w:rsid w:val="3E2C381D"/>
    <w:rsid w:val="3E2F2E15"/>
    <w:rsid w:val="3F4FBF19"/>
    <w:rsid w:val="3F963A03"/>
    <w:rsid w:val="403CC7D9"/>
    <w:rsid w:val="42E7081E"/>
    <w:rsid w:val="42FBD0DD"/>
    <w:rsid w:val="43DBE46D"/>
    <w:rsid w:val="43E471E0"/>
    <w:rsid w:val="4467CA29"/>
    <w:rsid w:val="44AB415A"/>
    <w:rsid w:val="45027C46"/>
    <w:rsid w:val="450E06D0"/>
    <w:rsid w:val="4525B278"/>
    <w:rsid w:val="456E77A3"/>
    <w:rsid w:val="45B6C065"/>
    <w:rsid w:val="45C73076"/>
    <w:rsid w:val="465184E0"/>
    <w:rsid w:val="46A0605A"/>
    <w:rsid w:val="46C16AE2"/>
    <w:rsid w:val="47DACD7F"/>
    <w:rsid w:val="48D0A18D"/>
    <w:rsid w:val="490C45D4"/>
    <w:rsid w:val="49B48E75"/>
    <w:rsid w:val="49F71F09"/>
    <w:rsid w:val="4A9F06A0"/>
    <w:rsid w:val="4AD52097"/>
    <w:rsid w:val="4B44F011"/>
    <w:rsid w:val="4B5E1533"/>
    <w:rsid w:val="4B8EE80B"/>
    <w:rsid w:val="4BB8AFEC"/>
    <w:rsid w:val="4C0530A7"/>
    <w:rsid w:val="4C23D1F4"/>
    <w:rsid w:val="4CF851D1"/>
    <w:rsid w:val="4D2DA686"/>
    <w:rsid w:val="4D32C45D"/>
    <w:rsid w:val="4D989762"/>
    <w:rsid w:val="4DE6345E"/>
    <w:rsid w:val="4E2C6856"/>
    <w:rsid w:val="4E60A94C"/>
    <w:rsid w:val="4E60BFF5"/>
    <w:rsid w:val="4E70FFCA"/>
    <w:rsid w:val="4E86553C"/>
    <w:rsid w:val="4E883080"/>
    <w:rsid w:val="4F05F51C"/>
    <w:rsid w:val="501E5272"/>
    <w:rsid w:val="50A1C45D"/>
    <w:rsid w:val="50A40FEE"/>
    <w:rsid w:val="50BB729E"/>
    <w:rsid w:val="51662BEA"/>
    <w:rsid w:val="52287D15"/>
    <w:rsid w:val="5237799D"/>
    <w:rsid w:val="52911A4C"/>
    <w:rsid w:val="52A4DDF7"/>
    <w:rsid w:val="52E2E49A"/>
    <w:rsid w:val="534975B4"/>
    <w:rsid w:val="5353B10D"/>
    <w:rsid w:val="53691FD8"/>
    <w:rsid w:val="538124E1"/>
    <w:rsid w:val="53C9E0E6"/>
    <w:rsid w:val="54A4E6EE"/>
    <w:rsid w:val="54FA2D28"/>
    <w:rsid w:val="551ED7B4"/>
    <w:rsid w:val="554613E8"/>
    <w:rsid w:val="556E1CDF"/>
    <w:rsid w:val="55B98BBE"/>
    <w:rsid w:val="55CCE8A8"/>
    <w:rsid w:val="55DDD147"/>
    <w:rsid w:val="55E5DBE7"/>
    <w:rsid w:val="5678674C"/>
    <w:rsid w:val="57A28E65"/>
    <w:rsid w:val="59128ED4"/>
    <w:rsid w:val="592E99B5"/>
    <w:rsid w:val="59483243"/>
    <w:rsid w:val="5978C8F1"/>
    <w:rsid w:val="598CC0EC"/>
    <w:rsid w:val="5A8D2AAA"/>
    <w:rsid w:val="5B2DEDFE"/>
    <w:rsid w:val="5B6A54A0"/>
    <w:rsid w:val="5CF7E35F"/>
    <w:rsid w:val="5D4FEF80"/>
    <w:rsid w:val="5D8688C4"/>
    <w:rsid w:val="5DBBB541"/>
    <w:rsid w:val="5DF15119"/>
    <w:rsid w:val="5E671A44"/>
    <w:rsid w:val="5F3473CF"/>
    <w:rsid w:val="6046E9B2"/>
    <w:rsid w:val="604A5E17"/>
    <w:rsid w:val="6059C303"/>
    <w:rsid w:val="607B7B27"/>
    <w:rsid w:val="60C302E5"/>
    <w:rsid w:val="60E6DC66"/>
    <w:rsid w:val="62B177D2"/>
    <w:rsid w:val="6341634C"/>
    <w:rsid w:val="636509F1"/>
    <w:rsid w:val="63A5B151"/>
    <w:rsid w:val="64929CDE"/>
    <w:rsid w:val="65571E4A"/>
    <w:rsid w:val="657021E6"/>
    <w:rsid w:val="65FEC0AC"/>
    <w:rsid w:val="6606828F"/>
    <w:rsid w:val="66966038"/>
    <w:rsid w:val="68436F95"/>
    <w:rsid w:val="68BA007D"/>
    <w:rsid w:val="6933B42C"/>
    <w:rsid w:val="698D0A5D"/>
    <w:rsid w:val="69B49B6B"/>
    <w:rsid w:val="6A361947"/>
    <w:rsid w:val="6A8ACF40"/>
    <w:rsid w:val="6BAA7574"/>
    <w:rsid w:val="6BAFF00D"/>
    <w:rsid w:val="6BD7E282"/>
    <w:rsid w:val="6C1C9CF9"/>
    <w:rsid w:val="6C6524FB"/>
    <w:rsid w:val="6C796E00"/>
    <w:rsid w:val="6C839F6A"/>
    <w:rsid w:val="6CA3B4E7"/>
    <w:rsid w:val="6CC6E7D9"/>
    <w:rsid w:val="6DC01F25"/>
    <w:rsid w:val="6DE83443"/>
    <w:rsid w:val="6DF10205"/>
    <w:rsid w:val="6E7F258A"/>
    <w:rsid w:val="6EDAC0CB"/>
    <w:rsid w:val="6EEDBB7F"/>
    <w:rsid w:val="6F1A5EC6"/>
    <w:rsid w:val="6F63AC0A"/>
    <w:rsid w:val="6F92B71F"/>
    <w:rsid w:val="6FA40F04"/>
    <w:rsid w:val="6FDD90D4"/>
    <w:rsid w:val="7061517A"/>
    <w:rsid w:val="721EAE02"/>
    <w:rsid w:val="726698F5"/>
    <w:rsid w:val="72A74FC7"/>
    <w:rsid w:val="72BCD8E5"/>
    <w:rsid w:val="72D85202"/>
    <w:rsid w:val="7382E949"/>
    <w:rsid w:val="73CEC5C8"/>
    <w:rsid w:val="744C00C1"/>
    <w:rsid w:val="74ACD67F"/>
    <w:rsid w:val="74EC5790"/>
    <w:rsid w:val="75315A8B"/>
    <w:rsid w:val="75453774"/>
    <w:rsid w:val="758F5F8D"/>
    <w:rsid w:val="75C5CE9D"/>
    <w:rsid w:val="75DE9ED4"/>
    <w:rsid w:val="76871A77"/>
    <w:rsid w:val="76D03509"/>
    <w:rsid w:val="76D62F2F"/>
    <w:rsid w:val="77AADB3C"/>
    <w:rsid w:val="77BAF914"/>
    <w:rsid w:val="785519C4"/>
    <w:rsid w:val="78717213"/>
    <w:rsid w:val="78AD6A54"/>
    <w:rsid w:val="78AF7AC4"/>
    <w:rsid w:val="78D9DB77"/>
    <w:rsid w:val="78DE0449"/>
    <w:rsid w:val="7953D806"/>
    <w:rsid w:val="795F184E"/>
    <w:rsid w:val="79677FF5"/>
    <w:rsid w:val="7A415352"/>
    <w:rsid w:val="7BF091AB"/>
    <w:rsid w:val="7D4D7EC5"/>
    <w:rsid w:val="7D864297"/>
    <w:rsid w:val="7D89927C"/>
    <w:rsid w:val="7DA5CC73"/>
    <w:rsid w:val="7E53ECC6"/>
    <w:rsid w:val="7EC6DA0A"/>
    <w:rsid w:val="7EF0D396"/>
    <w:rsid w:val="7F620A06"/>
    <w:rsid w:val="7F9E4D34"/>
    <w:rsid w:val="7FA158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3099"/>
  <w15:chartTrackingRefBased/>
  <w15:docId w15:val="{18E09386-8088-4B7A-83E1-781C202C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0B5"/>
    <w:pPr>
      <w:spacing w:after="200" w:line="276" w:lineRule="auto"/>
    </w:pPr>
    <w:rPr>
      <w:sz w:val="22"/>
      <w:szCs w:val="22"/>
      <w:lang w:val="es-PR"/>
    </w:rPr>
  </w:style>
  <w:style w:type="paragraph" w:styleId="Heading1">
    <w:name w:val="heading 1"/>
    <w:basedOn w:val="Normal"/>
    <w:next w:val="Normal"/>
    <w:link w:val="Heading1Char"/>
    <w:uiPriority w:val="9"/>
    <w:qFormat/>
    <w:rsid w:val="00D8028B"/>
    <w:pPr>
      <w:keepNext/>
      <w:spacing w:before="240" w:after="60"/>
      <w:outlineLvl w:val="0"/>
    </w:pPr>
    <w:rPr>
      <w:rFonts w:ascii="Cambria" w:eastAsia="Times New Roman" w:hAnsi="Cambria"/>
      <w:b/>
      <w:bCs/>
      <w:kern w:val="32"/>
      <w:sz w:val="32"/>
      <w:szCs w:val="32"/>
    </w:rPr>
  </w:style>
  <w:style w:type="paragraph" w:styleId="Heading3">
    <w:name w:val="heading 3"/>
    <w:basedOn w:val="Normal"/>
    <w:next w:val="Normal"/>
    <w:link w:val="Heading3Char"/>
    <w:uiPriority w:val="9"/>
    <w:semiHidden/>
    <w:unhideWhenUsed/>
    <w:qFormat/>
    <w:rsid w:val="00C63278"/>
    <w:pPr>
      <w:keepNext/>
      <w:keepLines/>
      <w:spacing w:before="200" w:after="0"/>
      <w:outlineLvl w:val="2"/>
    </w:pPr>
    <w:rPr>
      <w:rFonts w:ascii="Lucida Sans" w:eastAsia="Times New Roman" w:hAnsi="Lucida Sans"/>
      <w:b/>
      <w:bCs/>
      <w:color w:val="4F81BD"/>
    </w:rPr>
  </w:style>
  <w:style w:type="paragraph" w:styleId="Heading6">
    <w:name w:val="heading 6"/>
    <w:basedOn w:val="Normal"/>
    <w:next w:val="Normal"/>
    <w:link w:val="Heading6Char"/>
    <w:qFormat/>
    <w:rsid w:val="00CC6B7C"/>
    <w:pPr>
      <w:keepNext/>
      <w:spacing w:after="0" w:line="240" w:lineRule="auto"/>
      <w:jc w:val="center"/>
      <w:outlineLvl w:val="5"/>
    </w:pPr>
    <w:rPr>
      <w:rFonts w:ascii="Times New Roman" w:eastAsia="Times New Roman" w:hAnsi="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2F1"/>
    <w:pPr>
      <w:ind w:left="720"/>
      <w:contextualSpacing/>
    </w:pPr>
  </w:style>
  <w:style w:type="character" w:customStyle="1" w:styleId="Heading6Char">
    <w:name w:val="Heading 6 Char"/>
    <w:link w:val="Heading6"/>
    <w:rsid w:val="00CC6B7C"/>
    <w:rPr>
      <w:rFonts w:ascii="Times New Roman" w:eastAsia="Times New Roman" w:hAnsi="Times New Roman" w:cs="Times New Roman"/>
      <w:b/>
      <w:bCs/>
      <w:sz w:val="28"/>
      <w:szCs w:val="20"/>
    </w:rPr>
  </w:style>
  <w:style w:type="paragraph" w:styleId="BodyText">
    <w:name w:val="Body Text"/>
    <w:basedOn w:val="Normal"/>
    <w:link w:val="BodyTextChar"/>
    <w:rsid w:val="00CC6B7C"/>
    <w:pPr>
      <w:spacing w:after="0" w:line="240" w:lineRule="auto"/>
      <w:jc w:val="both"/>
    </w:pPr>
    <w:rPr>
      <w:rFonts w:ascii="Times New Roman" w:eastAsia="Times New Roman" w:hAnsi="Times New Roman"/>
      <w:sz w:val="24"/>
      <w:szCs w:val="24"/>
    </w:rPr>
  </w:style>
  <w:style w:type="character" w:customStyle="1" w:styleId="BodyTextChar">
    <w:name w:val="Body Text Char"/>
    <w:link w:val="BodyText"/>
    <w:rsid w:val="00CC6B7C"/>
    <w:rPr>
      <w:rFonts w:ascii="Times New Roman" w:eastAsia="Times New Roman" w:hAnsi="Times New Roman" w:cs="Times New Roman"/>
      <w:sz w:val="24"/>
      <w:szCs w:val="24"/>
    </w:rPr>
  </w:style>
  <w:style w:type="character" w:customStyle="1" w:styleId="Heading3Char">
    <w:name w:val="Heading 3 Char"/>
    <w:link w:val="Heading3"/>
    <w:uiPriority w:val="9"/>
    <w:semiHidden/>
    <w:rsid w:val="00C63278"/>
    <w:rPr>
      <w:rFonts w:ascii="Lucida Sans" w:eastAsia="Times New Roman" w:hAnsi="Lucida Sans" w:cs="Times New Roman"/>
      <w:b/>
      <w:bCs/>
      <w:color w:val="4F81BD"/>
    </w:rPr>
  </w:style>
  <w:style w:type="character" w:customStyle="1" w:styleId="apple-converted-space">
    <w:name w:val="apple-converted-space"/>
    <w:basedOn w:val="DefaultParagraphFont"/>
    <w:rsid w:val="00C63278"/>
  </w:style>
  <w:style w:type="paragraph" w:styleId="Header">
    <w:name w:val="header"/>
    <w:basedOn w:val="Normal"/>
    <w:link w:val="HeaderChar"/>
    <w:uiPriority w:val="99"/>
    <w:rsid w:val="00B353E1"/>
    <w:pPr>
      <w:tabs>
        <w:tab w:val="center" w:pos="4320"/>
        <w:tab w:val="right" w:pos="8640"/>
      </w:tabs>
      <w:spacing w:after="0" w:line="240" w:lineRule="auto"/>
    </w:pPr>
    <w:rPr>
      <w:rFonts w:ascii="Times New Roman" w:eastAsia="Times New Roman" w:hAnsi="Times New Roman"/>
      <w:sz w:val="24"/>
      <w:szCs w:val="20"/>
      <w:lang w:val="en-US"/>
    </w:rPr>
  </w:style>
  <w:style w:type="character" w:customStyle="1" w:styleId="HeaderChar">
    <w:name w:val="Header Char"/>
    <w:link w:val="Header"/>
    <w:uiPriority w:val="99"/>
    <w:rsid w:val="00B353E1"/>
    <w:rPr>
      <w:rFonts w:ascii="Times New Roman" w:eastAsia="Times New Roman" w:hAnsi="Times New Roman" w:cs="Times New Roman"/>
      <w:sz w:val="24"/>
      <w:szCs w:val="20"/>
      <w:lang w:val="en-US"/>
    </w:rPr>
  </w:style>
  <w:style w:type="character" w:styleId="PageNumber">
    <w:name w:val="page number"/>
    <w:basedOn w:val="DefaultParagraphFont"/>
    <w:rsid w:val="00B353E1"/>
  </w:style>
  <w:style w:type="paragraph" w:customStyle="1" w:styleId="Title2">
    <w:name w:val="Title2"/>
    <w:basedOn w:val="Normal"/>
    <w:next w:val="Normal"/>
    <w:rsid w:val="00B353E1"/>
    <w:pPr>
      <w:tabs>
        <w:tab w:val="left" w:pos="648"/>
        <w:tab w:val="right" w:pos="7776"/>
        <w:tab w:val="left" w:pos="7848"/>
      </w:tabs>
      <w:spacing w:after="0" w:line="240" w:lineRule="auto"/>
    </w:pPr>
    <w:rPr>
      <w:rFonts w:ascii="Times New Roman" w:eastAsia="Times New Roman" w:hAnsi="Times New Roman"/>
      <w:sz w:val="24"/>
      <w:szCs w:val="20"/>
      <w:lang w:val="en-US"/>
    </w:rPr>
  </w:style>
  <w:style w:type="paragraph" w:styleId="Footer">
    <w:name w:val="footer"/>
    <w:basedOn w:val="Normal"/>
    <w:link w:val="FooterChar"/>
    <w:uiPriority w:val="99"/>
    <w:unhideWhenUsed/>
    <w:rsid w:val="00754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3AA"/>
  </w:style>
  <w:style w:type="character" w:styleId="LineNumber">
    <w:name w:val="line number"/>
    <w:uiPriority w:val="99"/>
    <w:semiHidden/>
    <w:unhideWhenUsed/>
    <w:rsid w:val="002A584B"/>
  </w:style>
  <w:style w:type="paragraph" w:styleId="BalloonText">
    <w:name w:val="Balloon Text"/>
    <w:basedOn w:val="Normal"/>
    <w:link w:val="BalloonTextChar"/>
    <w:uiPriority w:val="99"/>
    <w:semiHidden/>
    <w:unhideWhenUsed/>
    <w:rsid w:val="002A584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A584B"/>
    <w:rPr>
      <w:rFonts w:ascii="Segoe UI" w:hAnsi="Segoe UI" w:cs="Segoe UI"/>
      <w:sz w:val="18"/>
      <w:szCs w:val="18"/>
      <w:lang w:val="es-PR"/>
    </w:rPr>
  </w:style>
  <w:style w:type="paragraph" w:styleId="FootnoteText">
    <w:name w:val="footnote text"/>
    <w:basedOn w:val="Normal"/>
    <w:link w:val="FootnoteTextChar"/>
    <w:uiPriority w:val="99"/>
    <w:semiHidden/>
    <w:unhideWhenUsed/>
    <w:rsid w:val="00D8028B"/>
    <w:rPr>
      <w:sz w:val="20"/>
      <w:szCs w:val="20"/>
    </w:rPr>
  </w:style>
  <w:style w:type="character" w:customStyle="1" w:styleId="FootnoteTextChar">
    <w:name w:val="Footnote Text Char"/>
    <w:link w:val="FootnoteText"/>
    <w:uiPriority w:val="99"/>
    <w:semiHidden/>
    <w:rsid w:val="00D8028B"/>
    <w:rPr>
      <w:lang w:val="es-PR"/>
    </w:rPr>
  </w:style>
  <w:style w:type="character" w:styleId="FootnoteReference">
    <w:name w:val="footnote reference"/>
    <w:uiPriority w:val="99"/>
    <w:semiHidden/>
    <w:unhideWhenUsed/>
    <w:rsid w:val="00D8028B"/>
    <w:rPr>
      <w:vertAlign w:val="superscript"/>
    </w:rPr>
  </w:style>
  <w:style w:type="character" w:customStyle="1" w:styleId="Heading1Char">
    <w:name w:val="Heading 1 Char"/>
    <w:link w:val="Heading1"/>
    <w:uiPriority w:val="9"/>
    <w:rsid w:val="00D8028B"/>
    <w:rPr>
      <w:rFonts w:ascii="Cambria" w:eastAsia="Times New Roman" w:hAnsi="Cambria" w:cs="Times New Roman"/>
      <w:b/>
      <w:bCs/>
      <w:kern w:val="32"/>
      <w:sz w:val="32"/>
      <w:szCs w:val="32"/>
      <w:lang w:val="es-PR"/>
    </w:rPr>
  </w:style>
  <w:style w:type="character" w:styleId="CommentReference">
    <w:name w:val="annotation reference"/>
    <w:uiPriority w:val="99"/>
    <w:semiHidden/>
    <w:unhideWhenUsed/>
    <w:rsid w:val="00E5357E"/>
    <w:rPr>
      <w:sz w:val="16"/>
      <w:szCs w:val="16"/>
    </w:rPr>
  </w:style>
  <w:style w:type="paragraph" w:styleId="CommentText">
    <w:name w:val="annotation text"/>
    <w:basedOn w:val="Normal"/>
    <w:link w:val="CommentTextChar"/>
    <w:uiPriority w:val="99"/>
    <w:semiHidden/>
    <w:unhideWhenUsed/>
    <w:rsid w:val="00E5357E"/>
    <w:rPr>
      <w:sz w:val="20"/>
      <w:szCs w:val="20"/>
    </w:rPr>
  </w:style>
  <w:style w:type="character" w:customStyle="1" w:styleId="CommentTextChar">
    <w:name w:val="Comment Text Char"/>
    <w:link w:val="CommentText"/>
    <w:uiPriority w:val="99"/>
    <w:semiHidden/>
    <w:rsid w:val="00E5357E"/>
    <w:rPr>
      <w:lang w:val="es-PR"/>
    </w:rPr>
  </w:style>
  <w:style w:type="paragraph" w:styleId="CommentSubject">
    <w:name w:val="annotation subject"/>
    <w:basedOn w:val="CommentText"/>
    <w:next w:val="CommentText"/>
    <w:link w:val="CommentSubjectChar"/>
    <w:uiPriority w:val="99"/>
    <w:semiHidden/>
    <w:unhideWhenUsed/>
    <w:rsid w:val="00E5357E"/>
    <w:rPr>
      <w:b/>
      <w:bCs/>
    </w:rPr>
  </w:style>
  <w:style w:type="character" w:customStyle="1" w:styleId="CommentSubjectChar">
    <w:name w:val="Comment Subject Char"/>
    <w:link w:val="CommentSubject"/>
    <w:uiPriority w:val="99"/>
    <w:semiHidden/>
    <w:rsid w:val="00E5357E"/>
    <w:rPr>
      <w:b/>
      <w:bCs/>
      <w:lang w:val="es-PR"/>
    </w:rPr>
  </w:style>
  <w:style w:type="paragraph" w:styleId="Revision">
    <w:name w:val="Revision"/>
    <w:hidden/>
    <w:uiPriority w:val="99"/>
    <w:semiHidden/>
    <w:rsid w:val="00E5357E"/>
    <w:rPr>
      <w:sz w:val="22"/>
      <w:szCs w:val="22"/>
      <w:lang w:val="es-PR"/>
    </w:rPr>
  </w:style>
  <w:style w:type="character" w:styleId="Strong">
    <w:name w:val="Strong"/>
    <w:uiPriority w:val="22"/>
    <w:qFormat/>
    <w:rsid w:val="00BF46DB"/>
    <w:rPr>
      <w:b/>
      <w:bCs/>
    </w:rPr>
  </w:style>
  <w:style w:type="character" w:styleId="Hyperlink">
    <w:name w:val="Hyperlink"/>
    <w:uiPriority w:val="99"/>
    <w:unhideWhenUsed/>
    <w:rsid w:val="00BF46DB"/>
    <w:rPr>
      <w:color w:val="0000FF"/>
      <w:u w:val="single"/>
    </w:rPr>
  </w:style>
  <w:style w:type="paragraph" w:styleId="NoSpacing">
    <w:name w:val="No Spacing"/>
    <w:uiPriority w:val="1"/>
    <w:qFormat/>
    <w:rsid w:val="00480FD4"/>
    <w:rPr>
      <w:sz w:val="22"/>
      <w:szCs w:val="22"/>
      <w:lang w:val="es-PR"/>
    </w:rPr>
  </w:style>
  <w:style w:type="character" w:styleId="UnresolvedMention">
    <w:name w:val="Unresolved Mention"/>
    <w:uiPriority w:val="99"/>
    <w:semiHidden/>
    <w:unhideWhenUsed/>
    <w:rsid w:val="00290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93498">
      <w:bodyDiv w:val="1"/>
      <w:marLeft w:val="0"/>
      <w:marRight w:val="0"/>
      <w:marTop w:val="0"/>
      <w:marBottom w:val="0"/>
      <w:divBdr>
        <w:top w:val="none" w:sz="0" w:space="0" w:color="auto"/>
        <w:left w:val="none" w:sz="0" w:space="0" w:color="auto"/>
        <w:bottom w:val="none" w:sz="0" w:space="0" w:color="auto"/>
        <w:right w:val="none" w:sz="0" w:space="0" w:color="auto"/>
      </w:divBdr>
    </w:div>
    <w:div w:id="275411119">
      <w:bodyDiv w:val="1"/>
      <w:marLeft w:val="0"/>
      <w:marRight w:val="0"/>
      <w:marTop w:val="0"/>
      <w:marBottom w:val="0"/>
      <w:divBdr>
        <w:top w:val="none" w:sz="0" w:space="0" w:color="auto"/>
        <w:left w:val="none" w:sz="0" w:space="0" w:color="auto"/>
        <w:bottom w:val="none" w:sz="0" w:space="0" w:color="auto"/>
        <w:right w:val="none" w:sz="0" w:space="0" w:color="auto"/>
      </w:divBdr>
    </w:div>
    <w:div w:id="316106948">
      <w:bodyDiv w:val="1"/>
      <w:marLeft w:val="0"/>
      <w:marRight w:val="0"/>
      <w:marTop w:val="0"/>
      <w:marBottom w:val="0"/>
      <w:divBdr>
        <w:top w:val="none" w:sz="0" w:space="0" w:color="auto"/>
        <w:left w:val="none" w:sz="0" w:space="0" w:color="auto"/>
        <w:bottom w:val="none" w:sz="0" w:space="0" w:color="auto"/>
        <w:right w:val="none" w:sz="0" w:space="0" w:color="auto"/>
      </w:divBdr>
    </w:div>
    <w:div w:id="367528993">
      <w:bodyDiv w:val="1"/>
      <w:marLeft w:val="0"/>
      <w:marRight w:val="0"/>
      <w:marTop w:val="0"/>
      <w:marBottom w:val="0"/>
      <w:divBdr>
        <w:top w:val="none" w:sz="0" w:space="0" w:color="auto"/>
        <w:left w:val="none" w:sz="0" w:space="0" w:color="auto"/>
        <w:bottom w:val="none" w:sz="0" w:space="0" w:color="auto"/>
        <w:right w:val="none" w:sz="0" w:space="0" w:color="auto"/>
      </w:divBdr>
    </w:div>
    <w:div w:id="429936951">
      <w:bodyDiv w:val="1"/>
      <w:marLeft w:val="0"/>
      <w:marRight w:val="0"/>
      <w:marTop w:val="0"/>
      <w:marBottom w:val="0"/>
      <w:divBdr>
        <w:top w:val="none" w:sz="0" w:space="0" w:color="auto"/>
        <w:left w:val="none" w:sz="0" w:space="0" w:color="auto"/>
        <w:bottom w:val="none" w:sz="0" w:space="0" w:color="auto"/>
        <w:right w:val="none" w:sz="0" w:space="0" w:color="auto"/>
      </w:divBdr>
    </w:div>
    <w:div w:id="496000674">
      <w:bodyDiv w:val="1"/>
      <w:marLeft w:val="0"/>
      <w:marRight w:val="0"/>
      <w:marTop w:val="0"/>
      <w:marBottom w:val="0"/>
      <w:divBdr>
        <w:top w:val="none" w:sz="0" w:space="0" w:color="auto"/>
        <w:left w:val="none" w:sz="0" w:space="0" w:color="auto"/>
        <w:bottom w:val="none" w:sz="0" w:space="0" w:color="auto"/>
        <w:right w:val="none" w:sz="0" w:space="0" w:color="auto"/>
      </w:divBdr>
    </w:div>
    <w:div w:id="593363728">
      <w:bodyDiv w:val="1"/>
      <w:marLeft w:val="0"/>
      <w:marRight w:val="0"/>
      <w:marTop w:val="0"/>
      <w:marBottom w:val="0"/>
      <w:divBdr>
        <w:top w:val="none" w:sz="0" w:space="0" w:color="auto"/>
        <w:left w:val="none" w:sz="0" w:space="0" w:color="auto"/>
        <w:bottom w:val="none" w:sz="0" w:space="0" w:color="auto"/>
        <w:right w:val="none" w:sz="0" w:space="0" w:color="auto"/>
      </w:divBdr>
    </w:div>
    <w:div w:id="679351718">
      <w:bodyDiv w:val="1"/>
      <w:marLeft w:val="0"/>
      <w:marRight w:val="0"/>
      <w:marTop w:val="0"/>
      <w:marBottom w:val="0"/>
      <w:divBdr>
        <w:top w:val="none" w:sz="0" w:space="0" w:color="auto"/>
        <w:left w:val="none" w:sz="0" w:space="0" w:color="auto"/>
        <w:bottom w:val="none" w:sz="0" w:space="0" w:color="auto"/>
        <w:right w:val="none" w:sz="0" w:space="0" w:color="auto"/>
      </w:divBdr>
    </w:div>
    <w:div w:id="840434707">
      <w:bodyDiv w:val="1"/>
      <w:marLeft w:val="0"/>
      <w:marRight w:val="0"/>
      <w:marTop w:val="0"/>
      <w:marBottom w:val="0"/>
      <w:divBdr>
        <w:top w:val="none" w:sz="0" w:space="0" w:color="auto"/>
        <w:left w:val="none" w:sz="0" w:space="0" w:color="auto"/>
        <w:bottom w:val="none" w:sz="0" w:space="0" w:color="auto"/>
        <w:right w:val="none" w:sz="0" w:space="0" w:color="auto"/>
      </w:divBdr>
    </w:div>
    <w:div w:id="1082721008">
      <w:bodyDiv w:val="1"/>
      <w:marLeft w:val="0"/>
      <w:marRight w:val="0"/>
      <w:marTop w:val="0"/>
      <w:marBottom w:val="0"/>
      <w:divBdr>
        <w:top w:val="none" w:sz="0" w:space="0" w:color="auto"/>
        <w:left w:val="none" w:sz="0" w:space="0" w:color="auto"/>
        <w:bottom w:val="none" w:sz="0" w:space="0" w:color="auto"/>
        <w:right w:val="none" w:sz="0" w:space="0" w:color="auto"/>
      </w:divBdr>
    </w:div>
    <w:div w:id="1190140022">
      <w:bodyDiv w:val="1"/>
      <w:marLeft w:val="0"/>
      <w:marRight w:val="0"/>
      <w:marTop w:val="0"/>
      <w:marBottom w:val="0"/>
      <w:divBdr>
        <w:top w:val="none" w:sz="0" w:space="0" w:color="auto"/>
        <w:left w:val="none" w:sz="0" w:space="0" w:color="auto"/>
        <w:bottom w:val="none" w:sz="0" w:space="0" w:color="auto"/>
        <w:right w:val="none" w:sz="0" w:space="0" w:color="auto"/>
      </w:divBdr>
    </w:div>
    <w:div w:id="1481729950">
      <w:bodyDiv w:val="1"/>
      <w:marLeft w:val="0"/>
      <w:marRight w:val="0"/>
      <w:marTop w:val="0"/>
      <w:marBottom w:val="0"/>
      <w:divBdr>
        <w:top w:val="none" w:sz="0" w:space="0" w:color="auto"/>
        <w:left w:val="none" w:sz="0" w:space="0" w:color="auto"/>
        <w:bottom w:val="none" w:sz="0" w:space="0" w:color="auto"/>
        <w:right w:val="none" w:sz="0" w:space="0" w:color="auto"/>
      </w:divBdr>
    </w:div>
    <w:div w:id="1494295457">
      <w:bodyDiv w:val="1"/>
      <w:marLeft w:val="0"/>
      <w:marRight w:val="0"/>
      <w:marTop w:val="0"/>
      <w:marBottom w:val="0"/>
      <w:divBdr>
        <w:top w:val="none" w:sz="0" w:space="0" w:color="auto"/>
        <w:left w:val="none" w:sz="0" w:space="0" w:color="auto"/>
        <w:bottom w:val="none" w:sz="0" w:space="0" w:color="auto"/>
        <w:right w:val="none" w:sz="0" w:space="0" w:color="auto"/>
      </w:divBdr>
    </w:div>
    <w:div w:id="1543906447">
      <w:bodyDiv w:val="1"/>
      <w:marLeft w:val="0"/>
      <w:marRight w:val="0"/>
      <w:marTop w:val="0"/>
      <w:marBottom w:val="0"/>
      <w:divBdr>
        <w:top w:val="none" w:sz="0" w:space="0" w:color="auto"/>
        <w:left w:val="none" w:sz="0" w:space="0" w:color="auto"/>
        <w:bottom w:val="none" w:sz="0" w:space="0" w:color="auto"/>
        <w:right w:val="none" w:sz="0" w:space="0" w:color="auto"/>
      </w:divBdr>
    </w:div>
    <w:div w:id="1547794074">
      <w:bodyDiv w:val="1"/>
      <w:marLeft w:val="0"/>
      <w:marRight w:val="0"/>
      <w:marTop w:val="0"/>
      <w:marBottom w:val="0"/>
      <w:divBdr>
        <w:top w:val="none" w:sz="0" w:space="0" w:color="auto"/>
        <w:left w:val="none" w:sz="0" w:space="0" w:color="auto"/>
        <w:bottom w:val="none" w:sz="0" w:space="0" w:color="auto"/>
        <w:right w:val="none" w:sz="0" w:space="0" w:color="auto"/>
      </w:divBdr>
    </w:div>
    <w:div w:id="1598175567">
      <w:bodyDiv w:val="1"/>
      <w:marLeft w:val="0"/>
      <w:marRight w:val="0"/>
      <w:marTop w:val="0"/>
      <w:marBottom w:val="0"/>
      <w:divBdr>
        <w:top w:val="none" w:sz="0" w:space="0" w:color="auto"/>
        <w:left w:val="none" w:sz="0" w:space="0" w:color="auto"/>
        <w:bottom w:val="none" w:sz="0" w:space="0" w:color="auto"/>
        <w:right w:val="none" w:sz="0" w:space="0" w:color="auto"/>
      </w:divBdr>
    </w:div>
    <w:div w:id="1633443937">
      <w:bodyDiv w:val="1"/>
      <w:marLeft w:val="0"/>
      <w:marRight w:val="0"/>
      <w:marTop w:val="0"/>
      <w:marBottom w:val="0"/>
      <w:divBdr>
        <w:top w:val="none" w:sz="0" w:space="0" w:color="auto"/>
        <w:left w:val="none" w:sz="0" w:space="0" w:color="auto"/>
        <w:bottom w:val="none" w:sz="0" w:space="0" w:color="auto"/>
        <w:right w:val="none" w:sz="0" w:space="0" w:color="auto"/>
      </w:divBdr>
    </w:div>
    <w:div w:id="1766225102">
      <w:bodyDiv w:val="1"/>
      <w:marLeft w:val="0"/>
      <w:marRight w:val="0"/>
      <w:marTop w:val="0"/>
      <w:marBottom w:val="0"/>
      <w:divBdr>
        <w:top w:val="none" w:sz="0" w:space="0" w:color="auto"/>
        <w:left w:val="none" w:sz="0" w:space="0" w:color="auto"/>
        <w:bottom w:val="none" w:sz="0" w:space="0" w:color="auto"/>
        <w:right w:val="none" w:sz="0" w:space="0" w:color="auto"/>
      </w:divBdr>
    </w:div>
    <w:div w:id="1841234741">
      <w:bodyDiv w:val="1"/>
      <w:marLeft w:val="0"/>
      <w:marRight w:val="0"/>
      <w:marTop w:val="0"/>
      <w:marBottom w:val="0"/>
      <w:divBdr>
        <w:top w:val="none" w:sz="0" w:space="0" w:color="auto"/>
        <w:left w:val="none" w:sz="0" w:space="0" w:color="auto"/>
        <w:bottom w:val="none" w:sz="0" w:space="0" w:color="auto"/>
        <w:right w:val="none" w:sz="0" w:space="0" w:color="auto"/>
      </w:divBdr>
    </w:div>
    <w:div w:id="1900358387">
      <w:bodyDiv w:val="1"/>
      <w:marLeft w:val="0"/>
      <w:marRight w:val="0"/>
      <w:marTop w:val="0"/>
      <w:marBottom w:val="0"/>
      <w:divBdr>
        <w:top w:val="none" w:sz="0" w:space="0" w:color="auto"/>
        <w:left w:val="none" w:sz="0" w:space="0" w:color="auto"/>
        <w:bottom w:val="none" w:sz="0" w:space="0" w:color="auto"/>
        <w:right w:val="none" w:sz="0" w:space="0" w:color="auto"/>
      </w:divBdr>
    </w:div>
    <w:div w:id="2130078838">
      <w:bodyDiv w:val="1"/>
      <w:marLeft w:val="0"/>
      <w:marRight w:val="0"/>
      <w:marTop w:val="0"/>
      <w:marBottom w:val="0"/>
      <w:divBdr>
        <w:top w:val="none" w:sz="0" w:space="0" w:color="auto"/>
        <w:left w:val="none" w:sz="0" w:space="0" w:color="auto"/>
        <w:bottom w:val="none" w:sz="0" w:space="0" w:color="auto"/>
        <w:right w:val="none" w:sz="0" w:space="0" w:color="auto"/>
      </w:divBdr>
    </w:div>
    <w:div w:id="2131702077">
      <w:bodyDiv w:val="1"/>
      <w:marLeft w:val="0"/>
      <w:marRight w:val="0"/>
      <w:marTop w:val="0"/>
      <w:marBottom w:val="0"/>
      <w:divBdr>
        <w:top w:val="none" w:sz="0" w:space="0" w:color="auto"/>
        <w:left w:val="none" w:sz="0" w:space="0" w:color="auto"/>
        <w:bottom w:val="none" w:sz="0" w:space="0" w:color="auto"/>
        <w:right w:val="none" w:sz="0" w:space="0" w:color="auto"/>
      </w:divBdr>
    </w:div>
    <w:div w:id="214677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lnuevodia.com/negocios/empresas/nota/continuanlasmultasalascompaniasdeseguros-24107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0B5D6-621B-422D-BFAA-8450F85C9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2076</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MarSchmidt</dc:creator>
  <cp:keywords/>
  <cp:lastModifiedBy>Gladys J. Burgos Torres</cp:lastModifiedBy>
  <cp:revision>5</cp:revision>
  <cp:lastPrinted>2025-02-27T23:36:00Z</cp:lastPrinted>
  <dcterms:created xsi:type="dcterms:W3CDTF">2025-02-27T16:10:00Z</dcterms:created>
  <dcterms:modified xsi:type="dcterms:W3CDTF">2025-02-27T23:36:00Z</dcterms:modified>
</cp:coreProperties>
</file>