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Default="003E0277" w:rsidP="00BC63DB">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vertAlign w:val="superscript"/>
          <w:lang w:val="es-PR"/>
        </w:rPr>
        <w:tab/>
      </w:r>
      <w:r>
        <w:rPr>
          <w:rFonts w:ascii="Book Antiqua" w:hAnsi="Book Antiqua"/>
          <w:lang w:val="es-PR"/>
        </w:rPr>
        <w:t>Sesión</w:t>
      </w:r>
    </w:p>
    <w:p w14:paraId="214DBA9D" w14:textId="77777777" w:rsidR="00304ACE" w:rsidRDefault="003E0277" w:rsidP="00BC63DB">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3DFCE563" w14:textId="77777777" w:rsidR="00304ACE" w:rsidRDefault="00304ACE" w:rsidP="00BC63DB">
      <w:pPr>
        <w:rPr>
          <w:rFonts w:ascii="Book Antiqua" w:hAnsi="Book Antiqua"/>
          <w:lang w:val="es-PR"/>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7BA175E5"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8C0794">
        <w:rPr>
          <w:rFonts w:ascii="Book Antiqua" w:hAnsi="Book Antiqua"/>
          <w:b/>
          <w:sz w:val="52"/>
          <w:lang w:val="es-PR"/>
        </w:rPr>
        <w:t>367</w:t>
      </w:r>
    </w:p>
    <w:p w14:paraId="6FC9B738" w14:textId="77777777" w:rsidR="00BC63DB" w:rsidRPr="00BC63DB" w:rsidRDefault="00BC63DB" w:rsidP="00BC63DB">
      <w:pPr>
        <w:jc w:val="center"/>
        <w:rPr>
          <w:rFonts w:ascii="Book Antiqua" w:hAnsi="Book Antiqua"/>
          <w:b/>
          <w:szCs w:val="24"/>
          <w:lang w:val="es-PR"/>
        </w:rPr>
      </w:pPr>
    </w:p>
    <w:p w14:paraId="06D4957B" w14:textId="0908640A" w:rsidR="00304ACE" w:rsidRDefault="008C0794" w:rsidP="00BC63DB">
      <w:pPr>
        <w:jc w:val="center"/>
        <w:rPr>
          <w:rFonts w:ascii="Book Antiqua" w:hAnsi="Book Antiqua"/>
          <w:lang w:val="es-PR"/>
        </w:rPr>
      </w:pPr>
      <w:r>
        <w:rPr>
          <w:rFonts w:ascii="Book Antiqua" w:hAnsi="Book Antiqua"/>
          <w:lang w:val="es-PR"/>
        </w:rPr>
        <w:t>27</w:t>
      </w:r>
      <w:r w:rsidR="004C6DDD">
        <w:rPr>
          <w:rFonts w:ascii="Book Antiqua" w:hAnsi="Book Antiqua"/>
          <w:lang w:val="es-PR"/>
        </w:rPr>
        <w:t xml:space="preserve"> DE FEBRERO</w:t>
      </w:r>
      <w:r w:rsidR="00BC63DB">
        <w:rPr>
          <w:rFonts w:ascii="Book Antiqua" w:hAnsi="Book Antiqua"/>
          <w:lang w:val="es-PR"/>
        </w:rPr>
        <w:t xml:space="preserve"> 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Franqui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6B24706B"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3C53AC">
        <w:rPr>
          <w:rFonts w:ascii="Book Antiqua" w:hAnsi="Book Antiqua"/>
          <w:iCs/>
          <w:lang w:val="es-PR"/>
        </w:rPr>
        <w:t>la Comisión de Gobierno</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59DD631A" w14:textId="655898BD" w:rsidR="00EF41FF" w:rsidRDefault="003E0277" w:rsidP="00EF41FF">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szCs w:val="24"/>
          <w:lang w:val="es-PR"/>
        </w:rPr>
        <w:t xml:space="preserve">Para </w:t>
      </w:r>
      <w:r w:rsidR="00EF41FF">
        <w:rPr>
          <w:rFonts w:ascii="Book Antiqua" w:eastAsia="Book Antiqua" w:hAnsi="Book Antiqua" w:cs="Book Antiqua"/>
          <w:color w:val="000000" w:themeColor="text1"/>
          <w:lang w:val="es-PR"/>
        </w:rPr>
        <w:t xml:space="preserve">añadir un nuevo </w:t>
      </w:r>
      <w:r w:rsidR="007A1F79">
        <w:rPr>
          <w:rFonts w:ascii="Book Antiqua" w:eastAsia="Book Antiqua" w:hAnsi="Book Antiqua" w:cs="Book Antiqua"/>
          <w:color w:val="000000" w:themeColor="text1"/>
          <w:lang w:val="es-PR"/>
        </w:rPr>
        <w:t xml:space="preserve">Artículo </w:t>
      </w:r>
      <w:r w:rsidR="00EF41FF">
        <w:rPr>
          <w:rFonts w:ascii="Book Antiqua" w:eastAsia="Book Antiqua" w:hAnsi="Book Antiqua" w:cs="Book Antiqua"/>
          <w:color w:val="000000" w:themeColor="text1"/>
          <w:lang w:val="es-PR"/>
        </w:rPr>
        <w:t xml:space="preserve">2 </w:t>
      </w:r>
      <w:r w:rsidR="007A1F79">
        <w:rPr>
          <w:rFonts w:ascii="Book Antiqua" w:eastAsia="Book Antiqua" w:hAnsi="Book Antiqua" w:cs="Book Antiqua"/>
          <w:color w:val="000000" w:themeColor="text1"/>
          <w:lang w:val="es-PR"/>
        </w:rPr>
        <w:t>y</w:t>
      </w:r>
      <w:r w:rsidR="00EF41FF">
        <w:rPr>
          <w:rFonts w:ascii="Book Antiqua" w:eastAsia="Book Antiqua" w:hAnsi="Book Antiqua" w:cs="Book Antiqua"/>
          <w:color w:val="000000" w:themeColor="text1"/>
          <w:lang w:val="es-PR"/>
        </w:rPr>
        <w:t xml:space="preserve"> renumerar los actuales Artículos 2, 3 y 4 </w:t>
      </w:r>
      <w:r w:rsidR="007A1F79">
        <w:rPr>
          <w:rFonts w:ascii="Book Antiqua" w:eastAsia="Book Antiqua" w:hAnsi="Book Antiqua" w:cs="Book Antiqua"/>
          <w:color w:val="000000" w:themeColor="text1"/>
          <w:lang w:val="es-PR"/>
        </w:rPr>
        <w:t xml:space="preserve">como Artículo 3, 4 y 5 </w:t>
      </w:r>
      <w:r w:rsidR="00EF41FF">
        <w:rPr>
          <w:rFonts w:ascii="Book Antiqua" w:eastAsia="Book Antiqua" w:hAnsi="Book Antiqua" w:cs="Book Antiqua"/>
          <w:color w:val="000000" w:themeColor="text1"/>
          <w:lang w:val="es-PR"/>
        </w:rPr>
        <w:t xml:space="preserve">de la Ley Núm. 18 de 30 de octubre de 1975 con el fin de crear el Registro de </w:t>
      </w:r>
      <w:r w:rsidR="00FF3058">
        <w:rPr>
          <w:rFonts w:ascii="Book Antiqua" w:eastAsia="Book Antiqua" w:hAnsi="Book Antiqua" w:cs="Book Antiqua"/>
          <w:color w:val="000000" w:themeColor="text1"/>
          <w:lang w:val="es-PR"/>
        </w:rPr>
        <w:t>C</w:t>
      </w:r>
      <w:r w:rsidR="00EF41FF">
        <w:rPr>
          <w:rFonts w:ascii="Book Antiqua" w:eastAsia="Book Antiqua" w:hAnsi="Book Antiqua" w:cs="Book Antiqua"/>
          <w:color w:val="000000" w:themeColor="text1"/>
          <w:lang w:val="es-PR"/>
        </w:rPr>
        <w:t xml:space="preserve">ontrato de </w:t>
      </w:r>
      <w:r w:rsidR="00FF3058">
        <w:rPr>
          <w:rFonts w:ascii="Book Antiqua" w:eastAsia="Book Antiqua" w:hAnsi="Book Antiqua" w:cs="Book Antiqua"/>
          <w:color w:val="000000" w:themeColor="text1"/>
          <w:lang w:val="es-PR"/>
        </w:rPr>
        <w:t>A</w:t>
      </w:r>
      <w:r w:rsidR="00EF41FF">
        <w:rPr>
          <w:rFonts w:ascii="Book Antiqua" w:eastAsia="Book Antiqua" w:hAnsi="Book Antiqua" w:cs="Book Antiqua"/>
          <w:color w:val="000000" w:themeColor="text1"/>
          <w:lang w:val="es-PR"/>
        </w:rPr>
        <w:t xml:space="preserve">lto </w:t>
      </w:r>
      <w:r w:rsidR="00FF3058">
        <w:rPr>
          <w:rFonts w:ascii="Book Antiqua" w:eastAsia="Book Antiqua" w:hAnsi="Book Antiqua" w:cs="Book Antiqua"/>
          <w:color w:val="000000" w:themeColor="text1"/>
          <w:lang w:val="es-PR"/>
        </w:rPr>
        <w:t>V</w:t>
      </w:r>
      <w:r w:rsidR="00EF41FF">
        <w:rPr>
          <w:rFonts w:ascii="Book Antiqua" w:eastAsia="Book Antiqua" w:hAnsi="Book Antiqua" w:cs="Book Antiqua"/>
          <w:color w:val="000000" w:themeColor="text1"/>
          <w:lang w:val="es-PR"/>
        </w:rPr>
        <w:t xml:space="preserve">olumen del Gobierno de Puerto Rico; enmendar la Ley Núm. 9 de 24 de julio de 1952, según enmendada, para establecer las facultades del Contralor </w:t>
      </w:r>
      <w:r w:rsidR="009D3A1D">
        <w:rPr>
          <w:rFonts w:ascii="Book Antiqua" w:eastAsia="Book Antiqua" w:hAnsi="Book Antiqua" w:cs="Book Antiqua"/>
          <w:color w:val="000000" w:themeColor="text1"/>
          <w:lang w:val="es-PR"/>
        </w:rPr>
        <w:t xml:space="preserve">de Puerto Rico </w:t>
      </w:r>
      <w:r w:rsidR="00EF41FF">
        <w:rPr>
          <w:rFonts w:ascii="Book Antiqua" w:eastAsia="Book Antiqua" w:hAnsi="Book Antiqua" w:cs="Book Antiqua"/>
          <w:color w:val="000000" w:themeColor="text1"/>
          <w:lang w:val="es-PR"/>
        </w:rPr>
        <w:t>sobre</w:t>
      </w:r>
      <w:r w:rsidR="0070056E">
        <w:rPr>
          <w:rFonts w:ascii="Book Antiqua" w:eastAsia="Book Antiqua" w:hAnsi="Book Antiqua" w:cs="Book Antiqua"/>
          <w:color w:val="000000" w:themeColor="text1"/>
          <w:lang w:val="es-PR"/>
        </w:rPr>
        <w:t xml:space="preserve"> este registro</w:t>
      </w:r>
      <w:r w:rsidR="009D3A1D">
        <w:rPr>
          <w:rFonts w:ascii="Book Antiqua" w:eastAsia="Book Antiqua" w:hAnsi="Book Antiqua" w:cs="Book Antiqua"/>
          <w:color w:val="000000" w:themeColor="text1"/>
          <w:lang w:val="es-PR"/>
        </w:rPr>
        <w:t>, realizar correcciones técnicas</w:t>
      </w:r>
      <w:r w:rsidR="00EF41FF">
        <w:rPr>
          <w:rFonts w:ascii="Book Antiqua" w:eastAsia="Book Antiqua" w:hAnsi="Book Antiqua" w:cs="Book Antiqua"/>
          <w:color w:val="000000" w:themeColor="text1"/>
          <w:lang w:val="es-PR"/>
        </w:rPr>
        <w:t>; y para otros fines relacionados.</w:t>
      </w:r>
    </w:p>
    <w:p w14:paraId="1D47C283" w14:textId="77777777" w:rsidR="00EF41FF" w:rsidRDefault="00EF41FF" w:rsidP="00EF41FF">
      <w:pPr>
        <w:ind w:left="540" w:hanging="540"/>
        <w:jc w:val="both"/>
        <w:rPr>
          <w:rFonts w:ascii="Book Antiqua" w:hAnsi="Book Antiqua"/>
          <w:bCs/>
          <w:szCs w:val="24"/>
          <w:lang w:val="es-PR"/>
        </w:rPr>
      </w:pPr>
    </w:p>
    <w:p w14:paraId="6AFF6909" w14:textId="4678A466" w:rsidR="00304ACE" w:rsidRPr="00BC63DB" w:rsidRDefault="003E0277" w:rsidP="00EF41FF">
      <w:pPr>
        <w:ind w:left="540" w:hanging="540"/>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082DA274" w14:textId="10438641" w:rsidR="00EF41FF" w:rsidRDefault="00EF41FF" w:rsidP="00085E15">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Gobierno de Puerto Rico suple su necesidad de bienes y servicios, muchos de ellos especializados contratando</w:t>
      </w:r>
      <w:r w:rsidR="00FF305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proveedores del sector privado</w:t>
      </w:r>
      <w:r w:rsidR="00FF305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 </w:t>
      </w:r>
      <w:r w:rsidR="00FF3058">
        <w:rPr>
          <w:rFonts w:ascii="Book Antiqua" w:eastAsia="Book Antiqua" w:hAnsi="Book Antiqua" w:cs="Book Antiqua"/>
          <w:color w:val="000000" w:themeColor="text1"/>
          <w:lang w:val="es-PR"/>
        </w:rPr>
        <w:t xml:space="preserve">Dichos proveedores son en </w:t>
      </w:r>
      <w:r>
        <w:rPr>
          <w:rFonts w:ascii="Book Antiqua" w:eastAsia="Book Antiqua" w:hAnsi="Book Antiqua" w:cs="Book Antiqua"/>
          <w:color w:val="000000" w:themeColor="text1"/>
          <w:lang w:val="es-PR"/>
        </w:rPr>
        <w:t xml:space="preserve">su gran mayoría hombres y mujeres </w:t>
      </w:r>
      <w:r w:rsidR="00FF3058">
        <w:rPr>
          <w:rFonts w:ascii="Book Antiqua" w:eastAsia="Book Antiqua" w:hAnsi="Book Antiqua" w:cs="Book Antiqua"/>
          <w:color w:val="000000" w:themeColor="text1"/>
          <w:lang w:val="es-PR"/>
        </w:rPr>
        <w:t>profesionales</w:t>
      </w:r>
      <w:r>
        <w:rPr>
          <w:rFonts w:ascii="Book Antiqua" w:eastAsia="Book Antiqua" w:hAnsi="Book Antiqua" w:cs="Book Antiqua"/>
          <w:color w:val="000000" w:themeColor="text1"/>
          <w:lang w:val="es-PR"/>
        </w:rPr>
        <w:t xml:space="preserve">, que a título personal o usando el modelo de la persona jurídica, realizan actividades empresariales para beneficio de ellos, sus familias y nuestra economía. </w:t>
      </w:r>
    </w:p>
    <w:p w14:paraId="59BDF635" w14:textId="60A89BB4" w:rsidR="00EF41FF" w:rsidRDefault="00EF41FF" w:rsidP="00085E15">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Sin embargo, en tiempos recientes hemos visto como muchas personas tienen relaciones contractuales con el Gobierno de mucho valor económico, en cada contrato o en su agregado, lo cual genera suspicacia en el uso de los fondos públicos. </w:t>
      </w:r>
    </w:p>
    <w:p w14:paraId="0518272E" w14:textId="77777777" w:rsidR="00085E15" w:rsidRDefault="00085E15" w:rsidP="00085E15">
      <w:pPr>
        <w:ind w:firstLine="720"/>
        <w:jc w:val="both"/>
        <w:rPr>
          <w:rFonts w:ascii="Book Antiqua" w:eastAsia="Book Antiqua" w:hAnsi="Book Antiqua" w:cs="Book Antiqua"/>
          <w:color w:val="000000" w:themeColor="text1"/>
          <w:lang w:val="es-PR"/>
        </w:rPr>
      </w:pPr>
    </w:p>
    <w:p w14:paraId="679B46B0" w14:textId="5483A539" w:rsidR="00EF41FF" w:rsidRDefault="00EF41FF" w:rsidP="00085E15">
      <w:pPr>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PR"/>
        </w:rPr>
        <w:t xml:space="preserve">Por lo tanto, y con la intención específica de </w:t>
      </w:r>
      <w:r>
        <w:rPr>
          <w:rFonts w:ascii="Book Antiqua" w:hAnsi="Book Antiqua" w:cs="AvenirNextLTPro"/>
          <w:lang w:val="es-ES"/>
        </w:rPr>
        <w:t>maximizar la transparencia y aumentar la confianza pública en nuestro gobierno, mediante la presente creamos el “</w:t>
      </w:r>
      <w:r>
        <w:rPr>
          <w:rFonts w:ascii="Book Antiqua" w:hAnsi="Book Antiqua" w:cs="AvenirNextLTPro-Italic"/>
          <w:lang w:val="es-ES"/>
        </w:rPr>
        <w:t>Registro de Contratistas de Alto Volumen del Gobierno de Puerto Rico”. Este registro, que es una adición al actual Registro de Contratos</w:t>
      </w:r>
      <w:r w:rsidR="0070056E">
        <w:rPr>
          <w:rFonts w:ascii="Book Antiqua" w:hAnsi="Book Antiqua" w:cs="AvenirNextLTPro-Italic"/>
          <w:lang w:val="es-ES"/>
        </w:rPr>
        <w:t xml:space="preserve">. Este </w:t>
      </w:r>
      <w:r>
        <w:rPr>
          <w:rFonts w:ascii="Book Antiqua" w:hAnsi="Book Antiqua" w:cs="AvenirNextLTPro-Italic"/>
          <w:lang w:val="es-ES"/>
        </w:rPr>
        <w:t>también estará adscrito a l</w:t>
      </w:r>
      <w:r>
        <w:rPr>
          <w:rFonts w:ascii="Book Antiqua" w:hAnsi="Book Antiqua" w:cs="AvenirNextLTPro"/>
          <w:lang w:val="es-ES"/>
        </w:rPr>
        <w:t xml:space="preserve">a Oficina del Contralor y en el mismo se divulgará la información </w:t>
      </w:r>
      <w:r w:rsidR="00664F11">
        <w:rPr>
          <w:rFonts w:ascii="Book Antiqua" w:hAnsi="Book Antiqua" w:cs="AvenirNextLTPro"/>
          <w:lang w:val="es-ES"/>
        </w:rPr>
        <w:t xml:space="preserve">de </w:t>
      </w:r>
      <w:r>
        <w:rPr>
          <w:rFonts w:ascii="Book Antiqua" w:hAnsi="Book Antiqua" w:cs="AvenirNextLTPro"/>
          <w:lang w:val="es-ES"/>
        </w:rPr>
        <w:t xml:space="preserve">toda persona, natural o jurídica que con un solo contrato, o con el agregado de varios, reciba más de $500,000 en un mismo año fiscal. </w:t>
      </w:r>
    </w:p>
    <w:p w14:paraId="7FDDED2D" w14:textId="77777777" w:rsidR="00304ACE" w:rsidRPr="00EF41FF" w:rsidRDefault="00304ACE" w:rsidP="00BC63DB">
      <w:pPr>
        <w:rPr>
          <w:rFonts w:ascii="Book Antiqua" w:eastAsia="Book Antiqua" w:hAnsi="Book Antiqua" w:cs="Book Antiqua"/>
          <w:szCs w:val="24"/>
          <w:lang w:val="es-ES"/>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40EC4A11" w14:textId="7BF00B08" w:rsidR="0070056E" w:rsidRDefault="0070056E" w:rsidP="0070056E">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Sección 1.-Se añade un nuevo Artículo 2 a la </w:t>
      </w:r>
      <w:r w:rsidR="00DF623A">
        <w:rPr>
          <w:rFonts w:ascii="Book Antiqua" w:eastAsia="Book Antiqua" w:hAnsi="Book Antiqua" w:cs="Book Antiqua"/>
          <w:color w:val="000000" w:themeColor="text1"/>
          <w:lang w:val="es-PR"/>
        </w:rPr>
        <w:t xml:space="preserve">Ley </w:t>
      </w:r>
      <w:r>
        <w:rPr>
          <w:rFonts w:ascii="Book Antiqua" w:eastAsia="Book Antiqua" w:hAnsi="Book Antiqua" w:cs="Book Antiqua"/>
          <w:color w:val="000000" w:themeColor="text1"/>
          <w:lang w:val="es-PR"/>
        </w:rPr>
        <w:t xml:space="preserve">Núm. 18 de 30 de octubre de 1975, según enmendada, el cual se leerá como sigue: </w:t>
      </w:r>
    </w:p>
    <w:p w14:paraId="43E23296" w14:textId="77777777" w:rsidR="0070056E" w:rsidRDefault="0070056E" w:rsidP="00DD5D7E">
      <w:pPr>
        <w:spacing w:line="480" w:lineRule="auto"/>
        <w:ind w:firstLine="720"/>
        <w:jc w:val="both"/>
        <w:rPr>
          <w:rFonts w:ascii="Book Antiqua" w:eastAsia="Book Antiqua" w:hAnsi="Book Antiqua" w:cs="Book Antiqua"/>
          <w:i/>
          <w:iCs/>
          <w:color w:val="000000" w:themeColor="text1"/>
          <w:lang w:val="es-ES"/>
        </w:rPr>
      </w:pPr>
      <w:r>
        <w:rPr>
          <w:rFonts w:ascii="Book Antiqua" w:eastAsia="Book Antiqua" w:hAnsi="Book Antiqua" w:cs="Book Antiqua"/>
          <w:color w:val="000000" w:themeColor="text1"/>
          <w:lang w:val="es-PR"/>
        </w:rPr>
        <w:t>“</w:t>
      </w:r>
      <w:r>
        <w:rPr>
          <w:rFonts w:ascii="Book Antiqua" w:eastAsia="Book Antiqua" w:hAnsi="Book Antiqua" w:cs="Book Antiqua"/>
          <w:i/>
          <w:iCs/>
          <w:color w:val="000000" w:themeColor="text1"/>
          <w:lang w:val="es-ES"/>
        </w:rPr>
        <w:t>Artículo 2.- Registro de Contratos de Alto Volumen.</w:t>
      </w:r>
    </w:p>
    <w:p w14:paraId="57BB781C" w14:textId="4E56CEE5" w:rsidR="0070056E" w:rsidRDefault="0070056E" w:rsidP="00DD5D7E">
      <w:pPr>
        <w:spacing w:line="480" w:lineRule="auto"/>
        <w:ind w:firstLine="720"/>
        <w:jc w:val="both"/>
        <w:rPr>
          <w:rFonts w:ascii="Book Antiqua" w:eastAsia="Book Antiqua" w:hAnsi="Book Antiqua" w:cs="Book Antiqua"/>
          <w:i/>
          <w:iCs/>
          <w:color w:val="000000" w:themeColor="text1"/>
          <w:lang w:val="es-ES"/>
        </w:rPr>
      </w:pPr>
      <w:r>
        <w:rPr>
          <w:rFonts w:ascii="Book Antiqua" w:eastAsia="Book Antiqua" w:hAnsi="Book Antiqua" w:cs="Book Antiqua"/>
          <w:i/>
          <w:iCs/>
          <w:color w:val="000000" w:themeColor="text1"/>
          <w:lang w:val="es-ES"/>
        </w:rPr>
        <w:t xml:space="preserve">La Oficina del Contralor de Puerto Rico creará el Registro de Contratos de Alto Volumen, el cual será administrado por dicha oficina, de conformidad con la información que reciba de las entidades gubernamentales y las entidades municipales del Gobierno de Puerto Rico de conformidad con el Artículo 1 de </w:t>
      </w:r>
      <w:r w:rsidR="007857D2">
        <w:rPr>
          <w:rFonts w:ascii="Book Antiqua" w:eastAsia="Book Antiqua" w:hAnsi="Book Antiqua" w:cs="Book Antiqua"/>
          <w:i/>
          <w:iCs/>
          <w:color w:val="000000" w:themeColor="text1"/>
          <w:lang w:val="es-ES"/>
        </w:rPr>
        <w:t>esta Ley</w:t>
      </w:r>
      <w:r>
        <w:rPr>
          <w:rFonts w:ascii="Book Antiqua" w:eastAsia="Book Antiqua" w:hAnsi="Book Antiqua" w:cs="Book Antiqua"/>
          <w:i/>
          <w:iCs/>
          <w:color w:val="000000" w:themeColor="text1"/>
          <w:lang w:val="es-ES"/>
        </w:rPr>
        <w:t xml:space="preserve">. </w:t>
      </w:r>
    </w:p>
    <w:p w14:paraId="4DFBBF49" w14:textId="0DCB51D6" w:rsidR="0070056E" w:rsidRDefault="0070056E" w:rsidP="00DD5D7E">
      <w:pPr>
        <w:spacing w:line="480" w:lineRule="auto"/>
        <w:ind w:firstLine="720"/>
        <w:jc w:val="both"/>
        <w:rPr>
          <w:rFonts w:ascii="Book Antiqua" w:eastAsia="Book Antiqua" w:hAnsi="Book Antiqua" w:cs="Book Antiqua"/>
          <w:i/>
          <w:iCs/>
          <w:color w:val="000000" w:themeColor="text1"/>
          <w:lang w:val="es-ES"/>
        </w:rPr>
      </w:pPr>
      <w:r>
        <w:rPr>
          <w:rFonts w:ascii="Book Antiqua" w:eastAsia="Book Antiqua" w:hAnsi="Book Antiqua" w:cs="Book Antiqua"/>
          <w:i/>
          <w:iCs/>
          <w:color w:val="000000" w:themeColor="text1"/>
          <w:lang w:val="es-ES"/>
        </w:rPr>
        <w:t>Este Registro de Contratos de Alto Volumen expresará la relación de todo contrato con el Gobierno de Puerto Rico</w:t>
      </w:r>
      <w:r w:rsidR="007857D2">
        <w:rPr>
          <w:rFonts w:ascii="Book Antiqua" w:eastAsia="Book Antiqua" w:hAnsi="Book Antiqua" w:cs="Book Antiqua"/>
          <w:i/>
          <w:iCs/>
          <w:color w:val="000000" w:themeColor="text1"/>
          <w:lang w:val="es-ES"/>
        </w:rPr>
        <w:t xml:space="preserve"> y/o</w:t>
      </w:r>
      <w:r w:rsidR="00DD5D7E">
        <w:rPr>
          <w:rFonts w:ascii="Book Antiqua" w:eastAsia="Book Antiqua" w:hAnsi="Book Antiqua" w:cs="Book Antiqua"/>
          <w:i/>
          <w:iCs/>
          <w:color w:val="000000" w:themeColor="text1"/>
          <w:lang w:val="es-ES"/>
        </w:rPr>
        <w:t xml:space="preserve"> Gobiernos Municipales</w:t>
      </w:r>
      <w:r>
        <w:rPr>
          <w:rFonts w:ascii="Book Antiqua" w:eastAsia="Book Antiqua" w:hAnsi="Book Antiqua" w:cs="Book Antiqua"/>
          <w:i/>
          <w:iCs/>
          <w:color w:val="000000" w:themeColor="text1"/>
          <w:lang w:val="es-ES"/>
        </w:rPr>
        <w:t xml:space="preserve"> </w:t>
      </w:r>
      <w:r w:rsidR="007857D2">
        <w:rPr>
          <w:rFonts w:ascii="Book Antiqua" w:eastAsia="Book Antiqua" w:hAnsi="Book Antiqua" w:cs="Book Antiqua"/>
          <w:i/>
          <w:iCs/>
          <w:color w:val="000000" w:themeColor="text1"/>
          <w:lang w:val="es-ES"/>
        </w:rPr>
        <w:t>según se incluye</w:t>
      </w:r>
      <w:r>
        <w:rPr>
          <w:rFonts w:ascii="Book Antiqua" w:eastAsia="Book Antiqua" w:hAnsi="Book Antiqua" w:cs="Book Antiqua"/>
          <w:i/>
          <w:iCs/>
          <w:color w:val="000000" w:themeColor="text1"/>
          <w:lang w:val="es-ES"/>
        </w:rPr>
        <w:t xml:space="preserve"> en el Registro de Contratos de la Oficina del Contralor cuya cantidad total</w:t>
      </w:r>
      <w:r w:rsidR="007857D2">
        <w:rPr>
          <w:lang w:val="es-ES"/>
        </w:rPr>
        <w:t xml:space="preserve">, </w:t>
      </w:r>
      <w:r w:rsidR="007857D2">
        <w:rPr>
          <w:rFonts w:ascii="Book Antiqua" w:eastAsia="Book Antiqua" w:hAnsi="Book Antiqua" w:cs="Book Antiqua"/>
          <w:i/>
          <w:iCs/>
          <w:color w:val="000000" w:themeColor="text1"/>
          <w:lang w:val="es-ES"/>
        </w:rPr>
        <w:t>de</w:t>
      </w:r>
      <w:r w:rsidR="007857D2" w:rsidRPr="007857D2">
        <w:rPr>
          <w:rFonts w:ascii="Book Antiqua" w:eastAsia="Book Antiqua" w:hAnsi="Book Antiqua" w:cs="Book Antiqua"/>
          <w:i/>
          <w:iCs/>
          <w:color w:val="000000" w:themeColor="text1"/>
          <w:lang w:val="es-ES"/>
        </w:rPr>
        <w:t xml:space="preserve"> un solo contrato</w:t>
      </w:r>
      <w:r w:rsidR="007857D2">
        <w:rPr>
          <w:rFonts w:ascii="Book Antiqua" w:eastAsia="Book Antiqua" w:hAnsi="Book Antiqua" w:cs="Book Antiqua"/>
          <w:i/>
          <w:iCs/>
          <w:color w:val="000000" w:themeColor="text1"/>
          <w:lang w:val="es-ES"/>
        </w:rPr>
        <w:t xml:space="preserve"> </w:t>
      </w:r>
      <w:r w:rsidR="007857D2" w:rsidRPr="007857D2">
        <w:rPr>
          <w:rFonts w:ascii="Book Antiqua" w:eastAsia="Book Antiqua" w:hAnsi="Book Antiqua" w:cs="Book Antiqua"/>
          <w:i/>
          <w:iCs/>
          <w:color w:val="000000" w:themeColor="text1"/>
          <w:lang w:val="es-ES"/>
        </w:rPr>
        <w:t xml:space="preserve">o con </w:t>
      </w:r>
      <w:r w:rsidR="007857D2">
        <w:rPr>
          <w:rFonts w:ascii="Book Antiqua" w:eastAsia="Book Antiqua" w:hAnsi="Book Antiqua" w:cs="Book Antiqua"/>
          <w:i/>
          <w:iCs/>
          <w:color w:val="000000" w:themeColor="text1"/>
          <w:lang w:val="es-ES"/>
        </w:rPr>
        <w:t>la suma</w:t>
      </w:r>
      <w:r w:rsidR="007857D2" w:rsidRPr="007857D2">
        <w:rPr>
          <w:rFonts w:ascii="Book Antiqua" w:eastAsia="Book Antiqua" w:hAnsi="Book Antiqua" w:cs="Book Antiqua"/>
          <w:i/>
          <w:iCs/>
          <w:color w:val="000000" w:themeColor="text1"/>
          <w:lang w:val="es-ES"/>
        </w:rPr>
        <w:t xml:space="preserve"> de varios</w:t>
      </w:r>
      <w:r>
        <w:rPr>
          <w:rFonts w:ascii="Book Antiqua" w:eastAsia="Book Antiqua" w:hAnsi="Book Antiqua" w:cs="Book Antiqua"/>
          <w:i/>
          <w:iCs/>
          <w:color w:val="000000" w:themeColor="text1"/>
          <w:lang w:val="es-ES"/>
        </w:rPr>
        <w:t xml:space="preserve"> </w:t>
      </w:r>
      <w:r w:rsidR="007857D2">
        <w:rPr>
          <w:rFonts w:ascii="Book Antiqua" w:eastAsia="Book Antiqua" w:hAnsi="Book Antiqua" w:cs="Book Antiqua"/>
          <w:i/>
          <w:iCs/>
          <w:color w:val="000000" w:themeColor="text1"/>
          <w:lang w:val="es-ES"/>
        </w:rPr>
        <w:t xml:space="preserve">contratos, </w:t>
      </w:r>
      <w:r>
        <w:rPr>
          <w:rFonts w:ascii="Book Antiqua" w:eastAsia="Book Antiqua" w:hAnsi="Book Antiqua" w:cs="Book Antiqua"/>
          <w:i/>
          <w:iCs/>
          <w:color w:val="000000" w:themeColor="text1"/>
          <w:lang w:val="es-ES"/>
        </w:rPr>
        <w:t xml:space="preserve">exceda los quinientos mil dólares ($500,000.00) por año fiscal. </w:t>
      </w:r>
    </w:p>
    <w:p w14:paraId="6C903300" w14:textId="4E59ABB1" w:rsidR="002A6E05" w:rsidRDefault="002A6E05" w:rsidP="00DD5D7E">
      <w:pPr>
        <w:spacing w:line="480" w:lineRule="auto"/>
        <w:ind w:firstLine="720"/>
        <w:jc w:val="both"/>
        <w:rPr>
          <w:rFonts w:ascii="Book Antiqua" w:hAnsi="Book Antiqua" w:cs="AvenirNextLTPro"/>
          <w:i/>
          <w:iCs/>
          <w:lang w:val="es-ES"/>
        </w:rPr>
      </w:pPr>
      <w:r>
        <w:rPr>
          <w:rFonts w:ascii="Book Antiqua" w:eastAsia="Book Antiqua" w:hAnsi="Book Antiqua" w:cs="Book Antiqua"/>
          <w:i/>
          <w:iCs/>
          <w:color w:val="000000" w:themeColor="text1"/>
          <w:lang w:val="es-ES"/>
        </w:rPr>
        <w:t xml:space="preserve">Este </w:t>
      </w:r>
      <w:r w:rsidR="007A1F79">
        <w:rPr>
          <w:rFonts w:ascii="Book Antiqua" w:eastAsia="Book Antiqua" w:hAnsi="Book Antiqua" w:cs="Book Antiqua"/>
          <w:i/>
          <w:iCs/>
          <w:color w:val="000000" w:themeColor="text1"/>
          <w:lang w:val="es-ES"/>
        </w:rPr>
        <w:t>Registro deberá</w:t>
      </w:r>
      <w:r>
        <w:rPr>
          <w:rFonts w:ascii="Book Antiqua" w:eastAsia="Book Antiqua" w:hAnsi="Book Antiqua" w:cs="Book Antiqua"/>
          <w:i/>
          <w:iCs/>
          <w:color w:val="000000" w:themeColor="text1"/>
          <w:lang w:val="es-ES"/>
        </w:rPr>
        <w:t xml:space="preserve"> incluir, sin limitarse</w:t>
      </w:r>
      <w:r w:rsidR="0070056E">
        <w:rPr>
          <w:rFonts w:ascii="Book Antiqua" w:eastAsia="Book Antiqua" w:hAnsi="Book Antiqua" w:cs="Book Antiqua"/>
          <w:i/>
          <w:iCs/>
          <w:color w:val="000000" w:themeColor="text1"/>
          <w:lang w:val="es-ES"/>
        </w:rPr>
        <w:t xml:space="preserve">: nombre de la persona natural o jurídica que ofrece los servicios, tipo de servicios o bienes a ofrecer a cualquier entidad gubernamental o entidad municipal, </w:t>
      </w:r>
      <w:r>
        <w:rPr>
          <w:rFonts w:ascii="Book Antiqua" w:eastAsia="Book Antiqua" w:hAnsi="Book Antiqua" w:cs="Book Antiqua"/>
          <w:i/>
          <w:iCs/>
          <w:color w:val="000000" w:themeColor="text1"/>
          <w:lang w:val="es-ES"/>
        </w:rPr>
        <w:t>vigencia</w:t>
      </w:r>
      <w:r w:rsidR="0070056E">
        <w:rPr>
          <w:rFonts w:ascii="Book Antiqua" w:eastAsia="Book Antiqua" w:hAnsi="Book Antiqua" w:cs="Book Antiqua"/>
          <w:i/>
          <w:iCs/>
          <w:color w:val="000000" w:themeColor="text1"/>
          <w:lang w:val="es-ES"/>
        </w:rPr>
        <w:t xml:space="preserve"> de la obligación, compensación total de la contratación, relación de todos los </w:t>
      </w:r>
      <w:r w:rsidR="0070056E">
        <w:rPr>
          <w:rFonts w:ascii="Book Antiqua" w:eastAsia="Book Antiqua" w:hAnsi="Book Antiqua" w:cs="Book Antiqua"/>
          <w:i/>
          <w:iCs/>
          <w:color w:val="000000" w:themeColor="text1"/>
          <w:lang w:val="es-ES"/>
        </w:rPr>
        <w:lastRenderedPageBreak/>
        <w:t xml:space="preserve">contratos de esa persona natural o </w:t>
      </w:r>
      <w:r w:rsidR="007A1F79">
        <w:rPr>
          <w:rFonts w:ascii="Book Antiqua" w:eastAsia="Book Antiqua" w:hAnsi="Book Antiqua" w:cs="Book Antiqua"/>
          <w:i/>
          <w:iCs/>
          <w:color w:val="000000" w:themeColor="text1"/>
          <w:lang w:val="es-ES"/>
        </w:rPr>
        <w:t>jurídica,</w:t>
      </w:r>
      <w:r w:rsidR="0070056E">
        <w:rPr>
          <w:rFonts w:ascii="Book Antiqua" w:eastAsia="Book Antiqua" w:hAnsi="Book Antiqua" w:cs="Book Antiqua"/>
          <w:i/>
          <w:iCs/>
          <w:color w:val="000000" w:themeColor="text1"/>
          <w:lang w:val="es-ES"/>
        </w:rPr>
        <w:t xml:space="preserve"> </w:t>
      </w:r>
      <w:r w:rsidR="0070056E">
        <w:rPr>
          <w:rFonts w:ascii="Book Antiqua" w:hAnsi="Book Antiqua" w:cs="AvenirNextLTPro"/>
          <w:i/>
          <w:iCs/>
          <w:lang w:val="es-ES"/>
        </w:rPr>
        <w:t>la identidad de sus accionistas, propietarios y beneficiarios, y compañías afiliadas o relacionadas</w:t>
      </w:r>
      <w:r>
        <w:rPr>
          <w:rFonts w:ascii="Book Antiqua" w:hAnsi="Book Antiqua" w:cs="AvenirNextLTPro"/>
          <w:i/>
          <w:iCs/>
          <w:lang w:val="es-ES"/>
        </w:rPr>
        <w:t xml:space="preserve">. </w:t>
      </w:r>
    </w:p>
    <w:p w14:paraId="2C3EC11D" w14:textId="77777777" w:rsidR="002A6E05" w:rsidRDefault="002A6E05" w:rsidP="00DD5D7E">
      <w:pPr>
        <w:spacing w:line="480" w:lineRule="auto"/>
        <w:ind w:firstLine="720"/>
        <w:jc w:val="both"/>
        <w:rPr>
          <w:rFonts w:ascii="Book Antiqua" w:eastAsia="Book Antiqua" w:hAnsi="Book Antiqua" w:cs="Book Antiqua"/>
          <w:i/>
          <w:iCs/>
          <w:color w:val="000000" w:themeColor="text1"/>
          <w:lang w:val="es-ES"/>
        </w:rPr>
      </w:pPr>
      <w:r>
        <w:rPr>
          <w:rFonts w:ascii="Book Antiqua" w:eastAsia="Book Antiqua" w:hAnsi="Book Antiqua" w:cs="Book Antiqua"/>
          <w:i/>
          <w:iCs/>
          <w:color w:val="000000" w:themeColor="text1"/>
          <w:lang w:val="es-ES"/>
        </w:rPr>
        <w:t xml:space="preserve">La Oficina del Contralor de Puerto Rico podrá mediante reglamento </w:t>
      </w:r>
      <w:r w:rsidR="0070056E">
        <w:rPr>
          <w:rFonts w:ascii="Book Antiqua" w:eastAsia="Book Antiqua" w:hAnsi="Book Antiqua" w:cs="Book Antiqua"/>
          <w:i/>
          <w:iCs/>
          <w:color w:val="000000" w:themeColor="text1"/>
          <w:lang w:val="es-ES"/>
        </w:rPr>
        <w:t xml:space="preserve">cualquier otra información </w:t>
      </w:r>
      <w:r>
        <w:rPr>
          <w:rFonts w:ascii="Book Antiqua" w:eastAsia="Book Antiqua" w:hAnsi="Book Antiqua" w:cs="Book Antiqua"/>
          <w:i/>
          <w:iCs/>
          <w:color w:val="000000" w:themeColor="text1"/>
          <w:lang w:val="es-ES"/>
        </w:rPr>
        <w:t xml:space="preserve">que </w:t>
      </w:r>
      <w:r w:rsidR="0070056E">
        <w:rPr>
          <w:rFonts w:ascii="Book Antiqua" w:eastAsia="Book Antiqua" w:hAnsi="Book Antiqua" w:cs="Book Antiqua"/>
          <w:i/>
          <w:iCs/>
          <w:color w:val="000000" w:themeColor="text1"/>
          <w:lang w:val="es-ES"/>
        </w:rPr>
        <w:t xml:space="preserve">determine pertinente para cumplir con los propósitos de esta Ley. </w:t>
      </w:r>
    </w:p>
    <w:p w14:paraId="4DE629B0" w14:textId="3A733FE6" w:rsidR="0070056E" w:rsidRDefault="0070056E" w:rsidP="00DD5D7E">
      <w:pPr>
        <w:spacing w:line="480"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i/>
          <w:iCs/>
          <w:color w:val="000000" w:themeColor="text1"/>
          <w:lang w:val="es-ES"/>
        </w:rPr>
        <w:t xml:space="preserve">No obstante, para salvaguardar los derechos de todo ciudadano, la Oficina del Contralor </w:t>
      </w:r>
      <w:r w:rsidR="002A6E05">
        <w:rPr>
          <w:rFonts w:ascii="Book Antiqua" w:eastAsia="Book Antiqua" w:hAnsi="Book Antiqua" w:cs="Book Antiqua"/>
          <w:i/>
          <w:iCs/>
          <w:color w:val="000000" w:themeColor="text1"/>
          <w:lang w:val="es-ES"/>
        </w:rPr>
        <w:t>deberá</w:t>
      </w:r>
      <w:r>
        <w:rPr>
          <w:rFonts w:ascii="Book Antiqua" w:eastAsia="Book Antiqua" w:hAnsi="Book Antiqua" w:cs="Book Antiqua"/>
          <w:i/>
          <w:iCs/>
          <w:color w:val="000000" w:themeColor="text1"/>
          <w:lang w:val="es-ES"/>
        </w:rPr>
        <w:t xml:space="preserve"> determinar qué tipo de información </w:t>
      </w:r>
      <w:r w:rsidR="007A1F79">
        <w:rPr>
          <w:rFonts w:ascii="Book Antiqua" w:eastAsia="Book Antiqua" w:hAnsi="Book Antiqua" w:cs="Book Antiqua"/>
          <w:i/>
          <w:iCs/>
          <w:color w:val="000000" w:themeColor="text1"/>
          <w:lang w:val="es-ES"/>
        </w:rPr>
        <w:t xml:space="preserve">no será pública como parte de dicho registro según ha sido </w:t>
      </w:r>
      <w:r w:rsidR="002A6E05">
        <w:rPr>
          <w:rFonts w:ascii="Book Antiqua" w:eastAsia="Book Antiqua" w:hAnsi="Book Antiqua" w:cs="Book Antiqua"/>
          <w:i/>
          <w:iCs/>
          <w:color w:val="000000" w:themeColor="text1"/>
          <w:lang w:val="es-ES"/>
        </w:rPr>
        <w:t>establecido por el Tribunal Supremo</w:t>
      </w:r>
      <w:r w:rsidR="007A1F79">
        <w:rPr>
          <w:rFonts w:ascii="Book Antiqua" w:eastAsia="Book Antiqua" w:hAnsi="Book Antiqua" w:cs="Book Antiqua"/>
          <w:i/>
          <w:iCs/>
          <w:color w:val="000000" w:themeColor="text1"/>
          <w:lang w:val="es-ES"/>
        </w:rPr>
        <w:t xml:space="preserve"> o las leyes vigentes. Será obligación de la </w:t>
      </w:r>
      <w:r>
        <w:rPr>
          <w:rFonts w:ascii="Book Antiqua" w:eastAsia="Book Antiqua" w:hAnsi="Book Antiqua" w:cs="Book Antiqua"/>
          <w:i/>
          <w:iCs/>
          <w:color w:val="000000" w:themeColor="text1"/>
          <w:lang w:val="es-ES"/>
        </w:rPr>
        <w:t xml:space="preserve">Oficina del Contralor notificar a cada persona natural o jurídica que </w:t>
      </w:r>
      <w:r w:rsidR="007A1F79">
        <w:rPr>
          <w:rFonts w:ascii="Book Antiqua" w:eastAsia="Book Antiqua" w:hAnsi="Book Antiqua" w:cs="Book Antiqua"/>
          <w:i/>
          <w:iCs/>
          <w:color w:val="000000" w:themeColor="text1"/>
          <w:lang w:val="es-ES"/>
        </w:rPr>
        <w:t>sea incluido</w:t>
      </w:r>
      <w:r>
        <w:rPr>
          <w:rFonts w:ascii="Book Antiqua" w:eastAsia="Book Antiqua" w:hAnsi="Book Antiqua" w:cs="Book Antiqua"/>
          <w:i/>
          <w:iCs/>
          <w:color w:val="000000" w:themeColor="text1"/>
          <w:lang w:val="es-ES"/>
        </w:rPr>
        <w:t xml:space="preserve"> en el Registro de Contratos de Alto Volumen.</w:t>
      </w:r>
      <w:r>
        <w:rPr>
          <w:rFonts w:ascii="Book Antiqua" w:eastAsia="Book Antiqua" w:hAnsi="Book Antiqua" w:cs="Book Antiqua"/>
          <w:color w:val="000000" w:themeColor="text1"/>
          <w:lang w:val="es-ES"/>
        </w:rPr>
        <w:t>”</w:t>
      </w:r>
    </w:p>
    <w:p w14:paraId="11DA1A6F" w14:textId="66C0CCEF" w:rsidR="0070056E" w:rsidRDefault="0070056E" w:rsidP="0070056E">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Sección 2.-</w:t>
      </w:r>
      <w:r>
        <w:rPr>
          <w:color w:val="000000" w:themeColor="text1"/>
          <w:lang w:val="es-PR"/>
        </w:rPr>
        <w:t xml:space="preserve"> </w:t>
      </w:r>
      <w:r>
        <w:rPr>
          <w:rFonts w:ascii="Book Antiqua" w:eastAsia="Book Antiqua" w:hAnsi="Book Antiqua" w:cs="Book Antiqua"/>
          <w:color w:val="000000" w:themeColor="text1"/>
          <w:lang w:val="es-PR"/>
        </w:rPr>
        <w:t xml:space="preserve">Se </w:t>
      </w:r>
      <w:r w:rsidR="007A1F79">
        <w:rPr>
          <w:rFonts w:ascii="Book Antiqua" w:eastAsia="Book Antiqua" w:hAnsi="Book Antiqua" w:cs="Book Antiqua"/>
          <w:color w:val="000000" w:themeColor="text1"/>
          <w:lang w:val="es-PR"/>
        </w:rPr>
        <w:t xml:space="preserve">enmiendan y se </w:t>
      </w:r>
      <w:r>
        <w:rPr>
          <w:rFonts w:ascii="Book Antiqua" w:eastAsia="Book Antiqua" w:hAnsi="Book Antiqua" w:cs="Book Antiqua"/>
          <w:color w:val="000000" w:themeColor="text1"/>
          <w:lang w:val="es-PR"/>
        </w:rPr>
        <w:t xml:space="preserve">renumeran </w:t>
      </w:r>
      <w:r w:rsidR="007A1F79">
        <w:rPr>
          <w:rFonts w:ascii="Book Antiqua" w:eastAsia="Book Antiqua" w:hAnsi="Book Antiqua" w:cs="Book Antiqua"/>
          <w:color w:val="000000" w:themeColor="text1"/>
          <w:lang w:val="es-PR"/>
        </w:rPr>
        <w:t>los actuales Artículos 2, 3 y 4 como Artículo 3, 4 y 5 de la Ley</w:t>
      </w:r>
      <w:r>
        <w:rPr>
          <w:rFonts w:ascii="Book Antiqua" w:eastAsia="Book Antiqua" w:hAnsi="Book Antiqua" w:cs="Book Antiqua"/>
          <w:color w:val="000000" w:themeColor="text1"/>
          <w:lang w:val="es-PR"/>
        </w:rPr>
        <w:t xml:space="preserve"> Núm. 18 de 30 de octubre de 1975, según enmendada, para que se lean como sigue:</w:t>
      </w:r>
    </w:p>
    <w:p w14:paraId="7734D176" w14:textId="77777777" w:rsidR="0070056E" w:rsidRDefault="0070056E" w:rsidP="0070056E">
      <w:pPr>
        <w:spacing w:line="480" w:lineRule="auto"/>
        <w:ind w:firstLine="720"/>
        <w:jc w:val="both"/>
        <w:rPr>
          <w:rFonts w:ascii="Book Antiqua" w:eastAsia="Book Antiqua" w:hAnsi="Book Antiqua" w:cs="Book Antiqua"/>
          <w:i/>
          <w:iCs/>
          <w:color w:val="000000" w:themeColor="text1"/>
          <w:lang w:val="es-PR"/>
        </w:rPr>
      </w:pPr>
      <w:r>
        <w:rPr>
          <w:rFonts w:ascii="Book Antiqua" w:eastAsia="Book Antiqua" w:hAnsi="Book Antiqua" w:cs="Book Antiqua"/>
          <w:color w:val="000000" w:themeColor="text1"/>
          <w:lang w:val="es-PR"/>
        </w:rPr>
        <w:t xml:space="preserve">“Artículo </w:t>
      </w:r>
      <w:r>
        <w:rPr>
          <w:rFonts w:ascii="Book Antiqua" w:eastAsia="Book Antiqua" w:hAnsi="Book Antiqua" w:cs="Book Antiqua"/>
          <w:b/>
          <w:bCs/>
          <w:color w:val="000000" w:themeColor="text1"/>
          <w:lang w:val="es-PR"/>
        </w:rPr>
        <w:t xml:space="preserve">[2] </w:t>
      </w:r>
      <w:r>
        <w:rPr>
          <w:rFonts w:ascii="Book Antiqua" w:eastAsia="Book Antiqua" w:hAnsi="Book Antiqua" w:cs="Book Antiqua"/>
          <w:i/>
          <w:iCs/>
          <w:color w:val="000000" w:themeColor="text1"/>
          <w:lang w:val="es-PR"/>
        </w:rPr>
        <w:t>3</w:t>
      </w:r>
      <w:r>
        <w:rPr>
          <w:rFonts w:ascii="Book Antiqua" w:eastAsia="Book Antiqua" w:hAnsi="Book Antiqua" w:cs="Book Antiqua"/>
          <w:color w:val="000000" w:themeColor="text1"/>
          <w:lang w:val="es-PR"/>
        </w:rPr>
        <w:t xml:space="preserve">. — </w:t>
      </w:r>
      <w:r>
        <w:rPr>
          <w:rFonts w:ascii="Book Antiqua" w:eastAsia="Book Antiqua" w:hAnsi="Book Antiqua" w:cs="Book Antiqua"/>
          <w:i/>
          <w:iCs/>
          <w:color w:val="000000" w:themeColor="text1"/>
          <w:lang w:val="es-PR"/>
        </w:rPr>
        <w:t>Obligación para toda entidad gubernamental municipal en Puerto Rico</w:t>
      </w:r>
    </w:p>
    <w:p w14:paraId="4054A476" w14:textId="77777777" w:rsidR="0070056E" w:rsidRDefault="0070056E" w:rsidP="0070056E">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Todos los departamentos, agencias, instrumentalidades, oficinas y todo otro organismo y los municipios del </w:t>
      </w:r>
      <w:r>
        <w:rPr>
          <w:rFonts w:ascii="Book Antiqua" w:eastAsia="Book Antiqua" w:hAnsi="Book Antiqua" w:cs="Book Antiqua"/>
          <w:b/>
          <w:bCs/>
          <w:color w:val="000000" w:themeColor="text1"/>
          <w:lang w:val="es-PR"/>
        </w:rPr>
        <w:t>[Estado Libre Asociado]</w:t>
      </w:r>
      <w:r>
        <w:rPr>
          <w:rFonts w:ascii="Book Antiqua" w:eastAsia="Book Antiqua" w:hAnsi="Book Antiqua" w:cs="Book Antiqua"/>
          <w:color w:val="000000" w:themeColor="text1"/>
          <w:lang w:val="es-PR"/>
        </w:rPr>
        <w:t xml:space="preserve"> </w:t>
      </w:r>
      <w:r>
        <w:rPr>
          <w:rFonts w:ascii="Book Antiqua" w:eastAsia="Book Antiqua" w:hAnsi="Book Antiqua" w:cs="Book Antiqua"/>
          <w:i/>
          <w:iCs/>
          <w:color w:val="000000" w:themeColor="text1"/>
          <w:lang w:val="es-PR"/>
        </w:rPr>
        <w:t>Gobierno de Puerto Rico</w:t>
      </w:r>
      <w:r>
        <w:rPr>
          <w:rFonts w:ascii="Book Antiqua" w:eastAsia="Book Antiqua" w:hAnsi="Book Antiqua" w:cs="Book Antiqua"/>
          <w:color w:val="000000" w:themeColor="text1"/>
          <w:lang w:val="es-PR"/>
        </w:rPr>
        <w:t xml:space="preserve"> deberán, dentro de los sesenta (60) días de la aprobación de esta ley, radicar en la Oficina del Contralor aquellos contratos previamente otorgados y aún vigentes.</w:t>
      </w:r>
    </w:p>
    <w:p w14:paraId="0A3621CE" w14:textId="77777777" w:rsidR="0070056E" w:rsidRDefault="0070056E" w:rsidP="0070056E">
      <w:pPr>
        <w:spacing w:line="480" w:lineRule="auto"/>
        <w:ind w:firstLine="720"/>
        <w:jc w:val="both"/>
        <w:rPr>
          <w:rFonts w:ascii="Book Antiqua" w:eastAsia="Book Antiqua" w:hAnsi="Book Antiqua" w:cs="Book Antiqua"/>
          <w:i/>
          <w:iCs/>
          <w:color w:val="000000" w:themeColor="text1"/>
          <w:lang w:val="es-PR"/>
        </w:rPr>
      </w:pPr>
      <w:r>
        <w:rPr>
          <w:rFonts w:ascii="Book Antiqua" w:eastAsia="Book Antiqua" w:hAnsi="Book Antiqua" w:cs="Book Antiqua"/>
          <w:color w:val="000000" w:themeColor="text1"/>
          <w:lang w:val="es-PR"/>
        </w:rPr>
        <w:t xml:space="preserve">Artículo </w:t>
      </w:r>
      <w:r>
        <w:rPr>
          <w:rFonts w:ascii="Book Antiqua" w:eastAsia="Book Antiqua" w:hAnsi="Book Antiqua" w:cs="Book Antiqua"/>
          <w:b/>
          <w:bCs/>
          <w:color w:val="000000" w:themeColor="text1"/>
          <w:lang w:val="es-PR"/>
        </w:rPr>
        <w:t>[3]</w:t>
      </w:r>
      <w:r>
        <w:rPr>
          <w:rFonts w:ascii="Book Antiqua" w:eastAsia="Book Antiqua" w:hAnsi="Book Antiqua" w:cs="Book Antiqua"/>
          <w:color w:val="000000" w:themeColor="text1"/>
          <w:lang w:val="es-PR"/>
        </w:rPr>
        <w:t xml:space="preserve"> </w:t>
      </w:r>
      <w:r>
        <w:rPr>
          <w:rFonts w:ascii="Book Antiqua" w:eastAsia="Book Antiqua" w:hAnsi="Book Antiqua" w:cs="Book Antiqua"/>
          <w:i/>
          <w:iCs/>
          <w:color w:val="000000" w:themeColor="text1"/>
          <w:lang w:val="es-PR"/>
        </w:rPr>
        <w:t>4</w:t>
      </w:r>
      <w:r>
        <w:rPr>
          <w:rFonts w:ascii="Book Antiqua" w:eastAsia="Book Antiqua" w:hAnsi="Book Antiqua" w:cs="Book Antiqua"/>
          <w:color w:val="000000" w:themeColor="text1"/>
          <w:lang w:val="es-PR"/>
        </w:rPr>
        <w:t xml:space="preserve">. — </w:t>
      </w:r>
      <w:r>
        <w:rPr>
          <w:rFonts w:ascii="Book Antiqua" w:eastAsia="Book Antiqua" w:hAnsi="Book Antiqua" w:cs="Book Antiqua"/>
          <w:i/>
          <w:iCs/>
          <w:color w:val="000000" w:themeColor="text1"/>
          <w:lang w:val="es-PR"/>
        </w:rPr>
        <w:t>Facultad de reglamentar.</w:t>
      </w:r>
    </w:p>
    <w:p w14:paraId="59BB94A1" w14:textId="77777777" w:rsidR="0070056E" w:rsidRDefault="0070056E" w:rsidP="0070056E">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 faculta al Contralor de Puerto Rico a preparar y adoptar un reglamento a los fines del adecuado cumplimiento e implementación de las disposiciones de esta ley. </w:t>
      </w:r>
      <w:r>
        <w:rPr>
          <w:rFonts w:ascii="Book Antiqua" w:eastAsia="Book Antiqua" w:hAnsi="Book Antiqua" w:cs="Book Antiqua"/>
          <w:i/>
          <w:iCs/>
          <w:color w:val="000000" w:themeColor="text1"/>
          <w:lang w:val="es-PR"/>
        </w:rPr>
        <w:t>Dicho reglamento incluirá las normas del Registro de Contratos de Alto Volumen</w:t>
      </w:r>
      <w:r>
        <w:rPr>
          <w:rFonts w:ascii="Book Antiqua" w:eastAsia="Book Antiqua" w:hAnsi="Book Antiqua" w:cs="Book Antiqua"/>
          <w:color w:val="000000" w:themeColor="text1"/>
          <w:lang w:val="es-PR"/>
        </w:rPr>
        <w:t>.”</w:t>
      </w:r>
    </w:p>
    <w:p w14:paraId="0C41D88E" w14:textId="77777777" w:rsidR="0070056E" w:rsidRDefault="0070056E" w:rsidP="0070056E">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Artículo [4] </w:t>
      </w:r>
      <w:r>
        <w:rPr>
          <w:rFonts w:ascii="Book Antiqua" w:eastAsia="Book Antiqua" w:hAnsi="Book Antiqua" w:cs="Book Antiqua"/>
          <w:i/>
          <w:iCs/>
          <w:color w:val="000000" w:themeColor="text1"/>
          <w:lang w:val="es-PR"/>
        </w:rPr>
        <w:t>5</w:t>
      </w:r>
      <w:r>
        <w:rPr>
          <w:rFonts w:ascii="Book Antiqua" w:eastAsia="Book Antiqua" w:hAnsi="Book Antiqua" w:cs="Book Antiqua"/>
          <w:color w:val="000000" w:themeColor="text1"/>
          <w:lang w:val="es-PR"/>
        </w:rPr>
        <w:t xml:space="preserve">. — </w:t>
      </w:r>
      <w:r>
        <w:rPr>
          <w:rFonts w:ascii="Book Antiqua" w:eastAsia="Book Antiqua" w:hAnsi="Book Antiqua" w:cs="Book Antiqua"/>
          <w:i/>
          <w:iCs/>
          <w:color w:val="000000" w:themeColor="text1"/>
          <w:lang w:val="es-PR"/>
        </w:rPr>
        <w:t>Vigencia.</w:t>
      </w:r>
    </w:p>
    <w:p w14:paraId="459A6DB4" w14:textId="7F2A2612" w:rsidR="00304ACE" w:rsidRDefault="009D3A1D" w:rsidP="009D3A1D">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w:t>
      </w:r>
      <w:r w:rsidR="0070056E">
        <w:rPr>
          <w:rFonts w:ascii="Book Antiqua" w:eastAsia="Book Antiqua" w:hAnsi="Book Antiqua" w:cs="Book Antiqua"/>
          <w:color w:val="000000" w:themeColor="text1"/>
          <w:lang w:val="es-PR"/>
        </w:rPr>
        <w:t>.”</w:t>
      </w:r>
    </w:p>
    <w:p w14:paraId="3B21209E" w14:textId="3E931E37" w:rsidR="009D3A1D" w:rsidRPr="009D3A1D" w:rsidRDefault="009D3A1D" w:rsidP="009D3A1D">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Sección 3.- Este Ley entrará en vigor inmediatamente después de su aprobación.</w:t>
      </w:r>
    </w:p>
    <w:sectPr w:rsidR="009D3A1D" w:rsidRPr="009D3A1D">
      <w:footerReference w:type="default" r:id="rId11"/>
      <w:footerReference w:type="first" r:id="rId1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3A31" w14:textId="77777777" w:rsidR="003E0277" w:rsidRDefault="003E0277">
      <w:r>
        <w:separator/>
      </w:r>
    </w:p>
  </w:endnote>
  <w:endnote w:type="continuationSeparator" w:id="0">
    <w:p w14:paraId="1942A6BD" w14:textId="77777777" w:rsidR="003E0277" w:rsidRDefault="003E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venirNextLTPro">
    <w:altName w:val="Calibri"/>
    <w:charset w:val="00"/>
    <w:family w:val="swiss"/>
    <w:pitch w:val="default"/>
    <w:sig w:usb0="00000000" w:usb1="00000000" w:usb2="00000000" w:usb3="00000000" w:csb0="00000001" w:csb1="00000000"/>
  </w:font>
  <w:font w:name="AvenirNextLTPro-Italic">
    <w:altName w:val="Calibri"/>
    <w:charset w:val="00"/>
    <w:family w:val="swiss"/>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C5CD6B7" w14:textId="77777777">
      <w:trPr>
        <w:trHeight w:val="300"/>
      </w:trPr>
      <w:tc>
        <w:tcPr>
          <w:tcW w:w="3120" w:type="dxa"/>
        </w:tcPr>
        <w:p w14:paraId="235885D7" w14:textId="77777777" w:rsidR="00304ACE" w:rsidRDefault="00304ACE">
          <w:pPr>
            <w:pStyle w:val="Header"/>
            <w:ind w:left="-115"/>
          </w:pPr>
        </w:p>
      </w:tc>
      <w:tc>
        <w:tcPr>
          <w:tcW w:w="3120" w:type="dxa"/>
        </w:tcPr>
        <w:p w14:paraId="259584CD" w14:textId="77777777" w:rsidR="00304ACE" w:rsidRDefault="00304ACE">
          <w:pPr>
            <w:pStyle w:val="Header"/>
            <w:jc w:val="center"/>
          </w:pPr>
        </w:p>
      </w:tc>
      <w:tc>
        <w:tcPr>
          <w:tcW w:w="3120" w:type="dxa"/>
        </w:tcPr>
        <w:p w14:paraId="4AFCDF3C" w14:textId="77777777" w:rsidR="00304ACE" w:rsidRDefault="00304ACE">
          <w:pPr>
            <w:pStyle w:val="Header"/>
            <w:ind w:right="-115"/>
            <w:jc w:val="right"/>
          </w:pPr>
        </w:p>
      </w:tc>
    </w:tr>
  </w:tbl>
  <w:p w14:paraId="34BCF0AB" w14:textId="77777777" w:rsidR="00304ACE"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8BCD" w14:textId="77777777" w:rsidR="003E0277" w:rsidRDefault="003E0277">
      <w:r>
        <w:separator/>
      </w:r>
    </w:p>
  </w:footnote>
  <w:footnote w:type="continuationSeparator" w:id="0">
    <w:p w14:paraId="060579D6" w14:textId="77777777" w:rsidR="003E0277" w:rsidRDefault="003E0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6191C732" w:rsidR="00304ACE" w:rsidRDefault="003E0277">
    <w:pPr>
      <w:pStyle w:val="Header"/>
      <w:jc w:val="right"/>
    </w:pPr>
    <w:r>
      <w:t>A-00</w:t>
    </w:r>
    <w:r w:rsidR="009D3A1D">
      <w:t>4</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8240610">
    <w:abstractNumId w:val="1"/>
  </w:num>
  <w:num w:numId="2" w16cid:durableId="1928298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673AC"/>
    <w:rsid w:val="000711FC"/>
    <w:rsid w:val="00085E15"/>
    <w:rsid w:val="000C5A98"/>
    <w:rsid w:val="001939E3"/>
    <w:rsid w:val="001B1D59"/>
    <w:rsid w:val="00206B76"/>
    <w:rsid w:val="002A6E05"/>
    <w:rsid w:val="002B5D44"/>
    <w:rsid w:val="002F54B9"/>
    <w:rsid w:val="00304ACE"/>
    <w:rsid w:val="003C53AC"/>
    <w:rsid w:val="003E0277"/>
    <w:rsid w:val="004C6DDD"/>
    <w:rsid w:val="00540F1F"/>
    <w:rsid w:val="00664F11"/>
    <w:rsid w:val="0070056E"/>
    <w:rsid w:val="007857D2"/>
    <w:rsid w:val="007A1F79"/>
    <w:rsid w:val="00872C01"/>
    <w:rsid w:val="008C0794"/>
    <w:rsid w:val="00991118"/>
    <w:rsid w:val="009D3A1D"/>
    <w:rsid w:val="00A37ACE"/>
    <w:rsid w:val="00BC63DB"/>
    <w:rsid w:val="00C17225"/>
    <w:rsid w:val="00C84A34"/>
    <w:rsid w:val="00D2761C"/>
    <w:rsid w:val="00DD5D7E"/>
    <w:rsid w:val="00DF4C50"/>
    <w:rsid w:val="00DF623A"/>
    <w:rsid w:val="00E47D43"/>
    <w:rsid w:val="00EF41FF"/>
    <w:rsid w:val="00F8243F"/>
    <w:rsid w:val="00FF3058"/>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865</Words>
  <Characters>4662</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Gladys J. Burgos Torres</cp:lastModifiedBy>
  <cp:revision>3</cp:revision>
  <cp:lastPrinted>2025-02-27T23:31:00Z</cp:lastPrinted>
  <dcterms:created xsi:type="dcterms:W3CDTF">2025-02-27T21:45:00Z</dcterms:created>
  <dcterms:modified xsi:type="dcterms:W3CDTF">2025-02-27T23:31:00Z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