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Default="003E0277" w:rsidP="00BC63DB">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vertAlign w:val="superscript"/>
          <w:lang w:val="es-PR"/>
        </w:rPr>
        <w:tab/>
      </w:r>
      <w:r>
        <w:rPr>
          <w:rFonts w:ascii="Book Antiqua" w:hAnsi="Book Antiqua"/>
          <w:lang w:val="es-PR"/>
        </w:rPr>
        <w:t>Sesión</w:t>
      </w:r>
    </w:p>
    <w:p w14:paraId="214DBA9D" w14:textId="77777777" w:rsidR="00304ACE" w:rsidRDefault="003E0277" w:rsidP="00BC63DB">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3DFCE563" w14:textId="77777777" w:rsidR="00304ACE" w:rsidRDefault="00304ACE" w:rsidP="00BC63DB">
      <w:pPr>
        <w:rPr>
          <w:rFonts w:ascii="Book Antiqua" w:hAnsi="Book Antiqua"/>
          <w:lang w:val="es-PR"/>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1B989574"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CC5EDD">
        <w:rPr>
          <w:rFonts w:ascii="Book Antiqua" w:hAnsi="Book Antiqua"/>
          <w:b/>
          <w:sz w:val="52"/>
          <w:lang w:val="es-PR"/>
        </w:rPr>
        <w:t>370</w:t>
      </w:r>
    </w:p>
    <w:p w14:paraId="6FC9B738" w14:textId="77777777" w:rsidR="00BC63DB" w:rsidRPr="00BC63DB" w:rsidRDefault="00BC63DB" w:rsidP="00BC63DB">
      <w:pPr>
        <w:jc w:val="center"/>
        <w:rPr>
          <w:rFonts w:ascii="Book Antiqua" w:hAnsi="Book Antiqua"/>
          <w:b/>
          <w:szCs w:val="24"/>
          <w:lang w:val="es-PR"/>
        </w:rPr>
      </w:pPr>
    </w:p>
    <w:p w14:paraId="06D4957B" w14:textId="687C7171" w:rsidR="00304ACE" w:rsidRDefault="00CC5EDD" w:rsidP="00BC63DB">
      <w:pPr>
        <w:jc w:val="center"/>
        <w:rPr>
          <w:rFonts w:ascii="Book Antiqua" w:hAnsi="Book Antiqua"/>
          <w:lang w:val="es-PR"/>
        </w:rPr>
      </w:pPr>
      <w:r>
        <w:rPr>
          <w:rFonts w:ascii="Book Antiqua" w:hAnsi="Book Antiqua"/>
          <w:lang w:val="es-PR"/>
        </w:rPr>
        <w:t>27</w:t>
      </w:r>
      <w:r w:rsidR="00BC63DB">
        <w:rPr>
          <w:rFonts w:ascii="Book Antiqua" w:hAnsi="Book Antiqua"/>
          <w:lang w:val="es-PR"/>
        </w:rPr>
        <w:t xml:space="preserve"> DE </w:t>
      </w:r>
      <w:r w:rsidR="00973F44">
        <w:rPr>
          <w:rFonts w:ascii="Book Antiqua" w:hAnsi="Book Antiqua"/>
          <w:lang w:val="es-PR"/>
        </w:rPr>
        <w:t xml:space="preserve">FEBRERO </w:t>
      </w:r>
      <w:r w:rsidR="00BC63DB">
        <w:rPr>
          <w:rFonts w:ascii="Book Antiqua" w:hAnsi="Book Antiqua"/>
          <w:lang w:val="es-PR"/>
        </w:rPr>
        <w:t>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Franqui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03D937F8"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F026CF">
        <w:rPr>
          <w:rFonts w:ascii="Book Antiqua" w:hAnsi="Book Antiqua"/>
          <w:iCs/>
          <w:lang w:val="es-PR"/>
        </w:rPr>
        <w:t>la Comisión de Hacienda</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3FD8609E" w14:textId="7B97004E" w:rsidR="00304ACE" w:rsidRDefault="003E0277" w:rsidP="00973F44">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szCs w:val="24"/>
          <w:lang w:val="es-PR"/>
        </w:rPr>
        <w:t xml:space="preserve">Para </w:t>
      </w:r>
      <w:r w:rsidR="00973F44" w:rsidRPr="00796591">
        <w:rPr>
          <w:rFonts w:ascii="Book Antiqua" w:eastAsia="Book Antiqua" w:hAnsi="Book Antiqua" w:cs="Book Antiqua"/>
          <w:color w:val="000000" w:themeColor="text1"/>
          <w:lang w:val="es-PR"/>
        </w:rPr>
        <w:t>enmendar l</w:t>
      </w:r>
      <w:r w:rsidR="00973F44">
        <w:rPr>
          <w:rFonts w:ascii="Book Antiqua" w:eastAsia="Book Antiqua" w:hAnsi="Book Antiqua" w:cs="Book Antiqua"/>
          <w:color w:val="000000" w:themeColor="text1"/>
          <w:lang w:val="es-PR"/>
        </w:rPr>
        <w:t>a Sección 1051.06 de la Ley 1-2011, según enmendada y conocida como el “Código de Rentas Internas para un Nuevo Puerto Rico”, a los fines de restablecer el Crédito por Donativos a la Fundación del Palacio de Santa Catalina; y para otros fines relacionados.</w:t>
      </w:r>
    </w:p>
    <w:p w14:paraId="2ED6966E" w14:textId="77777777" w:rsidR="00B06E22" w:rsidRDefault="00B06E22" w:rsidP="00973F44">
      <w:pPr>
        <w:ind w:left="540" w:hanging="540"/>
        <w:jc w:val="both"/>
        <w:rPr>
          <w:rFonts w:ascii="Book Antiqua" w:hAnsi="Book Antiqua"/>
          <w:lang w:val="es-PR"/>
        </w:rPr>
      </w:pPr>
    </w:p>
    <w:p w14:paraId="6AFF6909" w14:textId="77777777" w:rsidR="00304ACE" w:rsidRPr="00BC63DB" w:rsidRDefault="003E0277" w:rsidP="00BC63DB">
      <w:pPr>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0DB8BA4C" w14:textId="77777777" w:rsidR="00973F44" w:rsidRDefault="00973F44" w:rsidP="005D1EC0">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Palacio de Santa Catalina, también conocido en la cotidianidad puertorriqueña como “La Fortaleza”, es un edificio histórico que forma parte del patrimonio cultural puertorriqueño. Su huella histórica data al 1533, fecha en la cual el Rey Carlos I de España autorizó su construcción como fortificación para defender la cuidad de San Juan. Finalizada su construcción el </w:t>
      </w:r>
      <w:r w:rsidRPr="000B7B2A">
        <w:rPr>
          <w:rFonts w:ascii="Book Antiqua" w:eastAsia="Book Antiqua" w:hAnsi="Book Antiqua" w:cs="Book Antiqua"/>
          <w:color w:val="000000" w:themeColor="text1"/>
          <w:lang w:val="es-PR"/>
        </w:rPr>
        <w:t>25 de mayo de 1540</w:t>
      </w:r>
      <w:r w:rsidRPr="00F212CC">
        <w:rPr>
          <w:rFonts w:ascii="Book Antiqua" w:eastAsia="Book Antiqua" w:hAnsi="Book Antiqua" w:cs="Book Antiqua"/>
          <w:color w:val="000000" w:themeColor="text1"/>
          <w:lang w:val="es-PR"/>
        </w:rPr>
        <w:t>, La Fortaleza se convirtió en la primera estructura militar de defensa en San Juan</w:t>
      </w:r>
      <w:r>
        <w:rPr>
          <w:rFonts w:ascii="Book Antiqua" w:eastAsia="Book Antiqua" w:hAnsi="Book Antiqua" w:cs="Book Antiqua"/>
          <w:color w:val="000000" w:themeColor="text1"/>
          <w:lang w:val="es-PR"/>
        </w:rPr>
        <w:t xml:space="preserve">. </w:t>
      </w:r>
      <w:r w:rsidRPr="0032531C">
        <w:rPr>
          <w:rFonts w:ascii="Book Antiqua" w:eastAsia="Book Antiqua" w:hAnsi="Book Antiqua" w:cs="Book Antiqua"/>
          <w:color w:val="000000" w:themeColor="text1"/>
          <w:lang w:val="es-PR"/>
        </w:rPr>
        <w:t xml:space="preserve">A lo largo de los siglos, el Palacio de Santa Catalina ha evolucionado de ser </w:t>
      </w:r>
      <w:proofErr w:type="gramStart"/>
      <w:r w:rsidRPr="0032531C">
        <w:rPr>
          <w:rFonts w:ascii="Book Antiqua" w:eastAsia="Book Antiqua" w:hAnsi="Book Antiqua" w:cs="Book Antiqua"/>
          <w:color w:val="000000" w:themeColor="text1"/>
          <w:lang w:val="es-PR"/>
        </w:rPr>
        <w:t>una fortificación militar a convertirse</w:t>
      </w:r>
      <w:proofErr w:type="gramEnd"/>
      <w:r w:rsidRPr="0032531C">
        <w:rPr>
          <w:rFonts w:ascii="Book Antiqua" w:eastAsia="Book Antiqua" w:hAnsi="Book Antiqua" w:cs="Book Antiqua"/>
          <w:color w:val="000000" w:themeColor="text1"/>
          <w:lang w:val="es-PR"/>
        </w:rPr>
        <w:t xml:space="preserve"> en la residencia oficial de</w:t>
      </w:r>
      <w:r>
        <w:rPr>
          <w:rFonts w:ascii="Book Antiqua" w:eastAsia="Book Antiqua" w:hAnsi="Book Antiqua" w:cs="Book Antiqua"/>
          <w:color w:val="000000" w:themeColor="text1"/>
          <w:lang w:val="es-PR"/>
        </w:rPr>
        <w:t xml:space="preserve"> </w:t>
      </w:r>
      <w:r w:rsidRPr="0032531C">
        <w:rPr>
          <w:rFonts w:ascii="Book Antiqua" w:eastAsia="Book Antiqua" w:hAnsi="Book Antiqua" w:cs="Book Antiqua"/>
          <w:color w:val="000000" w:themeColor="text1"/>
          <w:lang w:val="es-PR"/>
        </w:rPr>
        <w:t>l</w:t>
      </w:r>
      <w:r>
        <w:rPr>
          <w:rFonts w:ascii="Book Antiqua" w:eastAsia="Book Antiqua" w:hAnsi="Book Antiqua" w:cs="Book Antiqua"/>
          <w:color w:val="000000" w:themeColor="text1"/>
          <w:lang w:val="es-PR"/>
        </w:rPr>
        <w:t>a</w:t>
      </w:r>
      <w:r w:rsidRPr="0032531C">
        <w:rPr>
          <w:rFonts w:ascii="Book Antiqua" w:eastAsia="Book Antiqua" w:hAnsi="Book Antiqua" w:cs="Book Antiqua"/>
          <w:color w:val="000000" w:themeColor="text1"/>
          <w:lang w:val="es-PR"/>
        </w:rPr>
        <w:t xml:space="preserve"> Gobernador</w:t>
      </w:r>
      <w:r>
        <w:rPr>
          <w:rFonts w:ascii="Book Antiqua" w:eastAsia="Book Antiqua" w:hAnsi="Book Antiqua" w:cs="Book Antiqua"/>
          <w:color w:val="000000" w:themeColor="text1"/>
          <w:lang w:val="es-PR"/>
        </w:rPr>
        <w:t>a</w:t>
      </w:r>
      <w:r w:rsidRPr="0032531C">
        <w:rPr>
          <w:rFonts w:ascii="Book Antiqua" w:eastAsia="Book Antiqua" w:hAnsi="Book Antiqua" w:cs="Book Antiqua"/>
          <w:color w:val="000000" w:themeColor="text1"/>
          <w:lang w:val="es-PR"/>
        </w:rPr>
        <w:t xml:space="preserve"> de Puerto Rico, función que desempeña de manera </w:t>
      </w:r>
      <w:r w:rsidRPr="0032531C">
        <w:rPr>
          <w:rFonts w:ascii="Book Antiqua" w:eastAsia="Book Antiqua" w:hAnsi="Book Antiqua" w:cs="Book Antiqua"/>
          <w:color w:val="000000" w:themeColor="text1"/>
          <w:lang w:val="es-PR"/>
        </w:rPr>
        <w:lastRenderedPageBreak/>
        <w:t>ininterrumpida desde el siglo XVI. Este hecho la convierte en la mansión ejecutiva en uso continuo más antigua de las Américas</w:t>
      </w:r>
      <w:r>
        <w:rPr>
          <w:rFonts w:ascii="Book Antiqua" w:eastAsia="Book Antiqua" w:hAnsi="Book Antiqua" w:cs="Book Antiqua"/>
          <w:color w:val="000000" w:themeColor="text1"/>
          <w:lang w:val="es-PR"/>
        </w:rPr>
        <w:t xml:space="preserve">. </w:t>
      </w:r>
    </w:p>
    <w:p w14:paraId="662967F3" w14:textId="77777777" w:rsidR="005D1EC0" w:rsidRDefault="005D1EC0" w:rsidP="005D1EC0">
      <w:pPr>
        <w:ind w:firstLine="720"/>
        <w:jc w:val="both"/>
        <w:rPr>
          <w:rFonts w:ascii="Book Antiqua" w:eastAsia="Book Antiqua" w:hAnsi="Book Antiqua" w:cs="Book Antiqua"/>
          <w:color w:val="000000" w:themeColor="text1"/>
          <w:lang w:val="es-PR"/>
        </w:rPr>
      </w:pPr>
    </w:p>
    <w:p w14:paraId="02CFBDFF" w14:textId="77777777" w:rsidR="00973F44" w:rsidRDefault="00973F44" w:rsidP="005D1EC0">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valor histórico del Palacio de Santa Catalina es reconocido internacionalmente. En el 1970 La Fortaleza fue inscrita en el Registro Nacional de Lugares Históricos de los Estados Unidos. </w:t>
      </w:r>
      <w:r w:rsidRPr="003B5987">
        <w:rPr>
          <w:rFonts w:ascii="Book Antiqua" w:eastAsia="Book Antiqua" w:hAnsi="Book Antiqua" w:cs="Book Antiqua"/>
          <w:color w:val="000000" w:themeColor="text1"/>
          <w:lang w:val="es-PR"/>
        </w:rPr>
        <w:t>Posteriormente, en 1983, la Organización de las Naciones Unidas para la Educación, la Ciencia y la Cultura (</w:t>
      </w:r>
      <w:r>
        <w:rPr>
          <w:rFonts w:ascii="Book Antiqua" w:eastAsia="Book Antiqua" w:hAnsi="Book Antiqua" w:cs="Book Antiqua"/>
          <w:color w:val="000000" w:themeColor="text1"/>
          <w:lang w:val="es-PR"/>
        </w:rPr>
        <w:t>“</w:t>
      </w:r>
      <w:r w:rsidRPr="003B5987">
        <w:rPr>
          <w:rFonts w:ascii="Book Antiqua" w:eastAsia="Book Antiqua" w:hAnsi="Book Antiqua" w:cs="Book Antiqua"/>
          <w:color w:val="000000" w:themeColor="text1"/>
          <w:lang w:val="es-PR"/>
        </w:rPr>
        <w:t>UNESCO</w:t>
      </w:r>
      <w:r>
        <w:rPr>
          <w:rFonts w:ascii="Book Antiqua" w:eastAsia="Book Antiqua" w:hAnsi="Book Antiqua" w:cs="Book Antiqua"/>
          <w:color w:val="000000" w:themeColor="text1"/>
          <w:lang w:val="es-PR"/>
        </w:rPr>
        <w:t>”</w:t>
      </w:r>
      <w:r w:rsidRPr="003B5987">
        <w:rPr>
          <w:rFonts w:ascii="Book Antiqua" w:eastAsia="Book Antiqua" w:hAnsi="Book Antiqua" w:cs="Book Antiqua"/>
          <w:color w:val="000000" w:themeColor="text1"/>
          <w:lang w:val="es-PR"/>
        </w:rPr>
        <w:t xml:space="preserve">, por sus siglas en inglés) declaró </w:t>
      </w:r>
      <w:r>
        <w:rPr>
          <w:rFonts w:ascii="Book Antiqua" w:eastAsia="Book Antiqua" w:hAnsi="Book Antiqua" w:cs="Book Antiqua"/>
          <w:color w:val="000000" w:themeColor="text1"/>
          <w:lang w:val="es-PR"/>
        </w:rPr>
        <w:t>a L</w:t>
      </w:r>
      <w:r w:rsidRPr="003B5987">
        <w:rPr>
          <w:rFonts w:ascii="Book Antiqua" w:eastAsia="Book Antiqua" w:hAnsi="Book Antiqua" w:cs="Book Antiqua"/>
          <w:color w:val="000000" w:themeColor="text1"/>
          <w:lang w:val="es-PR"/>
        </w:rPr>
        <w:t>a Fortaleza como Patrimonio de la Humanidad</w:t>
      </w:r>
      <w:r>
        <w:rPr>
          <w:rFonts w:ascii="Book Antiqua" w:eastAsia="Book Antiqua" w:hAnsi="Book Antiqua" w:cs="Book Antiqua"/>
          <w:color w:val="000000" w:themeColor="text1"/>
          <w:lang w:val="es-PR"/>
        </w:rPr>
        <w:t>, como parte del complejo de fortificaciones de San Juan.</w:t>
      </w:r>
    </w:p>
    <w:p w14:paraId="6D53DB4A" w14:textId="77777777" w:rsidR="005D1EC0" w:rsidRDefault="005D1EC0" w:rsidP="005D1EC0">
      <w:pPr>
        <w:ind w:firstLine="720"/>
        <w:jc w:val="both"/>
        <w:rPr>
          <w:rFonts w:ascii="Book Antiqua" w:eastAsia="Book Antiqua" w:hAnsi="Book Antiqua" w:cs="Book Antiqua"/>
          <w:color w:val="000000" w:themeColor="text1"/>
          <w:lang w:val="es-PR"/>
        </w:rPr>
      </w:pPr>
    </w:p>
    <w:p w14:paraId="76B87E94" w14:textId="77777777" w:rsidR="00973F44" w:rsidRDefault="00973F44" w:rsidP="005D1EC0">
      <w:pPr>
        <w:ind w:firstLine="720"/>
        <w:jc w:val="both"/>
        <w:rPr>
          <w:rFonts w:ascii="Book Antiqua" w:eastAsia="Book Antiqua" w:hAnsi="Book Antiqua" w:cs="Book Antiqua"/>
          <w:color w:val="000000" w:themeColor="text1"/>
          <w:lang w:val="es-PR"/>
        </w:rPr>
      </w:pPr>
      <w:r w:rsidRPr="007273DA">
        <w:rPr>
          <w:rFonts w:ascii="Book Antiqua" w:eastAsia="Book Antiqua" w:hAnsi="Book Antiqua" w:cs="Book Antiqua"/>
          <w:color w:val="000000" w:themeColor="text1"/>
          <w:lang w:val="es-PR"/>
        </w:rPr>
        <w:t>Lamentablemente, el paso inexorable del tiempo ha dejado su huella en el Palacio de Santa Catalina. Los efectos implacables del clima tropical, la exposición constante a eventos atmosféricos, la proximidad al mar y el uso continuo de sus instalaciones representan desafíos significativos para la preservación de esta histórica estructura</w:t>
      </w:r>
      <w:r>
        <w:rPr>
          <w:rFonts w:ascii="Book Antiqua" w:eastAsia="Book Antiqua" w:hAnsi="Book Antiqua" w:cs="Book Antiqua"/>
          <w:color w:val="000000" w:themeColor="text1"/>
          <w:lang w:val="es-PR"/>
        </w:rPr>
        <w:t xml:space="preserve">. Preservar el patrimonio cultural de Puerto Rico es sin duda un deber ministerial del Gobierno de Puerto Rico. El Palacio de Santa Catalina debe trascender en el tiempo para futuras generaciones. </w:t>
      </w:r>
      <w:r w:rsidRPr="00386657">
        <w:rPr>
          <w:rFonts w:ascii="Book Antiqua" w:eastAsia="Book Antiqua" w:hAnsi="Book Antiqua" w:cs="Book Antiqua"/>
          <w:color w:val="000000" w:themeColor="text1"/>
          <w:lang w:val="es-PR"/>
        </w:rPr>
        <w:t>Por esta razón, el mantenimiento, la preservación, la protección y la conservación de La Fortaleza son labores fundamentales que forman parte de nuestro acervo cultural e histórico</w:t>
      </w:r>
      <w:r>
        <w:rPr>
          <w:rFonts w:ascii="Book Antiqua" w:eastAsia="Book Antiqua" w:hAnsi="Book Antiqua" w:cs="Book Antiqua"/>
          <w:color w:val="000000" w:themeColor="text1"/>
          <w:lang w:val="es-PR"/>
        </w:rPr>
        <w:t xml:space="preserve">. </w:t>
      </w:r>
    </w:p>
    <w:p w14:paraId="2B67243D" w14:textId="77777777" w:rsidR="005D1EC0" w:rsidRDefault="005D1EC0" w:rsidP="005D1EC0">
      <w:pPr>
        <w:ind w:firstLine="720"/>
        <w:jc w:val="both"/>
        <w:rPr>
          <w:rFonts w:ascii="Book Antiqua" w:eastAsia="Book Antiqua" w:hAnsi="Book Antiqua" w:cs="Book Antiqua"/>
          <w:color w:val="000000" w:themeColor="text1"/>
          <w:lang w:val="es-PR"/>
        </w:rPr>
      </w:pPr>
    </w:p>
    <w:p w14:paraId="1EDCF4A6" w14:textId="70CE2300" w:rsidR="00973F44" w:rsidRDefault="00973F44" w:rsidP="005D1EC0">
      <w:pPr>
        <w:ind w:firstLine="720"/>
        <w:jc w:val="both"/>
        <w:rPr>
          <w:rFonts w:ascii="Book Antiqua" w:eastAsia="Book Antiqua" w:hAnsi="Book Antiqua" w:cs="Book Antiqua"/>
          <w:color w:val="000000" w:themeColor="text1"/>
          <w:lang w:val="es-PR"/>
        </w:rPr>
      </w:pPr>
      <w:r w:rsidRPr="00D63410">
        <w:rPr>
          <w:rFonts w:ascii="Book Antiqua" w:eastAsia="Book Antiqua" w:hAnsi="Book Antiqua" w:cs="Book Antiqua"/>
          <w:color w:val="000000" w:themeColor="text1"/>
          <w:lang w:val="es-PR"/>
        </w:rPr>
        <w:t>Para preservar el Palacio de Santa Catalina, es imprescindible contar con los recursos económicos necesarios para sostener</w:t>
      </w:r>
      <w:r>
        <w:rPr>
          <w:rFonts w:ascii="Book Antiqua" w:eastAsia="Book Antiqua" w:hAnsi="Book Antiqua" w:cs="Book Antiqua"/>
          <w:color w:val="000000" w:themeColor="text1"/>
          <w:lang w:val="es-PR"/>
        </w:rPr>
        <w:t xml:space="preserve"> labores continuas de mantenimiento, conservación y restauración. A estos fines, </w:t>
      </w:r>
      <w:r w:rsidR="008778B0">
        <w:rPr>
          <w:rFonts w:ascii="Book Antiqua" w:eastAsia="Book Antiqua" w:hAnsi="Book Antiqua" w:cs="Book Antiqua"/>
          <w:color w:val="000000" w:themeColor="text1"/>
          <w:lang w:val="es-PR"/>
        </w:rPr>
        <w:t xml:space="preserve">se </w:t>
      </w:r>
      <w:r>
        <w:rPr>
          <w:rFonts w:ascii="Book Antiqua" w:eastAsia="Book Antiqua" w:hAnsi="Book Antiqua" w:cs="Book Antiqua"/>
          <w:color w:val="000000" w:themeColor="text1"/>
          <w:lang w:val="es-PR"/>
        </w:rPr>
        <w:t xml:space="preserve">promulgó el </w:t>
      </w:r>
      <w:r w:rsidRPr="008778B0">
        <w:rPr>
          <w:rFonts w:ascii="Book Antiqua" w:eastAsia="Book Antiqua" w:hAnsi="Book Antiqua" w:cs="Book Antiqua"/>
          <w:color w:val="000000" w:themeColor="text1"/>
          <w:lang w:val="es-PR"/>
        </w:rPr>
        <w:t xml:space="preserve">Boletín Administrativo </w:t>
      </w:r>
      <w:r w:rsidR="008778B0">
        <w:rPr>
          <w:rFonts w:ascii="Book Antiqua" w:eastAsia="Book Antiqua" w:hAnsi="Book Antiqua" w:cs="Book Antiqua"/>
          <w:color w:val="000000" w:themeColor="text1"/>
          <w:lang w:val="es-PR"/>
        </w:rPr>
        <w:t xml:space="preserve">Núm. </w:t>
      </w:r>
      <w:r w:rsidRPr="008778B0">
        <w:rPr>
          <w:rFonts w:ascii="Book Antiqua" w:eastAsia="Book Antiqua" w:hAnsi="Book Antiqua" w:cs="Book Antiqua"/>
          <w:color w:val="000000" w:themeColor="text1"/>
          <w:lang w:val="es-PR"/>
        </w:rPr>
        <w:t>OE-20</w:t>
      </w:r>
      <w:r w:rsidR="008778B0" w:rsidRPr="008778B0">
        <w:rPr>
          <w:rFonts w:ascii="Book Antiqua" w:eastAsia="Book Antiqua" w:hAnsi="Book Antiqua" w:cs="Book Antiqua"/>
          <w:color w:val="000000" w:themeColor="text1"/>
          <w:lang w:val="es-PR"/>
        </w:rPr>
        <w:t>14</w:t>
      </w:r>
      <w:r w:rsidRPr="008778B0">
        <w:rPr>
          <w:rFonts w:ascii="Book Antiqua" w:eastAsia="Book Antiqua" w:hAnsi="Book Antiqua" w:cs="Book Antiqua"/>
          <w:color w:val="000000" w:themeColor="text1"/>
          <w:lang w:val="es-PR"/>
        </w:rPr>
        <w:t>-0</w:t>
      </w:r>
      <w:r w:rsidR="008778B0" w:rsidRPr="008778B0">
        <w:rPr>
          <w:rFonts w:ascii="Book Antiqua" w:eastAsia="Book Antiqua" w:hAnsi="Book Antiqua" w:cs="Book Antiqua"/>
          <w:color w:val="000000" w:themeColor="text1"/>
          <w:lang w:val="es-PR"/>
        </w:rPr>
        <w:t>47</w:t>
      </w:r>
      <w:r w:rsidRPr="008778B0">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mediante el cual se creó la Fundación del Palacio de Santa Catalina con el propósito de coordinar esfuerzos tanto públicos como privados para financiar los costos de mantenimiento, protección, restauración y conservación de este monumento histórico. De igual forma, esta Asamblea Legislativa se une a los esfuerzos de </w:t>
      </w:r>
      <w:r w:rsidRPr="00006362">
        <w:rPr>
          <w:rFonts w:ascii="Book Antiqua" w:eastAsia="Book Antiqua" w:hAnsi="Book Antiqua" w:cs="Book Antiqua"/>
          <w:color w:val="000000" w:themeColor="text1"/>
          <w:lang w:val="es-PR"/>
        </w:rPr>
        <w:t xml:space="preserve">preservación de nuestro patrimonio cultural mediante la aprobación de esta </w:t>
      </w:r>
      <w:r w:rsidR="005D1EC0">
        <w:rPr>
          <w:rFonts w:ascii="Book Antiqua" w:eastAsia="Book Antiqua" w:hAnsi="Book Antiqua" w:cs="Book Antiqua"/>
          <w:color w:val="000000" w:themeColor="text1"/>
          <w:lang w:val="es-PR"/>
        </w:rPr>
        <w:t>Ley.</w:t>
      </w:r>
    </w:p>
    <w:p w14:paraId="0DA596E4" w14:textId="77777777" w:rsidR="005D1EC0" w:rsidRDefault="005D1EC0" w:rsidP="005D1EC0">
      <w:pPr>
        <w:ind w:firstLine="720"/>
        <w:jc w:val="both"/>
        <w:rPr>
          <w:rFonts w:ascii="Book Antiqua" w:eastAsia="Book Antiqua" w:hAnsi="Book Antiqua" w:cs="Book Antiqua"/>
          <w:color w:val="000000" w:themeColor="text1"/>
          <w:lang w:val="es-PR"/>
        </w:rPr>
      </w:pPr>
    </w:p>
    <w:p w14:paraId="1DA238AF" w14:textId="77777777" w:rsidR="00973F44" w:rsidRDefault="00973F44" w:rsidP="005D1EC0">
      <w:pPr>
        <w:ind w:firstLine="720"/>
        <w:jc w:val="both"/>
        <w:rPr>
          <w:rFonts w:ascii="Book Antiqua" w:eastAsia="Book Antiqua" w:hAnsi="Book Antiqua" w:cs="Book Antiqua"/>
          <w:color w:val="000000" w:themeColor="text1"/>
          <w:lang w:val="es-PR"/>
        </w:rPr>
      </w:pPr>
      <w:r w:rsidRPr="00DB13AD">
        <w:rPr>
          <w:rFonts w:ascii="Book Antiqua" w:eastAsia="Book Antiqua" w:hAnsi="Book Antiqua" w:cs="Book Antiqua"/>
          <w:color w:val="000000" w:themeColor="text1"/>
          <w:lang w:val="es-PR"/>
        </w:rPr>
        <w:t>Desafortunadamente</w:t>
      </w:r>
      <w:r>
        <w:rPr>
          <w:rFonts w:ascii="Book Antiqua" w:eastAsia="Book Antiqua" w:hAnsi="Book Antiqua" w:cs="Book Antiqua"/>
          <w:color w:val="000000" w:themeColor="text1"/>
          <w:lang w:val="es-PR"/>
        </w:rPr>
        <w:t xml:space="preserve">, </w:t>
      </w:r>
      <w:r w:rsidRPr="00A63E81">
        <w:rPr>
          <w:rFonts w:ascii="Book Antiqua" w:eastAsia="Book Antiqua" w:hAnsi="Book Antiqua" w:cs="Book Antiqua"/>
          <w:color w:val="000000" w:themeColor="text1"/>
          <w:lang w:val="es-PR"/>
        </w:rPr>
        <w:t>mediante la Ley 52-2022, la pasada Asamblea Legislativa derogó la Sección 1051.06 del Código de Rentas Internas para un Nuevo Puerto Rico, la cual disponía un crédito contributivo por donaciones al Patronato de Santa Catalina. La eliminación de este crédito ha tenido el efecto de disminuir los donativos privados</w:t>
      </w:r>
      <w:r>
        <w:rPr>
          <w:rFonts w:ascii="Book Antiqua" w:eastAsia="Book Antiqua" w:hAnsi="Book Antiqua" w:cs="Book Antiqua"/>
          <w:color w:val="000000" w:themeColor="text1"/>
          <w:lang w:val="es-PR"/>
        </w:rPr>
        <w:t xml:space="preserve"> en detrimento de los esfuerzos de conservación de La Fortaleza. </w:t>
      </w:r>
    </w:p>
    <w:p w14:paraId="46C7E7DB" w14:textId="77777777" w:rsidR="005D1EC0" w:rsidRDefault="005D1EC0" w:rsidP="005D1EC0">
      <w:pPr>
        <w:ind w:firstLine="720"/>
        <w:jc w:val="both"/>
        <w:rPr>
          <w:rFonts w:ascii="Book Antiqua" w:eastAsia="Book Antiqua" w:hAnsi="Book Antiqua" w:cs="Book Antiqua"/>
          <w:color w:val="000000" w:themeColor="text1"/>
          <w:lang w:val="es-PR"/>
        </w:rPr>
      </w:pPr>
    </w:p>
    <w:p w14:paraId="736543C6" w14:textId="5B105F47" w:rsidR="00973F44" w:rsidRDefault="00973F44" w:rsidP="005D1EC0">
      <w:pPr>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w:t>
      </w:r>
      <w:r w:rsidR="005D1EC0">
        <w:rPr>
          <w:rFonts w:ascii="Book Antiqua" w:eastAsia="Book Antiqua" w:hAnsi="Book Antiqua" w:cs="Book Antiqua"/>
          <w:color w:val="000000" w:themeColor="text1"/>
          <w:lang w:val="es-PR"/>
        </w:rPr>
        <w:t>Ley</w:t>
      </w:r>
      <w:r>
        <w:rPr>
          <w:rFonts w:ascii="Book Antiqua" w:eastAsia="Book Antiqua" w:hAnsi="Book Antiqua" w:cs="Book Antiqua"/>
          <w:color w:val="000000" w:themeColor="text1"/>
          <w:lang w:val="es-PR"/>
        </w:rPr>
        <w:t xml:space="preserve"> tiene el propósito de reincorporar dicho crédito contributivo, pero en esta ocasión por donativos a la Fundación del Palacio de Santa Catalina. </w:t>
      </w:r>
      <w:r w:rsidRPr="00ED4E12">
        <w:rPr>
          <w:rFonts w:ascii="Book Antiqua" w:eastAsia="Book Antiqua" w:hAnsi="Book Antiqua" w:cs="Book Antiqua"/>
          <w:color w:val="000000" w:themeColor="text1"/>
          <w:lang w:val="es-PR"/>
        </w:rPr>
        <w:t>Al establecer este incentivo fiscal, se busca fomentar nuevamente la aportación de fondos privados, esenciales para el mantenimiento y la preservación de este monumento histórico.</w:t>
      </w:r>
      <w:r>
        <w:rPr>
          <w:rFonts w:ascii="Book Antiqua" w:eastAsia="Book Antiqua" w:hAnsi="Book Antiqua" w:cs="Book Antiqua"/>
          <w:color w:val="000000" w:themeColor="text1"/>
          <w:lang w:val="es-PR"/>
        </w:rPr>
        <w:t xml:space="preserve"> </w:t>
      </w:r>
      <w:r w:rsidRPr="00383984">
        <w:rPr>
          <w:rFonts w:ascii="Book Antiqua" w:eastAsia="Book Antiqua" w:hAnsi="Book Antiqua" w:cs="Book Antiqua"/>
          <w:color w:val="000000" w:themeColor="text1"/>
          <w:lang w:val="es-PR"/>
        </w:rPr>
        <w:t>Esta Asamblea Legislativa reconoce la importancia de proteger y conservar La Fortaleza como parte integral del patrimonio cultural puertorriqueño. Por ello, considera meritorio continuar incentivando la participación del sector privado, asegurando así</w:t>
      </w:r>
      <w:r>
        <w:rPr>
          <w:rFonts w:ascii="Book Antiqua" w:eastAsia="Book Antiqua" w:hAnsi="Book Antiqua" w:cs="Book Antiqua"/>
          <w:color w:val="000000" w:themeColor="text1"/>
          <w:lang w:val="es-PR"/>
        </w:rPr>
        <w:t xml:space="preserve"> </w:t>
      </w:r>
      <w:r w:rsidRPr="00F67246">
        <w:rPr>
          <w:rFonts w:ascii="Book Antiqua" w:eastAsia="Book Antiqua" w:hAnsi="Book Antiqua" w:cs="Book Antiqua"/>
          <w:color w:val="000000" w:themeColor="text1"/>
          <w:lang w:val="es-PR"/>
        </w:rPr>
        <w:t xml:space="preserve">la </w:t>
      </w:r>
      <w:r w:rsidRPr="00F67246">
        <w:rPr>
          <w:rFonts w:ascii="Book Antiqua" w:eastAsia="Book Antiqua" w:hAnsi="Book Antiqua" w:cs="Book Antiqua"/>
          <w:color w:val="000000" w:themeColor="text1"/>
          <w:lang w:val="es-PR"/>
        </w:rPr>
        <w:lastRenderedPageBreak/>
        <w:t>preservación de este invaluable monumento histórico para el disfrute de futuras generaciones</w:t>
      </w:r>
      <w:r>
        <w:rPr>
          <w:rFonts w:ascii="Book Antiqua" w:eastAsia="Book Antiqua" w:hAnsi="Book Antiqua" w:cs="Book Antiqua"/>
          <w:color w:val="000000" w:themeColor="text1"/>
          <w:lang w:val="es-PR"/>
        </w:rPr>
        <w:t xml:space="preserve">. </w:t>
      </w:r>
    </w:p>
    <w:p w14:paraId="7FDDED2D" w14:textId="77777777" w:rsidR="00304ACE" w:rsidRDefault="00304ACE" w:rsidP="00BC63DB">
      <w:pPr>
        <w:rPr>
          <w:rFonts w:ascii="Book Antiqua" w:eastAsia="Book Antiqua" w:hAnsi="Book Antiqua" w:cs="Book Antiqua"/>
          <w:szCs w:val="24"/>
          <w:lang w:val="es-PR"/>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C6A37A0" w14:textId="77777777" w:rsidR="008778B0" w:rsidRDefault="008778B0" w:rsidP="008778B0">
      <w:pPr>
        <w:pStyle w:val="BodyText"/>
        <w:spacing w:line="480" w:lineRule="auto"/>
        <w:ind w:firstLine="720"/>
        <w:rPr>
          <w:rFonts w:ascii="Book Antiqua" w:hAnsi="Book Antiqua"/>
        </w:rPr>
      </w:pPr>
      <w:bookmarkStart w:id="0" w:name="{20D8}"/>
      <w:bookmarkStart w:id="1" w:name="_Hlk189832381"/>
      <w:r w:rsidRPr="00CE42F5">
        <w:rPr>
          <w:rFonts w:ascii="Book Antiqua" w:hAnsi="Book Antiqua"/>
        </w:rPr>
        <w:t>Artículo 1.</w:t>
      </w:r>
      <w:r w:rsidRPr="00AA6B75">
        <w:rPr>
          <w:rFonts w:ascii="Book Antiqua" w:hAnsi="Book Antiqua"/>
        </w:rPr>
        <w:t xml:space="preserve"> —</w:t>
      </w:r>
      <w:r>
        <w:rPr>
          <w:rFonts w:ascii="Book Antiqua" w:hAnsi="Book Antiqua"/>
        </w:rPr>
        <w:t xml:space="preserve"> Se enmienda la Sección 1051.06 de la Ley 1-2011, según enmendada, conocida como “Código de Rentas Internas de Puerto Ric</w:t>
      </w:r>
      <w:r w:rsidRPr="00CE42F5">
        <w:rPr>
          <w:rFonts w:ascii="Book Antiqua" w:hAnsi="Book Antiqua"/>
        </w:rPr>
        <w:t>o</w:t>
      </w:r>
      <w:r>
        <w:rPr>
          <w:rFonts w:ascii="Book Antiqua" w:hAnsi="Book Antiqua"/>
        </w:rPr>
        <w:t xml:space="preserve"> de 2011”, para que lea como sigue:</w:t>
      </w:r>
    </w:p>
    <w:p w14:paraId="61E4AD84" w14:textId="77777777" w:rsidR="008778B0" w:rsidRDefault="008778B0" w:rsidP="008778B0">
      <w:pPr>
        <w:pStyle w:val="BodyText"/>
        <w:spacing w:line="480" w:lineRule="auto"/>
        <w:ind w:firstLine="720"/>
        <w:rPr>
          <w:rFonts w:ascii="Book Antiqua" w:hAnsi="Book Antiqua"/>
          <w:i/>
          <w:iCs/>
        </w:rPr>
      </w:pPr>
      <w:r>
        <w:rPr>
          <w:rFonts w:ascii="Book Antiqua" w:hAnsi="Book Antiqua"/>
        </w:rPr>
        <w:t xml:space="preserve">“Sección 1051.06. </w:t>
      </w:r>
      <w:r w:rsidRPr="00AA6B75">
        <w:rPr>
          <w:rFonts w:ascii="Book Antiqua" w:hAnsi="Book Antiqua"/>
        </w:rPr>
        <w:t>—</w:t>
      </w:r>
      <w:r w:rsidRPr="001B6981">
        <w:rPr>
          <w:rFonts w:ascii="Book Antiqua" w:hAnsi="Book Antiqua"/>
          <w:b/>
          <w:bCs/>
        </w:rPr>
        <w:t>[Reservada]</w:t>
      </w:r>
      <w:r>
        <w:rPr>
          <w:rFonts w:ascii="Book Antiqua" w:hAnsi="Book Antiqua"/>
        </w:rPr>
        <w:t xml:space="preserve"> </w:t>
      </w:r>
      <w:r>
        <w:rPr>
          <w:rFonts w:ascii="Book Antiqua" w:hAnsi="Book Antiqua"/>
          <w:i/>
          <w:iCs/>
        </w:rPr>
        <w:t>Crédito por Donativos a la Fundación del Palacio de Santa Catalina</w:t>
      </w:r>
    </w:p>
    <w:p w14:paraId="1CE185A2" w14:textId="77777777" w:rsidR="008778B0" w:rsidRDefault="008778B0" w:rsidP="008778B0">
      <w:pPr>
        <w:pStyle w:val="BodyText"/>
        <w:numPr>
          <w:ilvl w:val="0"/>
          <w:numId w:val="3"/>
        </w:numPr>
        <w:spacing w:line="480" w:lineRule="auto"/>
        <w:rPr>
          <w:rFonts w:ascii="Book Antiqua" w:hAnsi="Book Antiqua"/>
          <w:i/>
          <w:iCs/>
        </w:rPr>
      </w:pPr>
      <w:r>
        <w:rPr>
          <w:rFonts w:ascii="Book Antiqua" w:hAnsi="Book Antiqua"/>
          <w:i/>
          <w:iCs/>
        </w:rPr>
        <w:t xml:space="preserve">Cantidad </w:t>
      </w:r>
      <w:r w:rsidRPr="00C5220A">
        <w:rPr>
          <w:rFonts w:ascii="Book Antiqua" w:hAnsi="Book Antiqua"/>
          <w:i/>
          <w:iCs/>
        </w:rPr>
        <w:t>del Crédito —</w:t>
      </w:r>
      <w:r>
        <w:rPr>
          <w:rFonts w:ascii="Book Antiqua" w:hAnsi="Book Antiqua"/>
          <w:i/>
          <w:iCs/>
        </w:rPr>
        <w:t>Se concederá un crédito contra la contribución impuesta por este Subtitulo por los donativos generados o gestionados producto del esfuerzo de la Fundación del Palacio de Santa Catalina. El monto de este crédito será de cien por ciento (100%) del monto donado durante el ano contributivo.</w:t>
      </w:r>
    </w:p>
    <w:p w14:paraId="12D048B5" w14:textId="77777777" w:rsidR="008778B0" w:rsidRDefault="008778B0" w:rsidP="008778B0">
      <w:pPr>
        <w:pStyle w:val="BodyText"/>
        <w:numPr>
          <w:ilvl w:val="0"/>
          <w:numId w:val="3"/>
        </w:numPr>
        <w:spacing w:line="480" w:lineRule="auto"/>
        <w:rPr>
          <w:rFonts w:ascii="Book Antiqua" w:hAnsi="Book Antiqua"/>
          <w:i/>
          <w:iCs/>
        </w:rPr>
      </w:pPr>
      <w:r>
        <w:rPr>
          <w:rFonts w:ascii="Book Antiqua" w:hAnsi="Book Antiqua"/>
          <w:i/>
          <w:iCs/>
        </w:rPr>
        <w:t>Este crédito será en lugar de la deducción por donativos que conceden las Secciones 1033.10 y 1033.15 (a)(3). El monto del crédito que no pueda ser reclamado en el ano contributivo en que se efectué el donativo podrá arrastrase a los anos contributivos siguientes hasta que sea utilizado en su totalidad.</w:t>
      </w:r>
    </w:p>
    <w:p w14:paraId="5B820BB6" w14:textId="77777777" w:rsidR="008778B0" w:rsidRDefault="008778B0" w:rsidP="008778B0">
      <w:pPr>
        <w:pStyle w:val="BodyText"/>
        <w:numPr>
          <w:ilvl w:val="0"/>
          <w:numId w:val="3"/>
        </w:numPr>
        <w:spacing w:line="480" w:lineRule="auto"/>
        <w:rPr>
          <w:rFonts w:ascii="Book Antiqua" w:hAnsi="Book Antiqua"/>
          <w:i/>
          <w:iCs/>
        </w:rPr>
      </w:pPr>
      <w:proofErr w:type="gramStart"/>
      <w:r>
        <w:rPr>
          <w:rFonts w:ascii="Book Antiqua" w:hAnsi="Book Antiqua"/>
          <w:i/>
          <w:iCs/>
        </w:rPr>
        <w:t>Los créditos contributivos a otorgarse no</w:t>
      </w:r>
      <w:proofErr w:type="gramEnd"/>
      <w:r>
        <w:rPr>
          <w:rFonts w:ascii="Book Antiqua" w:hAnsi="Book Antiqua"/>
          <w:i/>
          <w:iCs/>
        </w:rPr>
        <w:t xml:space="preserve"> podrán sobrepasar los dos millones quinientos mil dólares ($2,500,000.00) en el agregado, para ningún ano contributivo.</w:t>
      </w:r>
    </w:p>
    <w:p w14:paraId="27083BA8" w14:textId="5A4F768C" w:rsidR="008778B0" w:rsidRPr="0082257F" w:rsidRDefault="008778B0" w:rsidP="008778B0">
      <w:pPr>
        <w:pStyle w:val="BodyText"/>
        <w:numPr>
          <w:ilvl w:val="0"/>
          <w:numId w:val="3"/>
        </w:numPr>
        <w:spacing w:line="480" w:lineRule="auto"/>
        <w:rPr>
          <w:rFonts w:ascii="Book Antiqua" w:hAnsi="Book Antiqua"/>
          <w:i/>
          <w:iCs/>
        </w:rPr>
      </w:pPr>
      <w:r>
        <w:rPr>
          <w:rFonts w:ascii="Book Antiqua" w:hAnsi="Book Antiqua"/>
          <w:i/>
          <w:iCs/>
        </w:rPr>
        <w:t xml:space="preserve">Comprobación </w:t>
      </w:r>
      <w:r w:rsidRPr="00C5220A">
        <w:rPr>
          <w:rFonts w:ascii="Book Antiqua" w:hAnsi="Book Antiqua"/>
          <w:i/>
          <w:iCs/>
        </w:rPr>
        <w:t>—</w:t>
      </w:r>
      <w:r>
        <w:rPr>
          <w:rFonts w:ascii="Book Antiqua" w:hAnsi="Book Antiqua"/>
          <w:i/>
          <w:iCs/>
        </w:rPr>
        <w:t>Todo individuo, corporación o sociedad que reclame el crédito aquí dispuesto deberá acompañar con su plantilla de contribución sobre ingresos una certificación de la Fundación del Palacio de Santa Catalina que evidencie el donativo efectuado y aceptado.</w:t>
      </w:r>
      <w:bookmarkEnd w:id="0"/>
      <w:bookmarkEnd w:id="1"/>
      <w:r w:rsidR="007643BC">
        <w:rPr>
          <w:rFonts w:ascii="Book Antiqua" w:hAnsi="Book Antiqua"/>
          <w:i/>
          <w:iCs/>
        </w:rPr>
        <w:t>”</w:t>
      </w:r>
    </w:p>
    <w:p w14:paraId="01E55D26" w14:textId="77777777" w:rsidR="008778B0" w:rsidRPr="009A5042" w:rsidRDefault="008778B0" w:rsidP="008778B0">
      <w:pPr>
        <w:pStyle w:val="BodyText"/>
        <w:spacing w:line="480" w:lineRule="auto"/>
        <w:ind w:firstLine="720"/>
        <w:rPr>
          <w:rFonts w:ascii="Book Antiqua" w:hAnsi="Book Antiqua"/>
        </w:rPr>
      </w:pPr>
      <w:r w:rsidRPr="009A5042">
        <w:rPr>
          <w:rFonts w:ascii="Book Antiqua" w:hAnsi="Book Antiqua"/>
        </w:rPr>
        <w:t xml:space="preserve">Artículo </w:t>
      </w:r>
      <w:r>
        <w:rPr>
          <w:rFonts w:ascii="Book Antiqua" w:hAnsi="Book Antiqua"/>
        </w:rPr>
        <w:t>2</w:t>
      </w:r>
      <w:r w:rsidRPr="009A5042">
        <w:rPr>
          <w:rFonts w:ascii="Book Antiqua" w:hAnsi="Book Antiqua"/>
        </w:rPr>
        <w:t>. —</w:t>
      </w:r>
      <w:r>
        <w:rPr>
          <w:rFonts w:ascii="Book Antiqua" w:hAnsi="Book Antiqua"/>
        </w:rPr>
        <w:t xml:space="preserve"> Supremacía</w:t>
      </w:r>
      <w:r w:rsidRPr="009A5042">
        <w:rPr>
          <w:rFonts w:ascii="Book Antiqua" w:hAnsi="Book Antiqua"/>
        </w:rPr>
        <w:t>.</w:t>
      </w:r>
    </w:p>
    <w:p w14:paraId="5733285C" w14:textId="77777777" w:rsidR="008778B0" w:rsidRDefault="008778B0" w:rsidP="008778B0">
      <w:pPr>
        <w:pStyle w:val="BodyText"/>
        <w:spacing w:line="480" w:lineRule="auto"/>
        <w:ind w:firstLine="720"/>
        <w:rPr>
          <w:rFonts w:ascii="Book Antiqua" w:hAnsi="Book Antiqua"/>
        </w:rPr>
      </w:pPr>
      <w:r>
        <w:rPr>
          <w:rFonts w:ascii="Book Antiqua" w:hAnsi="Book Antiqua"/>
        </w:rPr>
        <w:lastRenderedPageBreak/>
        <w:t>Las disposiciones de esta Ley prevalecerán sobre cualquier otra disposición de ley o reglamento que no estuviere en armonía con lo aquí establecido.</w:t>
      </w:r>
    </w:p>
    <w:p w14:paraId="60A03C0C" w14:textId="77777777" w:rsidR="008778B0" w:rsidRPr="009A5042" w:rsidRDefault="008778B0" w:rsidP="008778B0">
      <w:pPr>
        <w:pStyle w:val="BodyText"/>
        <w:spacing w:line="480" w:lineRule="auto"/>
        <w:ind w:firstLine="720"/>
        <w:rPr>
          <w:rFonts w:ascii="Book Antiqua" w:hAnsi="Book Antiqua"/>
        </w:rPr>
      </w:pPr>
      <w:r w:rsidRPr="009A5042">
        <w:rPr>
          <w:rFonts w:ascii="Book Antiqua" w:hAnsi="Book Antiqua"/>
        </w:rPr>
        <w:t>Artículo 3. —</w:t>
      </w:r>
      <w:r>
        <w:rPr>
          <w:rFonts w:ascii="Book Antiqua" w:hAnsi="Book Antiqua"/>
        </w:rPr>
        <w:t xml:space="preserve"> </w:t>
      </w:r>
      <w:r w:rsidRPr="009A5042">
        <w:rPr>
          <w:rFonts w:ascii="Book Antiqua" w:hAnsi="Book Antiqua"/>
        </w:rPr>
        <w:t>Separabilidad.</w:t>
      </w:r>
    </w:p>
    <w:p w14:paraId="7E2C750B" w14:textId="77777777" w:rsidR="008778B0" w:rsidRDefault="008778B0" w:rsidP="008778B0">
      <w:pPr>
        <w:pStyle w:val="BodyText"/>
        <w:spacing w:line="480" w:lineRule="auto"/>
        <w:ind w:firstLine="720"/>
        <w:rPr>
          <w:rFonts w:ascii="Book Antiqua" w:hAnsi="Book Antiqua"/>
        </w:rPr>
      </w:pPr>
      <w:r w:rsidRPr="009A5042">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w:t>
      </w:r>
      <w:r>
        <w:rPr>
          <w:rFonts w:ascii="Book Antiqua" w:hAnsi="Book Antiqua"/>
        </w:rPr>
        <w:t xml:space="preserve">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0A931B4A" w14:textId="77777777" w:rsidR="008778B0" w:rsidRPr="009A5042" w:rsidRDefault="008778B0" w:rsidP="008778B0">
      <w:pPr>
        <w:pStyle w:val="BodyText"/>
        <w:spacing w:line="480" w:lineRule="auto"/>
        <w:ind w:firstLine="720"/>
        <w:rPr>
          <w:rFonts w:ascii="Book Antiqua" w:hAnsi="Book Antiqua"/>
        </w:rPr>
      </w:pPr>
      <w:r w:rsidRPr="009A5042">
        <w:rPr>
          <w:rFonts w:ascii="Book Antiqua" w:hAnsi="Book Antiqua"/>
        </w:rPr>
        <w:t>Artículo 4. —Vigencia.</w:t>
      </w:r>
    </w:p>
    <w:p w14:paraId="459A6DB4" w14:textId="0F35CE82" w:rsidR="00304ACE" w:rsidRPr="008778B0" w:rsidRDefault="008778B0" w:rsidP="008778B0">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304ACE" w:rsidRPr="008778B0" w:rsidSect="008778B0">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3A31" w14:textId="77777777" w:rsidR="003E0277" w:rsidRDefault="003E0277">
      <w:r>
        <w:separator/>
      </w:r>
    </w:p>
  </w:endnote>
  <w:endnote w:type="continuationSeparator" w:id="0">
    <w:p w14:paraId="1942A6BD" w14:textId="77777777" w:rsidR="003E0277" w:rsidRDefault="003E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364E" w14:textId="77777777" w:rsidR="008778B0" w:rsidRDefault="008778B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3A6F3AB" w14:textId="77777777">
      <w:trPr>
        <w:trHeight w:val="300"/>
      </w:trPr>
      <w:tc>
        <w:tcPr>
          <w:tcW w:w="3120" w:type="dxa"/>
          <w:tcMar>
            <w:top w:w="0" w:type="dxa"/>
            <w:left w:w="108" w:type="dxa"/>
            <w:bottom w:w="0" w:type="dxa"/>
            <w:right w:w="108" w:type="dxa"/>
          </w:tcMar>
        </w:tcPr>
        <w:p w14:paraId="2850075C"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13710AB"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58872518" w14:textId="77777777" w:rsidR="008778B0" w:rsidRDefault="008778B0">
          <w:pPr>
            <w:tabs>
              <w:tab w:val="center" w:pos="4320"/>
              <w:tab w:val="right" w:pos="8640"/>
            </w:tabs>
            <w:ind w:right="-115"/>
            <w:jc w:val="right"/>
            <w:rPr>
              <w:color w:val="000000"/>
            </w:rPr>
          </w:pPr>
        </w:p>
      </w:tc>
    </w:tr>
  </w:tbl>
  <w:p w14:paraId="46DEBAD1" w14:textId="77777777" w:rsidR="008778B0" w:rsidRDefault="008778B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C0FC" w14:textId="77777777" w:rsidR="008778B0" w:rsidRDefault="008778B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6F84339A" w14:textId="77777777">
      <w:trPr>
        <w:trHeight w:val="300"/>
      </w:trPr>
      <w:tc>
        <w:tcPr>
          <w:tcW w:w="3120" w:type="dxa"/>
          <w:tcMar>
            <w:top w:w="0" w:type="dxa"/>
            <w:left w:w="108" w:type="dxa"/>
            <w:bottom w:w="0" w:type="dxa"/>
            <w:right w:w="108" w:type="dxa"/>
          </w:tcMar>
        </w:tcPr>
        <w:p w14:paraId="43977FC7"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60DD547"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7BBBD26A" w14:textId="77777777" w:rsidR="008778B0" w:rsidRDefault="008778B0">
          <w:pPr>
            <w:tabs>
              <w:tab w:val="center" w:pos="4320"/>
              <w:tab w:val="right" w:pos="8640"/>
            </w:tabs>
            <w:ind w:right="-115"/>
            <w:jc w:val="right"/>
            <w:rPr>
              <w:color w:val="000000"/>
            </w:rPr>
          </w:pPr>
        </w:p>
      </w:tc>
    </w:tr>
  </w:tbl>
  <w:p w14:paraId="3DBC87F7" w14:textId="77777777" w:rsidR="008778B0" w:rsidRDefault="008778B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8BCD" w14:textId="77777777" w:rsidR="003E0277" w:rsidRDefault="003E0277">
      <w:r>
        <w:separator/>
      </w:r>
    </w:p>
  </w:footnote>
  <w:footnote w:type="continuationSeparator" w:id="0">
    <w:p w14:paraId="060579D6" w14:textId="77777777" w:rsidR="003E0277" w:rsidRDefault="003E0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621C9794" w:rsidR="00304ACE" w:rsidRDefault="003E0277">
    <w:pPr>
      <w:pStyle w:val="Header"/>
      <w:jc w:val="right"/>
    </w:pPr>
    <w:r>
      <w:t>A-00</w:t>
    </w:r>
    <w:r w:rsidR="00973F44">
      <w:t>7</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B93A69"/>
    <w:multiLevelType w:val="hybridMultilevel"/>
    <w:tmpl w:val="22187734"/>
    <w:lvl w:ilvl="0" w:tplc="3E082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8240610">
    <w:abstractNumId w:val="1"/>
  </w:num>
  <w:num w:numId="2" w16cid:durableId="1928298309">
    <w:abstractNumId w:val="0"/>
  </w:num>
  <w:num w:numId="3" w16cid:durableId="534273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673AC"/>
    <w:rsid w:val="000711FC"/>
    <w:rsid w:val="000C5A98"/>
    <w:rsid w:val="001939E3"/>
    <w:rsid w:val="001B1D59"/>
    <w:rsid w:val="00206B76"/>
    <w:rsid w:val="00281258"/>
    <w:rsid w:val="002B5D44"/>
    <w:rsid w:val="002F54B9"/>
    <w:rsid w:val="00304ACE"/>
    <w:rsid w:val="003E0277"/>
    <w:rsid w:val="004C64CC"/>
    <w:rsid w:val="00540F1F"/>
    <w:rsid w:val="005D1EC0"/>
    <w:rsid w:val="007643BC"/>
    <w:rsid w:val="00872C01"/>
    <w:rsid w:val="008778B0"/>
    <w:rsid w:val="00973F44"/>
    <w:rsid w:val="00991118"/>
    <w:rsid w:val="00A37ACE"/>
    <w:rsid w:val="00B06E22"/>
    <w:rsid w:val="00BC63DB"/>
    <w:rsid w:val="00CC5EDD"/>
    <w:rsid w:val="00D2761C"/>
    <w:rsid w:val="00DF4C50"/>
    <w:rsid w:val="00F026CF"/>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table" w:customStyle="1" w:styleId="Style42">
    <w:name w:val="_Style 42"/>
    <w:basedOn w:val="TableNormal"/>
    <w:rsid w:val="008778B0"/>
    <w:rPr>
      <w:rFonts w:ascii="Times New Roman" w:eastAsia="Times New Roman" w:hAnsi="Times New Roman" w:cs="Times New Roman"/>
    </w:rPr>
    <w:tblPr>
      <w:tblInd w:w="0" w:type="nil"/>
    </w:tblPr>
  </w:style>
  <w:style w:type="table" w:customStyle="1" w:styleId="Style43">
    <w:name w:val="_Style 43"/>
    <w:basedOn w:val="TableNormal"/>
    <w:qFormat/>
    <w:rsid w:val="008778B0"/>
    <w:rPr>
      <w:rFonts w:ascii="Times New Roman" w:eastAsia="Times New Roman" w:hAnsi="Times New Roman" w:cs="Times New Roman"/>
    </w:rPr>
    <w:tblPr>
      <w:tblInd w:w="0" w:type="nil"/>
    </w:tblPr>
  </w:style>
  <w:style w:type="paragraph" w:styleId="BodyText">
    <w:name w:val="Body Text"/>
    <w:basedOn w:val="Normal"/>
    <w:link w:val="BodyTextChar"/>
    <w:rsid w:val="008778B0"/>
    <w:pPr>
      <w:jc w:val="both"/>
    </w:pPr>
    <w:rPr>
      <w:szCs w:val="24"/>
      <w:lang w:val="es-PR"/>
    </w:rPr>
  </w:style>
  <w:style w:type="character" w:customStyle="1" w:styleId="BodyTextChar">
    <w:name w:val="Body Text Char"/>
    <w:basedOn w:val="DefaultParagraphFont"/>
    <w:link w:val="BodyText"/>
    <w:rsid w:val="008778B0"/>
    <w:rPr>
      <w:rFonts w:ascii="Times New Roman" w:eastAsia="Times New Roman" w:hAnsi="Times New Roman" w:cs="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1166</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Gladys J. Burgos Torres</cp:lastModifiedBy>
  <cp:revision>4</cp:revision>
  <cp:lastPrinted>2025-02-27T23:33:00Z</cp:lastPrinted>
  <dcterms:created xsi:type="dcterms:W3CDTF">2025-02-27T21:44:00Z</dcterms:created>
  <dcterms:modified xsi:type="dcterms:W3CDTF">2025-02-27T23:33:00Z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