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0CC97" w14:textId="6B3E5384" w:rsidR="00843A6A" w:rsidRPr="006301FC" w:rsidRDefault="00916013" w:rsidP="00843A6A">
      <w:pPr>
        <w:jc w:val="center"/>
        <w:rPr>
          <w:rFonts w:ascii="Book Antiqua" w:hAnsi="Book Antiqua"/>
          <w:sz w:val="28"/>
          <w:szCs w:val="28"/>
          <w:lang w:val="es-ES_tradnl"/>
        </w:rPr>
      </w:pPr>
      <w:r>
        <w:rPr>
          <w:rFonts w:ascii="Book Antiqua" w:hAnsi="Book Antiqua"/>
          <w:sz w:val="28"/>
          <w:szCs w:val="28"/>
          <w:lang w:val="es-ES_tradnl"/>
        </w:rPr>
        <w:t>GOBIERNO DE PUERTO RICO</w:t>
      </w:r>
    </w:p>
    <w:p w14:paraId="7055A886" w14:textId="77777777" w:rsidR="00843A6A" w:rsidRPr="006301FC" w:rsidRDefault="00843A6A" w:rsidP="00843A6A">
      <w:pPr>
        <w:jc w:val="center"/>
        <w:rPr>
          <w:rFonts w:ascii="Book Antiqua" w:hAnsi="Book Antiqua"/>
          <w:lang w:val="es-ES_tradnl"/>
        </w:rPr>
      </w:pPr>
    </w:p>
    <w:p w14:paraId="212F1D8F" w14:textId="57D64520" w:rsidR="00843A6A" w:rsidRPr="006301FC" w:rsidRDefault="00916013" w:rsidP="00843A6A">
      <w:pPr>
        <w:pStyle w:val="title2"/>
        <w:rPr>
          <w:rFonts w:ascii="Book Antiqua" w:hAnsi="Book Antiqua"/>
          <w:lang w:val="es-ES_tradnl"/>
        </w:rPr>
      </w:pPr>
      <w:r>
        <w:rPr>
          <w:rFonts w:ascii="Book Antiqua" w:hAnsi="Book Antiqua"/>
          <w:lang w:val="es-ES_tradnl"/>
        </w:rPr>
        <w:t>20ma.</w:t>
      </w:r>
      <w:r w:rsidR="00843A6A" w:rsidRPr="006301FC">
        <w:rPr>
          <w:rFonts w:ascii="Book Antiqua" w:hAnsi="Book Antiqua"/>
          <w:lang w:val="es-ES_tradnl"/>
        </w:rPr>
        <w:t xml:space="preserve"> Asamblea                                                                       </w:t>
      </w:r>
      <w:r w:rsidR="00843A6A">
        <w:rPr>
          <w:rFonts w:ascii="Book Antiqua" w:hAnsi="Book Antiqua"/>
          <w:lang w:val="es-ES_tradnl"/>
        </w:rPr>
        <w:t xml:space="preserve">                              </w:t>
      </w:r>
      <w:r>
        <w:rPr>
          <w:rFonts w:ascii="Book Antiqua" w:hAnsi="Book Antiqua"/>
          <w:lang w:val="es-ES_tradnl"/>
        </w:rPr>
        <w:t>1ra.</w:t>
      </w:r>
      <w:r w:rsidR="00843A6A" w:rsidRPr="006301FC">
        <w:rPr>
          <w:rFonts w:ascii="Book Antiqua" w:hAnsi="Book Antiqua"/>
          <w:lang w:val="es-ES_tradnl"/>
        </w:rPr>
        <w:t xml:space="preserve"> Sesión</w:t>
      </w:r>
    </w:p>
    <w:p w14:paraId="278DBA9C" w14:textId="77777777" w:rsidR="00843A6A" w:rsidRPr="006301FC" w:rsidRDefault="00843A6A" w:rsidP="00843A6A">
      <w:pPr>
        <w:pStyle w:val="title2"/>
        <w:rPr>
          <w:rFonts w:ascii="Book Antiqua" w:hAnsi="Book Antiqua"/>
          <w:lang w:val="es-ES_tradnl"/>
        </w:rPr>
      </w:pPr>
      <w:r w:rsidRPr="006301FC">
        <w:rPr>
          <w:rFonts w:ascii="Book Antiqua" w:hAnsi="Book Antiqua"/>
          <w:lang w:val="es-ES_tradnl"/>
        </w:rPr>
        <w:t xml:space="preserve">          </w:t>
      </w:r>
      <w:r>
        <w:rPr>
          <w:rFonts w:ascii="Book Antiqua" w:hAnsi="Book Antiqua"/>
          <w:lang w:val="es-ES_tradnl"/>
        </w:rPr>
        <w:t xml:space="preserve"> </w:t>
      </w:r>
      <w:r w:rsidRPr="006301FC">
        <w:rPr>
          <w:rFonts w:ascii="Book Antiqua" w:hAnsi="Book Antiqua"/>
          <w:lang w:val="es-ES_tradnl"/>
        </w:rPr>
        <w:t xml:space="preserve">Legislativa                                                                                                  </w:t>
      </w:r>
      <w:r w:rsidRPr="006301FC">
        <w:rPr>
          <w:rFonts w:ascii="Book Antiqua" w:hAnsi="Book Antiqua"/>
          <w:lang w:val="es-ES_tradnl"/>
        </w:rPr>
        <w:tab/>
        <w:t xml:space="preserve">     </w:t>
      </w:r>
      <w:r>
        <w:rPr>
          <w:rFonts w:ascii="Book Antiqua" w:hAnsi="Book Antiqua"/>
          <w:lang w:val="es-ES_tradnl"/>
        </w:rPr>
        <w:t xml:space="preserve"> </w:t>
      </w:r>
      <w:r w:rsidRPr="006301FC">
        <w:rPr>
          <w:rFonts w:ascii="Book Antiqua" w:hAnsi="Book Antiqua"/>
          <w:lang w:val="es-ES_tradnl"/>
        </w:rPr>
        <w:t>Ordinaria</w:t>
      </w:r>
    </w:p>
    <w:p w14:paraId="033CCD57" w14:textId="77777777" w:rsidR="00843A6A" w:rsidRPr="006301FC" w:rsidRDefault="00843A6A" w:rsidP="00843A6A">
      <w:pPr>
        <w:jc w:val="center"/>
        <w:rPr>
          <w:rFonts w:ascii="Book Antiqua" w:hAnsi="Book Antiqua"/>
          <w:lang w:val="es-ES_tradnl"/>
        </w:rPr>
      </w:pPr>
    </w:p>
    <w:p w14:paraId="4E9E2DD7" w14:textId="77777777" w:rsidR="00843A6A" w:rsidRPr="006301FC" w:rsidRDefault="00843A6A" w:rsidP="00843A6A">
      <w:pPr>
        <w:pStyle w:val="Ttulo1"/>
        <w:ind w:left="0" w:firstLine="0"/>
        <w:rPr>
          <w:rFonts w:ascii="Book Antiqua" w:hAnsi="Book Antiqua"/>
          <w:b/>
          <w:bCs/>
          <w:iCs/>
          <w:sz w:val="36"/>
          <w:szCs w:val="36"/>
        </w:rPr>
      </w:pPr>
      <w:r w:rsidRPr="006301FC">
        <w:rPr>
          <w:rFonts w:ascii="Book Antiqua" w:hAnsi="Book Antiqua"/>
          <w:b/>
          <w:bCs/>
          <w:iCs/>
          <w:sz w:val="36"/>
          <w:szCs w:val="36"/>
        </w:rPr>
        <w:t>C</w:t>
      </w:r>
      <w:r>
        <w:rPr>
          <w:rFonts w:ascii="Book Antiqua" w:hAnsi="Book Antiqua"/>
          <w:b/>
          <w:bCs/>
          <w:iCs/>
          <w:sz w:val="36"/>
          <w:szCs w:val="36"/>
        </w:rPr>
        <w:t>Á</w:t>
      </w:r>
      <w:r w:rsidRPr="006301FC">
        <w:rPr>
          <w:rFonts w:ascii="Book Antiqua" w:hAnsi="Book Antiqua"/>
          <w:b/>
          <w:bCs/>
          <w:iCs/>
          <w:sz w:val="36"/>
          <w:szCs w:val="36"/>
        </w:rPr>
        <w:t>MARA DE REPRESENTANTES</w:t>
      </w:r>
    </w:p>
    <w:p w14:paraId="25516388" w14:textId="77777777" w:rsidR="00843A6A" w:rsidRPr="006301FC" w:rsidRDefault="00843A6A" w:rsidP="00843A6A">
      <w:pPr>
        <w:jc w:val="center"/>
        <w:rPr>
          <w:rFonts w:ascii="Book Antiqua" w:hAnsi="Book Antiqua"/>
          <w:lang w:val="es-ES_tradnl"/>
        </w:rPr>
      </w:pPr>
    </w:p>
    <w:p w14:paraId="3E641B64" w14:textId="2348C6D7" w:rsidR="00843A6A" w:rsidRPr="006301FC" w:rsidRDefault="00843A6A" w:rsidP="00843A6A">
      <w:pPr>
        <w:jc w:val="center"/>
        <w:rPr>
          <w:rFonts w:ascii="Book Antiqua" w:hAnsi="Book Antiqua"/>
          <w:b/>
          <w:bCs/>
          <w:sz w:val="52"/>
          <w:szCs w:val="52"/>
          <w:lang w:val="es-ES_tradnl"/>
        </w:rPr>
      </w:pPr>
      <w:r>
        <w:rPr>
          <w:rFonts w:ascii="Book Antiqua" w:hAnsi="Book Antiqua"/>
          <w:b/>
          <w:bCs/>
          <w:sz w:val="52"/>
          <w:szCs w:val="52"/>
          <w:lang w:val="es-ES_tradnl"/>
        </w:rPr>
        <w:t xml:space="preserve">P. de la C. </w:t>
      </w:r>
      <w:r w:rsidR="00610BFD">
        <w:rPr>
          <w:rFonts w:ascii="Book Antiqua" w:hAnsi="Book Antiqua"/>
          <w:b/>
          <w:bCs/>
          <w:sz w:val="52"/>
          <w:szCs w:val="52"/>
          <w:lang w:val="es-ES_tradnl"/>
        </w:rPr>
        <w:t>224</w:t>
      </w:r>
    </w:p>
    <w:p w14:paraId="217BB401" w14:textId="77777777" w:rsidR="00843A6A" w:rsidRPr="006301FC" w:rsidRDefault="00843A6A" w:rsidP="00843A6A">
      <w:pPr>
        <w:jc w:val="center"/>
        <w:rPr>
          <w:rFonts w:ascii="Book Antiqua" w:hAnsi="Book Antiqua"/>
          <w:bCs/>
          <w:lang w:val="es-ES_tradnl"/>
        </w:rPr>
      </w:pPr>
    </w:p>
    <w:p w14:paraId="21B55AB0" w14:textId="4C5F749F" w:rsidR="00843A6A" w:rsidRPr="004B07C7" w:rsidRDefault="00610BFD" w:rsidP="00843A6A">
      <w:pPr>
        <w:jc w:val="center"/>
        <w:rPr>
          <w:rFonts w:ascii="Book Antiqua" w:hAnsi="Book Antiqua"/>
          <w:caps/>
          <w:lang w:val="es-PR"/>
        </w:rPr>
      </w:pPr>
      <w:r>
        <w:rPr>
          <w:rFonts w:ascii="Book Antiqua" w:hAnsi="Book Antiqua"/>
          <w:caps/>
          <w:lang w:val="es-ES_tradnl"/>
        </w:rPr>
        <w:t xml:space="preserve">13 </w:t>
      </w:r>
      <w:r w:rsidR="00843A6A">
        <w:rPr>
          <w:rFonts w:ascii="Book Antiqua" w:hAnsi="Book Antiqua"/>
          <w:caps/>
          <w:lang w:val="es-ES_tradnl"/>
        </w:rPr>
        <w:t xml:space="preserve">de </w:t>
      </w:r>
      <w:r w:rsidR="007F1C93">
        <w:rPr>
          <w:rFonts w:ascii="Book Antiqua" w:hAnsi="Book Antiqua"/>
          <w:caps/>
          <w:lang w:val="es-ES_tradnl"/>
        </w:rPr>
        <w:t>ENERO</w:t>
      </w:r>
      <w:r w:rsidR="0019074D">
        <w:rPr>
          <w:rFonts w:ascii="Book Antiqua" w:hAnsi="Book Antiqua"/>
          <w:caps/>
          <w:lang w:val="es-ES_tradnl"/>
        </w:rPr>
        <w:t xml:space="preserve"> </w:t>
      </w:r>
      <w:r w:rsidR="00843A6A">
        <w:rPr>
          <w:rFonts w:ascii="Book Antiqua" w:hAnsi="Book Antiqua"/>
          <w:caps/>
          <w:lang w:val="es-ES_tradnl"/>
        </w:rPr>
        <w:t>de 202</w:t>
      </w:r>
      <w:r w:rsidR="007F1C93">
        <w:rPr>
          <w:rFonts w:ascii="Book Antiqua" w:hAnsi="Book Antiqua"/>
          <w:caps/>
          <w:lang w:val="es-ES_tradnl"/>
        </w:rPr>
        <w:t>5</w:t>
      </w:r>
    </w:p>
    <w:p w14:paraId="4564E0FD" w14:textId="77777777" w:rsidR="00843A6A" w:rsidRPr="006301FC" w:rsidRDefault="00843A6A" w:rsidP="00843A6A">
      <w:pPr>
        <w:jc w:val="both"/>
        <w:rPr>
          <w:rFonts w:ascii="Book Antiqua" w:hAnsi="Book Antiqua"/>
          <w:lang w:val="es-ES_tradnl"/>
        </w:rPr>
      </w:pPr>
    </w:p>
    <w:p w14:paraId="4A181596" w14:textId="62A38213" w:rsidR="00843A6A" w:rsidRPr="00E73DEE" w:rsidRDefault="00843A6A" w:rsidP="00843A6A">
      <w:pPr>
        <w:jc w:val="center"/>
        <w:rPr>
          <w:rFonts w:ascii="Book Antiqua" w:hAnsi="Book Antiqua"/>
          <w:i/>
          <w:szCs w:val="24"/>
          <w:lang w:val="es-ES_tradnl"/>
        </w:rPr>
      </w:pPr>
      <w:r>
        <w:rPr>
          <w:rFonts w:ascii="Book Antiqua" w:hAnsi="Book Antiqua"/>
          <w:lang w:val="es-ES_tradnl"/>
        </w:rPr>
        <w:t xml:space="preserve">Presentado por </w:t>
      </w:r>
      <w:r w:rsidR="00D901DD">
        <w:rPr>
          <w:rFonts w:ascii="Book Antiqua" w:hAnsi="Book Antiqua"/>
          <w:lang w:val="es-ES_tradnl"/>
        </w:rPr>
        <w:t>el</w:t>
      </w:r>
      <w:r>
        <w:rPr>
          <w:rFonts w:ascii="Book Antiqua" w:hAnsi="Book Antiqua"/>
          <w:lang w:val="es-ES_tradnl"/>
        </w:rPr>
        <w:t xml:space="preserve"> representante </w:t>
      </w:r>
      <w:r w:rsidR="0019074D">
        <w:rPr>
          <w:rFonts w:ascii="Book Antiqua" w:hAnsi="Book Antiqua"/>
          <w:i/>
          <w:szCs w:val="24"/>
          <w:lang w:val="es-ES_tradnl"/>
        </w:rPr>
        <w:t xml:space="preserve">Rodríguez </w:t>
      </w:r>
      <w:r w:rsidR="00D901DD">
        <w:rPr>
          <w:rFonts w:ascii="Book Antiqua" w:hAnsi="Book Antiqua"/>
          <w:i/>
          <w:szCs w:val="24"/>
          <w:lang w:val="es-ES_tradnl"/>
        </w:rPr>
        <w:t>Aguiló</w:t>
      </w:r>
    </w:p>
    <w:p w14:paraId="190106DE" w14:textId="77777777" w:rsidR="00843A6A" w:rsidRDefault="00843A6A" w:rsidP="00843A6A">
      <w:pPr>
        <w:tabs>
          <w:tab w:val="left" w:pos="4680"/>
        </w:tabs>
        <w:ind w:left="720"/>
        <w:jc w:val="both"/>
        <w:rPr>
          <w:rFonts w:ascii="Book Antiqua" w:hAnsi="Book Antiqua"/>
          <w:lang w:val="es-ES_tradnl"/>
        </w:rPr>
      </w:pPr>
      <w:r>
        <w:rPr>
          <w:rFonts w:ascii="Book Antiqua" w:hAnsi="Book Antiqua"/>
          <w:lang w:val="es-ES_tradnl"/>
        </w:rPr>
        <w:t xml:space="preserve">                                                      </w:t>
      </w:r>
    </w:p>
    <w:p w14:paraId="5771314A" w14:textId="04A33C49" w:rsidR="00843A6A" w:rsidRPr="00D16BC5" w:rsidRDefault="00843A6A" w:rsidP="007F3518">
      <w:pPr>
        <w:tabs>
          <w:tab w:val="left" w:pos="4680"/>
        </w:tabs>
        <w:jc w:val="center"/>
        <w:rPr>
          <w:rFonts w:ascii="Book Antiqua" w:hAnsi="Book Antiqua"/>
          <w:lang w:val="es-ES_tradnl"/>
        </w:rPr>
      </w:pPr>
      <w:r>
        <w:rPr>
          <w:rFonts w:ascii="Book Antiqua" w:hAnsi="Book Antiqua"/>
          <w:lang w:val="es-ES_tradnl"/>
        </w:rPr>
        <w:t>Referido a</w:t>
      </w:r>
      <w:r w:rsidR="007F3518">
        <w:rPr>
          <w:rFonts w:ascii="Book Antiqua" w:hAnsi="Book Antiqua"/>
          <w:lang w:val="es-ES_tradnl"/>
        </w:rPr>
        <w:t xml:space="preserve"> </w:t>
      </w:r>
      <w:r w:rsidR="007D1CE1">
        <w:rPr>
          <w:rFonts w:ascii="Book Antiqua" w:hAnsi="Book Antiqua"/>
          <w:lang w:val="es-ES_tradnl"/>
        </w:rPr>
        <w:t>la Comisión de Transportación e Infraestructura</w:t>
      </w:r>
    </w:p>
    <w:p w14:paraId="2C7CB807" w14:textId="77777777" w:rsidR="00843A6A" w:rsidRPr="006301FC" w:rsidRDefault="00843A6A" w:rsidP="00843A6A">
      <w:pPr>
        <w:jc w:val="center"/>
        <w:rPr>
          <w:rFonts w:ascii="Book Antiqua" w:hAnsi="Book Antiqua"/>
          <w:lang w:val="es-ES_tradnl"/>
        </w:rPr>
      </w:pPr>
    </w:p>
    <w:p w14:paraId="47ACBDB5" w14:textId="77777777" w:rsidR="00843A6A" w:rsidRPr="006301FC" w:rsidRDefault="00843A6A" w:rsidP="00843A6A">
      <w:pPr>
        <w:jc w:val="center"/>
        <w:rPr>
          <w:rFonts w:ascii="Book Antiqua" w:hAnsi="Book Antiqua"/>
          <w:b/>
          <w:sz w:val="28"/>
          <w:szCs w:val="28"/>
          <w:lang w:val="es-ES_tradnl"/>
        </w:rPr>
      </w:pPr>
      <w:r w:rsidRPr="006301FC">
        <w:rPr>
          <w:rFonts w:ascii="Book Antiqua" w:hAnsi="Book Antiqua"/>
          <w:b/>
          <w:sz w:val="28"/>
          <w:szCs w:val="28"/>
          <w:lang w:val="es-ES_tradnl"/>
        </w:rPr>
        <w:t>LEY</w:t>
      </w:r>
    </w:p>
    <w:p w14:paraId="48F6A870" w14:textId="77777777" w:rsidR="00843A6A" w:rsidRPr="006301FC" w:rsidRDefault="00843A6A" w:rsidP="00843A6A">
      <w:pPr>
        <w:jc w:val="both"/>
        <w:rPr>
          <w:rFonts w:ascii="Book Antiqua" w:hAnsi="Book Antiqua"/>
          <w:lang w:val="es-ES_tradnl"/>
        </w:rPr>
      </w:pPr>
    </w:p>
    <w:p w14:paraId="39A8A8CE" w14:textId="31BDEA94" w:rsidR="00843A6A" w:rsidRPr="00AA35EC" w:rsidRDefault="00843A6A" w:rsidP="00916013">
      <w:pPr>
        <w:pStyle w:val="Textoindependiente"/>
        <w:ind w:left="567" w:hanging="567"/>
        <w:rPr>
          <w:rFonts w:ascii="Book Antiqua" w:hAnsi="Book Antiqua" w:cs="AngsanaUPC"/>
        </w:rPr>
      </w:pPr>
      <w:r w:rsidRPr="00AA35EC">
        <w:rPr>
          <w:rFonts w:ascii="Book Antiqua" w:hAnsi="Book Antiqua" w:cs="AngsanaUPC"/>
        </w:rPr>
        <w:t>Para</w:t>
      </w:r>
      <w:r w:rsidR="004F371E">
        <w:rPr>
          <w:rFonts w:ascii="Book Antiqua" w:hAnsi="Book Antiqua" w:cs="AngsanaUPC"/>
        </w:rPr>
        <w:t xml:space="preserve"> </w:t>
      </w:r>
      <w:r w:rsidR="004F371E" w:rsidRPr="004F371E">
        <w:rPr>
          <w:rFonts w:ascii="Book Antiqua" w:hAnsi="Book Antiqua" w:cs="AngsanaUPC"/>
          <w:lang w:val="es-PR"/>
        </w:rPr>
        <w:t>enmendar el Artículo 4.12 (B) de la Ley 22-2000, según enmendada, conocida como Ley de Vehículos y Tránsito de Puerto Rico, a los fines de incluir las grúas entre los vehículos de motor que ante situaciones de emergencia requieren a los conductores cambiar al carril más lejano a la zona de emergencia o paseo, si el tránsito o el tipo de vía pública lo permite; o si no es posible el cambio de carril, el conductor deberá reducir su velocidad</w:t>
      </w:r>
      <w:r w:rsidR="00D901DD" w:rsidRPr="00D901DD">
        <w:rPr>
          <w:rFonts w:ascii="Book Antiqua" w:hAnsi="Book Antiqua" w:cs="AngsanaUPC"/>
        </w:rPr>
        <w:t xml:space="preserve">.  </w:t>
      </w:r>
    </w:p>
    <w:p w14:paraId="1660B1B1" w14:textId="77777777" w:rsidR="00843A6A" w:rsidRPr="006301FC" w:rsidRDefault="00843A6A" w:rsidP="00843A6A">
      <w:pPr>
        <w:tabs>
          <w:tab w:val="left" w:pos="2235"/>
        </w:tabs>
        <w:jc w:val="both"/>
        <w:rPr>
          <w:rFonts w:ascii="Book Antiqua" w:hAnsi="Book Antiqua"/>
          <w:lang w:val="es-ES_tradnl"/>
        </w:rPr>
      </w:pPr>
      <w:r w:rsidRPr="006301FC">
        <w:rPr>
          <w:rFonts w:ascii="Book Antiqua" w:hAnsi="Book Antiqua"/>
          <w:lang w:val="es-ES_tradnl"/>
        </w:rPr>
        <w:tab/>
      </w:r>
    </w:p>
    <w:p w14:paraId="168D9863" w14:textId="77777777" w:rsidR="00843A6A" w:rsidRPr="006301FC" w:rsidRDefault="00843A6A" w:rsidP="00843A6A">
      <w:pPr>
        <w:jc w:val="center"/>
        <w:rPr>
          <w:rFonts w:ascii="Book Antiqua" w:hAnsi="Book Antiqua"/>
          <w:szCs w:val="24"/>
          <w:lang w:val="es-ES_tradnl"/>
        </w:rPr>
      </w:pPr>
      <w:r w:rsidRPr="006301FC">
        <w:rPr>
          <w:rFonts w:ascii="Book Antiqua" w:hAnsi="Book Antiqua"/>
          <w:szCs w:val="24"/>
          <w:lang w:val="es-ES_tradnl"/>
        </w:rPr>
        <w:t>EXPOSICI</w:t>
      </w:r>
      <w:r>
        <w:rPr>
          <w:rFonts w:ascii="Book Antiqua" w:hAnsi="Book Antiqua"/>
          <w:szCs w:val="24"/>
          <w:lang w:val="es-ES_tradnl"/>
        </w:rPr>
        <w:t>Ó</w:t>
      </w:r>
      <w:r w:rsidRPr="006301FC">
        <w:rPr>
          <w:rFonts w:ascii="Book Antiqua" w:hAnsi="Book Antiqua"/>
          <w:szCs w:val="24"/>
          <w:lang w:val="es-ES_tradnl"/>
        </w:rPr>
        <w:t>N DE MOTIVOS</w:t>
      </w:r>
    </w:p>
    <w:p w14:paraId="511BD393" w14:textId="77777777" w:rsidR="00843A6A" w:rsidRDefault="00843A6A" w:rsidP="00843A6A">
      <w:pPr>
        <w:jc w:val="both"/>
        <w:rPr>
          <w:rFonts w:ascii="Book Antiqua" w:hAnsi="Book Antiqua"/>
          <w:bCs/>
          <w:lang w:val="es-ES"/>
        </w:rPr>
      </w:pPr>
    </w:p>
    <w:p w14:paraId="39388EBB" w14:textId="77777777" w:rsidR="00D90F2A" w:rsidRDefault="00D90F2A" w:rsidP="00916013">
      <w:pPr>
        <w:ind w:firstLine="567"/>
        <w:jc w:val="both"/>
        <w:rPr>
          <w:rFonts w:ascii="Book Antiqua" w:hAnsi="Book Antiqua"/>
          <w:bCs/>
          <w:lang w:val="es-PR"/>
        </w:rPr>
      </w:pPr>
      <w:r w:rsidRPr="00D90F2A">
        <w:rPr>
          <w:rFonts w:ascii="Book Antiqua" w:hAnsi="Book Antiqua"/>
          <w:bCs/>
          <w:lang w:val="es-PR"/>
        </w:rPr>
        <w:t xml:space="preserve">El Artículo 4.12 de la Ley de Vehículos y Tránsito de Puerto Rico, Ley 22-2000, según enmendada, establece, en su inciso (B), que todo conductor al acercarse o pasar por un área de emergencia o paseo, en donde se encuentre un vehículo de emergencia o del orden público, camión de remolque, o vehículo oficial de mantenimiento que esté debidamente identificado con sus luces intermitentes según autorizadas por el Artículo 14.12 de la Ley 22, </w:t>
      </w:r>
      <w:r w:rsidRPr="00FF74B7">
        <w:rPr>
          <w:rFonts w:ascii="Book Antiqua" w:hAnsi="Book Antiqua"/>
          <w:bCs/>
          <w:i/>
          <w:iCs/>
          <w:lang w:val="es-PR"/>
        </w:rPr>
        <w:t>ante</w:t>
      </w:r>
      <w:r w:rsidRPr="00D90F2A">
        <w:rPr>
          <w:rFonts w:ascii="Book Antiqua" w:hAnsi="Book Antiqua"/>
          <w:bCs/>
          <w:lang w:val="es-PR"/>
        </w:rPr>
        <w:t xml:space="preserve">, deberá cambiar al carril más lejano a la zona de emergencia o paseo, si el tránsito o el tipo de vía pública lo permite; o si no es posible el cambio de carril, el conductor deberá reducir su velocidad a veinte (20) millas por hora por debajo de la velocidad máxima permitida en la vía pública pertinente. El conductor que viole lo establecido en esta disposición incurrirá en una multa administrativa de ciento cincuenta (150) dólares. </w:t>
      </w:r>
    </w:p>
    <w:p w14:paraId="2B15D632" w14:textId="77777777" w:rsidR="00D90F2A" w:rsidRDefault="00D90F2A" w:rsidP="00916013">
      <w:pPr>
        <w:ind w:firstLine="567"/>
        <w:jc w:val="both"/>
        <w:rPr>
          <w:rFonts w:ascii="Book Antiqua" w:hAnsi="Book Antiqua"/>
          <w:bCs/>
          <w:lang w:val="es-PR"/>
        </w:rPr>
      </w:pPr>
    </w:p>
    <w:p w14:paraId="5763933B" w14:textId="49C87AA5" w:rsidR="00D90F2A" w:rsidRDefault="00D90F2A" w:rsidP="00916013">
      <w:pPr>
        <w:ind w:firstLine="567"/>
        <w:jc w:val="both"/>
        <w:rPr>
          <w:rFonts w:ascii="Book Antiqua" w:hAnsi="Book Antiqua"/>
          <w:bCs/>
          <w:lang w:val="es-PR"/>
        </w:rPr>
      </w:pPr>
      <w:r w:rsidRPr="00D90F2A">
        <w:rPr>
          <w:rFonts w:ascii="Book Antiqua" w:hAnsi="Book Antiqua"/>
          <w:bCs/>
          <w:lang w:val="es-PR"/>
        </w:rPr>
        <w:t>El precitado inciso (B) del Artículo 4.12 de la Ley 22, supra, tiene su génesis en las legislaciones de “</w:t>
      </w:r>
      <w:proofErr w:type="spellStart"/>
      <w:r w:rsidRPr="00D90F2A">
        <w:rPr>
          <w:rFonts w:ascii="Book Antiqua" w:hAnsi="Book Antiqua"/>
          <w:bCs/>
          <w:lang w:val="es-PR"/>
        </w:rPr>
        <w:t>Move</w:t>
      </w:r>
      <w:proofErr w:type="spellEnd"/>
      <w:r w:rsidRPr="00D90F2A">
        <w:rPr>
          <w:rFonts w:ascii="Book Antiqua" w:hAnsi="Book Antiqua"/>
          <w:bCs/>
          <w:lang w:val="es-PR"/>
        </w:rPr>
        <w:t xml:space="preserve"> </w:t>
      </w:r>
      <w:proofErr w:type="spellStart"/>
      <w:r w:rsidRPr="00D90F2A">
        <w:rPr>
          <w:rFonts w:ascii="Book Antiqua" w:hAnsi="Book Antiqua"/>
          <w:bCs/>
          <w:lang w:val="es-PR"/>
        </w:rPr>
        <w:t>Over</w:t>
      </w:r>
      <w:proofErr w:type="spellEnd"/>
      <w:r w:rsidRPr="00D90F2A">
        <w:rPr>
          <w:rFonts w:ascii="Book Antiqua" w:hAnsi="Book Antiqua"/>
          <w:bCs/>
          <w:lang w:val="es-PR"/>
        </w:rPr>
        <w:t xml:space="preserve"> </w:t>
      </w:r>
      <w:proofErr w:type="spellStart"/>
      <w:r w:rsidRPr="00D90F2A">
        <w:rPr>
          <w:rFonts w:ascii="Book Antiqua" w:hAnsi="Book Antiqua"/>
          <w:bCs/>
          <w:lang w:val="es-PR"/>
        </w:rPr>
        <w:t>Laws</w:t>
      </w:r>
      <w:proofErr w:type="spellEnd"/>
      <w:r w:rsidRPr="00D90F2A">
        <w:rPr>
          <w:rFonts w:ascii="Book Antiqua" w:hAnsi="Book Antiqua"/>
          <w:bCs/>
          <w:lang w:val="es-PR"/>
        </w:rPr>
        <w:t xml:space="preserve">” aprobadas en todas las jurisdicciones estatales norteamericanas. Este tipo de legislación tiene el propósito de prevenir accidentes a los 2 </w:t>
      </w:r>
      <w:r w:rsidRPr="00D90F2A">
        <w:rPr>
          <w:rFonts w:ascii="Book Antiqua" w:hAnsi="Book Antiqua"/>
          <w:bCs/>
          <w:lang w:val="es-PR"/>
        </w:rPr>
        <w:lastRenderedPageBreak/>
        <w:t xml:space="preserve">funcionarios públicos que trabajan diariamente en las vías de rodaje y proteger las vidas de los oficiales del orden público y emergencias médicas que laboran en las carreteras. Véase Exposición de Motivos de la Ley Núm. 226 -2015, la cual enmendó el Artículo 4.12 de la Ley 22, </w:t>
      </w:r>
      <w:r w:rsidRPr="00FF74B7">
        <w:rPr>
          <w:rFonts w:ascii="Book Antiqua" w:hAnsi="Book Antiqua"/>
          <w:bCs/>
          <w:i/>
          <w:iCs/>
          <w:lang w:val="es-PR"/>
        </w:rPr>
        <w:t>supra</w:t>
      </w:r>
      <w:r w:rsidRPr="00D90F2A">
        <w:rPr>
          <w:rFonts w:ascii="Book Antiqua" w:hAnsi="Book Antiqua"/>
          <w:bCs/>
          <w:lang w:val="es-PR"/>
        </w:rPr>
        <w:t xml:space="preserve">, a los fines de añadir el citado inciso (B). </w:t>
      </w:r>
    </w:p>
    <w:p w14:paraId="7C6C13A0" w14:textId="77777777" w:rsidR="00D90F2A" w:rsidRDefault="00D90F2A" w:rsidP="00916013">
      <w:pPr>
        <w:ind w:firstLine="567"/>
        <w:jc w:val="both"/>
        <w:rPr>
          <w:rFonts w:ascii="Book Antiqua" w:hAnsi="Book Antiqua"/>
          <w:bCs/>
          <w:lang w:val="es-PR"/>
        </w:rPr>
      </w:pPr>
    </w:p>
    <w:p w14:paraId="56A739D3" w14:textId="2DCAA953" w:rsidR="00D90F2A" w:rsidRDefault="00D90F2A" w:rsidP="00916013">
      <w:pPr>
        <w:ind w:firstLine="567"/>
        <w:jc w:val="both"/>
        <w:rPr>
          <w:rFonts w:ascii="Book Antiqua" w:hAnsi="Book Antiqua"/>
          <w:bCs/>
          <w:lang w:val="es-PR"/>
        </w:rPr>
      </w:pPr>
      <w:r w:rsidRPr="00D90F2A">
        <w:rPr>
          <w:rFonts w:ascii="Book Antiqua" w:hAnsi="Book Antiqua"/>
          <w:bCs/>
          <w:lang w:val="es-PR"/>
        </w:rPr>
        <w:t xml:space="preserve">El inciso (B) del Artículo 4.12 expresamente dispone la conducta que los conductores deben asumir al acercarse o pasar por un área de emergencia o paseo y, a su vez, se encuentra un vehículo de emergencia o del orden público, un camión de remolque, o un vehículo oficial de mantenimiento que esté debidamente identificado con sus luces intermitentes según autorizadas por el Artículo 14.12 de la Ley 22, </w:t>
      </w:r>
      <w:r w:rsidR="00FF74B7" w:rsidRPr="00FF74B7">
        <w:rPr>
          <w:rFonts w:ascii="Book Antiqua" w:hAnsi="Book Antiqua"/>
          <w:bCs/>
          <w:i/>
          <w:iCs/>
          <w:lang w:val="es-PR"/>
        </w:rPr>
        <w:t>supra</w:t>
      </w:r>
      <w:r w:rsidRPr="00D90F2A">
        <w:rPr>
          <w:rFonts w:ascii="Book Antiqua" w:hAnsi="Book Antiqua"/>
          <w:bCs/>
          <w:lang w:val="es-PR"/>
        </w:rPr>
        <w:t xml:space="preserve">. </w:t>
      </w:r>
    </w:p>
    <w:p w14:paraId="1A190535" w14:textId="77777777" w:rsidR="00D90F2A" w:rsidRDefault="00D90F2A" w:rsidP="00916013">
      <w:pPr>
        <w:ind w:firstLine="567"/>
        <w:jc w:val="both"/>
        <w:rPr>
          <w:rFonts w:ascii="Book Antiqua" w:hAnsi="Book Antiqua"/>
          <w:bCs/>
          <w:lang w:val="es-PR"/>
        </w:rPr>
      </w:pPr>
    </w:p>
    <w:p w14:paraId="289E30D8" w14:textId="686231AF" w:rsidR="00D90F2A" w:rsidRDefault="00D90F2A" w:rsidP="00916013">
      <w:pPr>
        <w:ind w:firstLine="567"/>
        <w:jc w:val="both"/>
        <w:rPr>
          <w:rFonts w:ascii="Book Antiqua" w:hAnsi="Book Antiqua"/>
          <w:bCs/>
          <w:lang w:val="es-PR"/>
        </w:rPr>
      </w:pPr>
      <w:r w:rsidRPr="00D90F2A">
        <w:rPr>
          <w:rFonts w:ascii="Book Antiqua" w:hAnsi="Book Antiqua"/>
          <w:bCs/>
          <w:lang w:val="es-PR"/>
        </w:rPr>
        <w:t xml:space="preserve">Dicho Artículo no incluye expresamente las grúas entre los vehículos que atienden emergencias o ubican en el paseo. Aun cuando un camión de remolque puede establecerse como analogía de una grúa, la realidad es que la Ley de Vehículos y Tránsito de Puerto Rico, supra, no expresa una definición clara y específica de camión de remolque. </w:t>
      </w:r>
    </w:p>
    <w:p w14:paraId="2ABF5B4F" w14:textId="77777777" w:rsidR="00D90F2A" w:rsidRDefault="00D90F2A" w:rsidP="00916013">
      <w:pPr>
        <w:ind w:firstLine="567"/>
        <w:jc w:val="both"/>
        <w:rPr>
          <w:rFonts w:ascii="Book Antiqua" w:hAnsi="Book Antiqua"/>
          <w:bCs/>
          <w:lang w:val="es-PR"/>
        </w:rPr>
      </w:pPr>
    </w:p>
    <w:p w14:paraId="2521C004" w14:textId="57C48F6E" w:rsidR="00D90F2A" w:rsidRDefault="00D90F2A" w:rsidP="00916013">
      <w:pPr>
        <w:ind w:firstLine="567"/>
        <w:jc w:val="both"/>
        <w:rPr>
          <w:rFonts w:ascii="Book Antiqua" w:hAnsi="Book Antiqua"/>
          <w:bCs/>
          <w:lang w:val="es-PR"/>
        </w:rPr>
      </w:pPr>
      <w:r w:rsidRPr="00D90F2A">
        <w:rPr>
          <w:rFonts w:ascii="Book Antiqua" w:hAnsi="Book Antiqua"/>
          <w:bCs/>
          <w:lang w:val="es-PR"/>
        </w:rPr>
        <w:t xml:space="preserve">En cambio, el Artículo 1.49 de la Ley 22-2000, establece que "grúa" significará todo vehículo de motor construido o equipado específicamente para izar, halar o transportar sobre su estructura otro vehículo o vehículo de motor o para ambas funciones. </w:t>
      </w:r>
    </w:p>
    <w:p w14:paraId="3BE5C89D" w14:textId="77777777" w:rsidR="00D90F2A" w:rsidRDefault="00D90F2A" w:rsidP="00916013">
      <w:pPr>
        <w:ind w:firstLine="567"/>
        <w:jc w:val="both"/>
        <w:rPr>
          <w:rFonts w:ascii="Book Antiqua" w:hAnsi="Book Antiqua"/>
          <w:bCs/>
          <w:lang w:val="es-PR"/>
        </w:rPr>
      </w:pPr>
    </w:p>
    <w:p w14:paraId="0E567CA7" w14:textId="1AD015EC" w:rsidR="00D90F2A" w:rsidRDefault="00D90F2A" w:rsidP="00916013">
      <w:pPr>
        <w:ind w:firstLine="567"/>
        <w:jc w:val="both"/>
        <w:rPr>
          <w:rFonts w:ascii="Book Antiqua" w:hAnsi="Book Antiqua"/>
          <w:bCs/>
          <w:lang w:val="es-PR"/>
        </w:rPr>
      </w:pPr>
      <w:r w:rsidRPr="00D90F2A">
        <w:rPr>
          <w:rFonts w:ascii="Book Antiqua" w:hAnsi="Book Antiqua"/>
          <w:bCs/>
          <w:lang w:val="es-PR"/>
        </w:rPr>
        <w:t xml:space="preserve">Cabe enfatizar que la Ley de Vehículos y Tránsito, supra, en diversos artículos, reconoce la función de las grúas en situaciones de emergencia. Véase Artículos 14.12 de la Ley 22-2000, el cual permite el uso de luces intermitentes de colores (luz ámbar), así como el requerimiento de mantener equipo de emergencia en dicho vehículo para atender las situaciones de emergencias por vehículos averiados. Artículo 14.19 de la Ley 22-2000, supra. De igual manera, la Ley de Vehículos y Tránsito, supra, en varias instancias utiliza indistintamente los términos grúas o remolques para referirse al mismo tipo de vehículo o uso del referido vehículo. Véase como ejemplos, los Artículos 3.23, 6.28(i), 14.18 y 23.09 de la Ley 22-2000, </w:t>
      </w:r>
      <w:r w:rsidRPr="00D90F2A">
        <w:rPr>
          <w:rFonts w:ascii="Book Antiqua" w:hAnsi="Book Antiqua"/>
          <w:bCs/>
          <w:i/>
          <w:iCs/>
          <w:lang w:val="es-PR"/>
        </w:rPr>
        <w:t>supra.</w:t>
      </w:r>
      <w:r w:rsidRPr="00D90F2A">
        <w:rPr>
          <w:rFonts w:ascii="Book Antiqua" w:hAnsi="Book Antiqua"/>
          <w:bCs/>
          <w:lang w:val="es-PR"/>
        </w:rPr>
        <w:t xml:space="preserve"> </w:t>
      </w:r>
    </w:p>
    <w:p w14:paraId="30D92AFC" w14:textId="77777777" w:rsidR="00D90F2A" w:rsidRDefault="00D90F2A" w:rsidP="00916013">
      <w:pPr>
        <w:ind w:firstLine="567"/>
        <w:jc w:val="both"/>
        <w:rPr>
          <w:rFonts w:ascii="Book Antiqua" w:hAnsi="Book Antiqua"/>
          <w:bCs/>
          <w:lang w:val="es-PR"/>
        </w:rPr>
      </w:pPr>
    </w:p>
    <w:p w14:paraId="6E3B4B00" w14:textId="26F8C638" w:rsidR="00D90F2A" w:rsidRDefault="00D90F2A" w:rsidP="00916013">
      <w:pPr>
        <w:ind w:firstLine="567"/>
        <w:jc w:val="both"/>
        <w:rPr>
          <w:rFonts w:ascii="Book Antiqua" w:hAnsi="Book Antiqua"/>
          <w:bCs/>
          <w:lang w:val="es-PR"/>
        </w:rPr>
      </w:pPr>
      <w:r w:rsidRPr="00D90F2A">
        <w:rPr>
          <w:rFonts w:ascii="Book Antiqua" w:hAnsi="Book Antiqua"/>
          <w:bCs/>
          <w:lang w:val="es-PR"/>
        </w:rPr>
        <w:t xml:space="preserve">Bajo nuestro derecho vigente, la letra de la ley debe ser clara y libre de toda ambigüedad y no debe ser menospreciada bajo el pretexto de cumplir su espíritu. Artículo 19 del Código Civil de Puerto Rico. De igual manera, los tribunales, en el ejercicio de interpretar la ley, deben evitar intercalar palabras o suplir omisiones. Cuando el legislador se ha expresado en un lenguaje claro e inequívoco, dicho texto es la expresión por excelencia de la intención legislativa. </w:t>
      </w:r>
      <w:r w:rsidRPr="00D90F2A">
        <w:rPr>
          <w:rFonts w:ascii="Book Antiqua" w:hAnsi="Book Antiqua"/>
          <w:bCs/>
          <w:u w:val="single"/>
          <w:lang w:val="es-PR"/>
        </w:rPr>
        <w:t xml:space="preserve">Vélez v. </w:t>
      </w:r>
      <w:proofErr w:type="spellStart"/>
      <w:r w:rsidRPr="00D90F2A">
        <w:rPr>
          <w:rFonts w:ascii="Book Antiqua" w:hAnsi="Book Antiqua"/>
          <w:bCs/>
          <w:u w:val="single"/>
          <w:lang w:val="es-PR"/>
        </w:rPr>
        <w:t>Srio</w:t>
      </w:r>
      <w:proofErr w:type="spellEnd"/>
      <w:r w:rsidRPr="00D90F2A">
        <w:rPr>
          <w:rFonts w:ascii="Book Antiqua" w:hAnsi="Book Antiqua"/>
          <w:bCs/>
          <w:u w:val="single"/>
          <w:lang w:val="es-PR"/>
        </w:rPr>
        <w:t>. de Justicia</w:t>
      </w:r>
      <w:r w:rsidRPr="00D90F2A">
        <w:rPr>
          <w:rFonts w:ascii="Book Antiqua" w:hAnsi="Book Antiqua"/>
          <w:bCs/>
          <w:lang w:val="es-PR"/>
        </w:rPr>
        <w:t xml:space="preserve">, 115 D.P.R. 533, 544 (1984); </w:t>
      </w:r>
      <w:r w:rsidRPr="00D90F2A">
        <w:rPr>
          <w:rFonts w:ascii="Book Antiqua" w:hAnsi="Book Antiqua"/>
          <w:bCs/>
          <w:u w:val="single"/>
          <w:lang w:val="es-PR"/>
        </w:rPr>
        <w:t>Pueblo v. Tribunal Superior</w:t>
      </w:r>
      <w:r w:rsidRPr="00D90F2A">
        <w:rPr>
          <w:rFonts w:ascii="Book Antiqua" w:hAnsi="Book Antiqua"/>
          <w:bCs/>
          <w:lang w:val="es-PR"/>
        </w:rPr>
        <w:t xml:space="preserve">, 81 D.P.R. 763,788 (1960). </w:t>
      </w:r>
    </w:p>
    <w:p w14:paraId="37471296" w14:textId="77777777" w:rsidR="00D90F2A" w:rsidRDefault="00D90F2A" w:rsidP="00916013">
      <w:pPr>
        <w:ind w:firstLine="567"/>
        <w:jc w:val="both"/>
        <w:rPr>
          <w:rFonts w:ascii="Book Antiqua" w:hAnsi="Book Antiqua"/>
          <w:bCs/>
          <w:lang w:val="es-PR"/>
        </w:rPr>
      </w:pPr>
    </w:p>
    <w:p w14:paraId="54027323" w14:textId="3EF77B6E" w:rsidR="00D90F2A" w:rsidRDefault="00D90F2A" w:rsidP="00916013">
      <w:pPr>
        <w:ind w:firstLine="567"/>
        <w:jc w:val="both"/>
        <w:rPr>
          <w:rFonts w:ascii="Book Antiqua" w:hAnsi="Book Antiqua"/>
          <w:bCs/>
          <w:lang w:val="es-PR"/>
        </w:rPr>
      </w:pPr>
      <w:r w:rsidRPr="00D90F2A">
        <w:rPr>
          <w:rFonts w:ascii="Book Antiqua" w:hAnsi="Book Antiqua"/>
          <w:bCs/>
          <w:lang w:val="es-PR"/>
        </w:rPr>
        <w:t xml:space="preserve">De igual manera, bajo nuestro ordenamiento, se exige cumplir con el principio de legalidad en materia penal. La exigencia de la legalidad significa, en esencia, que no pueden prohibirse conductas ni imponerse penas que no se encuentren previamente establecidas en la ley. Véase </w:t>
      </w:r>
      <w:r w:rsidRPr="00FF74B7">
        <w:rPr>
          <w:rFonts w:ascii="Book Antiqua" w:hAnsi="Book Antiqua"/>
          <w:bCs/>
          <w:u w:val="single"/>
          <w:lang w:val="es-PR"/>
        </w:rPr>
        <w:t>Pueblo v. Ruiz Martínez</w:t>
      </w:r>
      <w:r w:rsidRPr="00D90F2A">
        <w:rPr>
          <w:rFonts w:ascii="Book Antiqua" w:hAnsi="Book Antiqua"/>
          <w:bCs/>
          <w:lang w:val="es-PR"/>
        </w:rPr>
        <w:t xml:space="preserve">, 2003 TSPR 52, 159 D.P.R. 194, 235 </w:t>
      </w:r>
      <w:r w:rsidRPr="00D90F2A">
        <w:rPr>
          <w:rFonts w:ascii="Book Antiqua" w:hAnsi="Book Antiqua"/>
          <w:bCs/>
          <w:lang w:val="es-PR"/>
        </w:rPr>
        <w:lastRenderedPageBreak/>
        <w:t xml:space="preserve">3 (2006). El Tribunal Supremo ha reiterado en múltiples ocasiones que el principio antedicho conlleva las garantías siguientes: (1) garantía criminal de que no se acusará a persona alguna por un hecho que no esté previamente definido como delito; (2) la garantía penal que prohíbe imposición de penas o medidas de seguridad que no se hayan establecido previamente por ley; (3) y la prohibición de leyes vagas. Id. </w:t>
      </w:r>
    </w:p>
    <w:p w14:paraId="310CC849" w14:textId="77777777" w:rsidR="00D90F2A" w:rsidRDefault="00D90F2A" w:rsidP="00916013">
      <w:pPr>
        <w:ind w:firstLine="567"/>
        <w:jc w:val="both"/>
        <w:rPr>
          <w:rFonts w:ascii="Book Antiqua" w:hAnsi="Book Antiqua"/>
          <w:bCs/>
          <w:lang w:val="es-PR"/>
        </w:rPr>
      </w:pPr>
    </w:p>
    <w:p w14:paraId="55AA9D83" w14:textId="2C0D8EF0" w:rsidR="00D901DD" w:rsidRPr="00D901DD" w:rsidRDefault="00D90F2A" w:rsidP="00916013">
      <w:pPr>
        <w:ind w:firstLine="567"/>
        <w:jc w:val="both"/>
        <w:rPr>
          <w:rFonts w:ascii="Book Antiqua" w:hAnsi="Book Antiqua"/>
          <w:bCs/>
          <w:lang w:val="es-ES"/>
        </w:rPr>
      </w:pPr>
      <w:r w:rsidRPr="00D90F2A">
        <w:rPr>
          <w:rFonts w:ascii="Book Antiqua" w:hAnsi="Book Antiqua"/>
          <w:bCs/>
          <w:lang w:val="es-PR"/>
        </w:rPr>
        <w:t>Con el fin de cumplir con el principio de legalidad y evitar cualquier ambigüedad en la ley, corresponde aclarar bajo un lenguaje claro e inequívoco que las disposiciones del Artículo 4.12 (B) de la Ley de Vehículos y Tránsito de Puerto Rico, Ley 22-2000, según enmendada, incluye además de los vehículos de remolque, a las grúas, según definidas en la propia Ley de Vehículos y Tránsito de Puerto Rico, entre los vehículos de motor que ante situaciones de emergencia requieren a los conductores cambiar al carril más lejano a la zona de emergencia o paseo, si el tránsito o el tipo de vía pública lo permite; o si no es posible el cambio de carril, el conductor deberá reducir su velocida</w:t>
      </w:r>
      <w:r>
        <w:rPr>
          <w:rFonts w:ascii="Book Antiqua" w:hAnsi="Book Antiqua"/>
          <w:bCs/>
          <w:lang w:val="es-PR"/>
        </w:rPr>
        <w:t>d</w:t>
      </w:r>
      <w:r w:rsidRPr="00D90F2A">
        <w:rPr>
          <w:rFonts w:ascii="Book Antiqua" w:hAnsi="Book Antiqua"/>
          <w:bCs/>
          <w:lang w:val="es-PR"/>
        </w:rPr>
        <w:t>.</w:t>
      </w:r>
      <w:r w:rsidR="00D901DD" w:rsidRPr="00D901DD">
        <w:rPr>
          <w:rFonts w:ascii="Book Antiqua" w:hAnsi="Book Antiqua"/>
          <w:bCs/>
          <w:lang w:val="es-ES"/>
        </w:rPr>
        <w:t xml:space="preserve">  </w:t>
      </w:r>
    </w:p>
    <w:p w14:paraId="20495C1D" w14:textId="77777777" w:rsidR="00D901DD" w:rsidRDefault="00D901DD" w:rsidP="00916013">
      <w:pPr>
        <w:pStyle w:val="default"/>
        <w:jc w:val="both"/>
        <w:rPr>
          <w:rFonts w:ascii="Book Antiqua" w:hAnsi="Book Antiqua"/>
          <w:i/>
          <w:iCs/>
          <w:color w:val="auto"/>
          <w:lang w:val="es-ES"/>
        </w:rPr>
      </w:pPr>
    </w:p>
    <w:p w14:paraId="718E1CEF" w14:textId="20FCE0D0" w:rsidR="00843A6A" w:rsidRPr="00FE625C" w:rsidRDefault="00843A6A" w:rsidP="00916013">
      <w:pPr>
        <w:pStyle w:val="default"/>
        <w:jc w:val="both"/>
        <w:rPr>
          <w:rFonts w:ascii="Book Antiqua" w:hAnsi="Book Antiqua"/>
          <w:i/>
          <w:iCs/>
          <w:color w:val="auto"/>
          <w:lang w:val="es-ES"/>
        </w:rPr>
      </w:pPr>
      <w:r w:rsidRPr="00FE625C">
        <w:rPr>
          <w:rFonts w:ascii="Book Antiqua" w:hAnsi="Book Antiqua"/>
          <w:i/>
          <w:iCs/>
          <w:color w:val="auto"/>
          <w:lang w:val="es-ES"/>
        </w:rPr>
        <w:t>DECRÉTASE POR LA ASAMBLEA LEGISLATIVA DE PUERTO RICO:</w:t>
      </w:r>
    </w:p>
    <w:p w14:paraId="37D39F48" w14:textId="77777777" w:rsidR="00843A6A" w:rsidRDefault="00843A6A" w:rsidP="00916013">
      <w:pPr>
        <w:pStyle w:val="default"/>
        <w:ind w:firstLine="567"/>
        <w:jc w:val="both"/>
        <w:rPr>
          <w:rFonts w:ascii="Book Antiqua" w:hAnsi="Book Antiqua"/>
          <w:bCs/>
          <w:lang w:val="es-ES"/>
        </w:rPr>
      </w:pPr>
    </w:p>
    <w:p w14:paraId="73F8FE13" w14:textId="77777777" w:rsidR="00916013" w:rsidRPr="00FE625C" w:rsidRDefault="00916013" w:rsidP="00916013">
      <w:pPr>
        <w:pStyle w:val="default"/>
        <w:ind w:firstLine="567"/>
        <w:jc w:val="both"/>
        <w:rPr>
          <w:rFonts w:ascii="Book Antiqua" w:hAnsi="Book Antiqua"/>
          <w:bCs/>
          <w:lang w:val="es-ES"/>
        </w:rPr>
        <w:sectPr w:rsidR="00916013" w:rsidRPr="00FE625C" w:rsidSect="007B151B">
          <w:headerReference w:type="even" r:id="rId9"/>
          <w:headerReference w:type="default" r:id="rId10"/>
          <w:footerReference w:type="even" r:id="rId11"/>
          <w:footerReference w:type="default" r:id="rId12"/>
          <w:headerReference w:type="first" r:id="rId13"/>
          <w:footerReference w:type="first" r:id="rId14"/>
          <w:pgSz w:w="12240" w:h="15840" w:code="1"/>
          <w:pgMar w:top="1440" w:right="1440" w:bottom="1440" w:left="1440" w:header="720" w:footer="720" w:gutter="0"/>
          <w:cols w:space="720"/>
          <w:titlePg/>
          <w:docGrid w:linePitch="360"/>
        </w:sectPr>
      </w:pPr>
    </w:p>
    <w:p w14:paraId="77899141" w14:textId="6EF4ED38" w:rsidR="00D90F2A" w:rsidRDefault="00D90F2A" w:rsidP="00916013">
      <w:pPr>
        <w:tabs>
          <w:tab w:val="left" w:pos="7560"/>
          <w:tab w:val="left" w:pos="7920"/>
        </w:tabs>
        <w:autoSpaceDE w:val="0"/>
        <w:autoSpaceDN w:val="0"/>
        <w:adjustRightInd w:val="0"/>
        <w:spacing w:line="480" w:lineRule="auto"/>
        <w:ind w:firstLine="567"/>
        <w:jc w:val="both"/>
        <w:rPr>
          <w:rFonts w:ascii="Book Antiqua" w:hAnsi="Book Antiqua"/>
          <w:lang w:val="es-PR"/>
        </w:rPr>
      </w:pPr>
      <w:r w:rsidRPr="00D90F2A">
        <w:rPr>
          <w:rFonts w:ascii="Book Antiqua" w:hAnsi="Book Antiqua"/>
          <w:lang w:val="es-PR"/>
        </w:rPr>
        <w:t xml:space="preserve">Sección 1.-Se enmienda el Artículo 4.12 (B) de la Ley 22-2000, según enmendada para que lea como sigue: </w:t>
      </w:r>
    </w:p>
    <w:p w14:paraId="7C4FC6EE" w14:textId="77777777" w:rsidR="00D90F2A" w:rsidRDefault="00D90F2A" w:rsidP="00916013">
      <w:pPr>
        <w:tabs>
          <w:tab w:val="left" w:pos="1440"/>
          <w:tab w:val="left" w:pos="7560"/>
          <w:tab w:val="left" w:pos="7920"/>
        </w:tabs>
        <w:autoSpaceDE w:val="0"/>
        <w:autoSpaceDN w:val="0"/>
        <w:adjustRightInd w:val="0"/>
        <w:spacing w:line="480" w:lineRule="auto"/>
        <w:ind w:left="720" w:firstLine="567"/>
        <w:jc w:val="both"/>
        <w:rPr>
          <w:rFonts w:ascii="Book Antiqua" w:hAnsi="Book Antiqua"/>
          <w:lang w:val="es-PR"/>
        </w:rPr>
      </w:pPr>
      <w:r>
        <w:rPr>
          <w:rFonts w:ascii="Book Antiqua" w:hAnsi="Book Antiqua"/>
          <w:lang w:val="es-PR"/>
        </w:rPr>
        <w:tab/>
      </w:r>
      <w:r w:rsidRPr="00D90F2A">
        <w:rPr>
          <w:rFonts w:ascii="Book Antiqua" w:hAnsi="Book Antiqua"/>
          <w:lang w:val="es-PR"/>
        </w:rPr>
        <w:t xml:space="preserve">“Artículo 4.12. — Obstrucción de labores de emergencia. </w:t>
      </w:r>
    </w:p>
    <w:p w14:paraId="2CCB4E77" w14:textId="3D1B0B45" w:rsidR="00D90F2A" w:rsidRDefault="00D90F2A" w:rsidP="00916013">
      <w:pPr>
        <w:tabs>
          <w:tab w:val="left" w:pos="1440"/>
          <w:tab w:val="left" w:pos="7560"/>
          <w:tab w:val="left" w:pos="7920"/>
        </w:tabs>
        <w:autoSpaceDE w:val="0"/>
        <w:autoSpaceDN w:val="0"/>
        <w:adjustRightInd w:val="0"/>
        <w:spacing w:line="480" w:lineRule="auto"/>
        <w:ind w:firstLine="567"/>
        <w:jc w:val="both"/>
        <w:rPr>
          <w:rFonts w:ascii="Book Antiqua" w:hAnsi="Book Antiqua"/>
          <w:lang w:val="es-PR"/>
        </w:rPr>
      </w:pPr>
      <w:r>
        <w:rPr>
          <w:rFonts w:ascii="Book Antiqua" w:hAnsi="Book Antiqua"/>
          <w:lang w:val="es-PR"/>
        </w:rPr>
        <w:tab/>
      </w:r>
      <w:r w:rsidRPr="00D90F2A">
        <w:rPr>
          <w:rFonts w:ascii="Book Antiqua" w:hAnsi="Book Antiqua"/>
          <w:lang w:val="es-PR"/>
        </w:rPr>
        <w:t xml:space="preserve"> A. … </w:t>
      </w:r>
    </w:p>
    <w:p w14:paraId="5D169835" w14:textId="006E152C" w:rsidR="00D90F2A" w:rsidRPr="00D90F2A" w:rsidRDefault="00D90F2A" w:rsidP="00916013">
      <w:pPr>
        <w:tabs>
          <w:tab w:val="left" w:pos="1440"/>
          <w:tab w:val="left" w:pos="7560"/>
          <w:tab w:val="left" w:pos="7920"/>
        </w:tabs>
        <w:autoSpaceDE w:val="0"/>
        <w:autoSpaceDN w:val="0"/>
        <w:adjustRightInd w:val="0"/>
        <w:spacing w:line="480" w:lineRule="auto"/>
        <w:ind w:left="720" w:firstLine="567"/>
        <w:jc w:val="both"/>
        <w:rPr>
          <w:rFonts w:ascii="Book Antiqua" w:hAnsi="Book Antiqua"/>
          <w:lang w:val="es-PR"/>
        </w:rPr>
      </w:pPr>
      <w:r>
        <w:rPr>
          <w:rFonts w:ascii="Book Antiqua" w:hAnsi="Book Antiqua"/>
          <w:lang w:val="es-PR"/>
        </w:rPr>
        <w:tab/>
      </w:r>
      <w:r w:rsidRPr="00D90F2A">
        <w:rPr>
          <w:rFonts w:ascii="Book Antiqua" w:hAnsi="Book Antiqua"/>
          <w:lang w:val="es-PR"/>
        </w:rPr>
        <w:t xml:space="preserve">B. Todo conductor al acercarse o pasar por un área de emergencia o paseo, 6 en donde se encuentre un vehículo de emergencia o del orden público, </w:t>
      </w:r>
      <w:r w:rsidRPr="00D90F2A">
        <w:rPr>
          <w:rFonts w:ascii="Book Antiqua" w:hAnsi="Book Antiqua"/>
          <w:i/>
          <w:iCs/>
          <w:lang w:val="es-PR"/>
        </w:rPr>
        <w:t>grúa</w:t>
      </w:r>
      <w:r w:rsidRPr="00D90F2A">
        <w:rPr>
          <w:rFonts w:ascii="Book Antiqua" w:hAnsi="Book Antiqua"/>
          <w:lang w:val="es-PR"/>
        </w:rPr>
        <w:t xml:space="preserve">, camión de remolque, o vehículo oficial de mantenimiento que esté debidamente identificado con sus luces intermitentes según autorizadas por el Artículo 14.12 de esta Ley deberá: (1) cambiar al carril más lejano a la zona de emergencia o paseo, si el tránsito o el tipo de vía pública lo permite; o (2) si no es posible el cambio de carril, el conductor deberá reducir su velocidad a veinte (20) millas por hora por debajo de la velocidad máxima permitida en la vía pública pertinente. Una vez </w:t>
      </w:r>
      <w:r w:rsidR="00FF74B7" w:rsidRPr="00D90F2A">
        <w:rPr>
          <w:rFonts w:ascii="Book Antiqua" w:hAnsi="Book Antiqua"/>
          <w:lang w:val="es-PR"/>
        </w:rPr>
        <w:t>el conductor</w:t>
      </w:r>
      <w:r w:rsidRPr="00D90F2A">
        <w:rPr>
          <w:rFonts w:ascii="Book Antiqua" w:hAnsi="Book Antiqua"/>
          <w:lang w:val="es-PR"/>
        </w:rPr>
        <w:t xml:space="preserve"> haya rebasado el área de emergencia o paseo en donde se encuentre el </w:t>
      </w:r>
      <w:r w:rsidRPr="00D90F2A">
        <w:rPr>
          <w:rFonts w:ascii="Book Antiqua" w:hAnsi="Book Antiqua"/>
          <w:lang w:val="es-PR"/>
        </w:rPr>
        <w:lastRenderedPageBreak/>
        <w:t xml:space="preserve">vehículo oficial, </w:t>
      </w:r>
      <w:r w:rsidRPr="00D90F2A">
        <w:rPr>
          <w:rFonts w:ascii="Book Antiqua" w:hAnsi="Book Antiqua"/>
          <w:i/>
          <w:iCs/>
          <w:lang w:val="es-PR"/>
        </w:rPr>
        <w:t>grúa</w:t>
      </w:r>
      <w:r w:rsidRPr="00D90F2A">
        <w:rPr>
          <w:rFonts w:ascii="Book Antiqua" w:hAnsi="Book Antiqua"/>
          <w:lang w:val="es-PR"/>
        </w:rPr>
        <w:t xml:space="preserve"> o de arrastre detenido, podrá volver a su antiguo carril o continuar a la velocidad máxima permitida en dicha vía pública. Toda persona que viole lo establecido en el Inciso B de este Artículo, incurrirá en una multa administrativa de ciento cincuenta (150) dólares.</w:t>
      </w:r>
      <w:r>
        <w:rPr>
          <w:rFonts w:ascii="Book Antiqua" w:hAnsi="Book Antiqua"/>
          <w:lang w:val="es-PR"/>
        </w:rPr>
        <w:t>”</w:t>
      </w:r>
    </w:p>
    <w:p w14:paraId="31ECCA79" w14:textId="74194E76" w:rsidR="00843A6A" w:rsidRDefault="00843A6A" w:rsidP="00916013">
      <w:pPr>
        <w:tabs>
          <w:tab w:val="left" w:pos="7560"/>
          <w:tab w:val="left" w:pos="7920"/>
        </w:tabs>
        <w:autoSpaceDE w:val="0"/>
        <w:autoSpaceDN w:val="0"/>
        <w:adjustRightInd w:val="0"/>
        <w:spacing w:line="480" w:lineRule="auto"/>
        <w:ind w:firstLine="567"/>
        <w:jc w:val="both"/>
        <w:rPr>
          <w:rFonts w:ascii="Book Antiqua" w:hAnsi="Book Antiqua"/>
          <w:lang w:val="es-PR"/>
        </w:rPr>
      </w:pPr>
      <w:r>
        <w:rPr>
          <w:rFonts w:ascii="Book Antiqua" w:hAnsi="Book Antiqua"/>
          <w:bCs/>
          <w:lang w:val="es-PR"/>
        </w:rPr>
        <w:t xml:space="preserve">    </w:t>
      </w:r>
      <w:r>
        <w:rPr>
          <w:rFonts w:ascii="Book Antiqua" w:hAnsi="Book Antiqua"/>
          <w:lang w:val="es-PR"/>
        </w:rPr>
        <w:t xml:space="preserve">Sección </w:t>
      </w:r>
      <w:r w:rsidR="00D901DD">
        <w:rPr>
          <w:rFonts w:ascii="Book Antiqua" w:hAnsi="Book Antiqua"/>
          <w:lang w:val="es-PR"/>
        </w:rPr>
        <w:t>2</w:t>
      </w:r>
      <w:r>
        <w:rPr>
          <w:rFonts w:ascii="Book Antiqua" w:hAnsi="Book Antiqua"/>
          <w:lang w:val="es-PR"/>
        </w:rPr>
        <w:t>.-Vigencia.</w:t>
      </w:r>
    </w:p>
    <w:p w14:paraId="33ADF4EC" w14:textId="65972C77" w:rsidR="00843A6A" w:rsidRPr="00843A6A" w:rsidRDefault="00843A6A" w:rsidP="00916013">
      <w:pPr>
        <w:tabs>
          <w:tab w:val="left" w:pos="7560"/>
          <w:tab w:val="left" w:pos="7920"/>
        </w:tabs>
        <w:autoSpaceDE w:val="0"/>
        <w:autoSpaceDN w:val="0"/>
        <w:adjustRightInd w:val="0"/>
        <w:spacing w:line="480" w:lineRule="auto"/>
        <w:ind w:firstLine="567"/>
        <w:jc w:val="both"/>
        <w:rPr>
          <w:rFonts w:ascii="Book Antiqua" w:hAnsi="Book Antiqua"/>
          <w:lang w:val="es-PR"/>
        </w:rPr>
      </w:pPr>
      <w:r>
        <w:rPr>
          <w:rFonts w:ascii="Book Antiqua" w:hAnsi="Book Antiqua"/>
          <w:lang w:val="es-PR"/>
        </w:rPr>
        <w:t xml:space="preserve">    Esta Ley entrará en vigor inmediatamente después de su aprobación. </w:t>
      </w:r>
    </w:p>
    <w:sectPr w:rsidR="00843A6A" w:rsidRPr="00843A6A" w:rsidSect="007B151B">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F7175" w14:textId="77777777" w:rsidR="00C81DA6" w:rsidRDefault="00C81DA6">
      <w:r>
        <w:separator/>
      </w:r>
    </w:p>
  </w:endnote>
  <w:endnote w:type="continuationSeparator" w:id="0">
    <w:p w14:paraId="7B3FE6CD" w14:textId="77777777" w:rsidR="00C81DA6" w:rsidRDefault="00C81D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605E" w14:textId="77777777" w:rsidR="00FD59CA" w:rsidRDefault="00FD59C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94060" w14:textId="77777777" w:rsidR="00FD59CA" w:rsidRDefault="00FD59C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39D3C" w14:textId="77777777" w:rsidR="00FD59CA" w:rsidRDefault="00FD59C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AED70" w14:textId="77777777" w:rsidR="00C81DA6" w:rsidRDefault="00C81DA6">
      <w:r>
        <w:separator/>
      </w:r>
    </w:p>
  </w:footnote>
  <w:footnote w:type="continuationSeparator" w:id="0">
    <w:p w14:paraId="78642D6E" w14:textId="77777777" w:rsidR="00C81DA6" w:rsidRDefault="00C81D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99249" w14:textId="6A52845B" w:rsidR="00951EB8" w:rsidRDefault="00404F1C">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13</w:t>
    </w:r>
    <w:r>
      <w:rPr>
        <w:rStyle w:val="Nmerodepgina"/>
      </w:rPr>
      <w:fldChar w:fldCharType="end"/>
    </w:r>
  </w:p>
  <w:p w14:paraId="63EDD9C0" w14:textId="77777777" w:rsidR="00951EB8" w:rsidRDefault="00951EB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9FD3D" w14:textId="7AAC7DC8" w:rsidR="00951EB8" w:rsidRDefault="00404F1C">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6</w:t>
    </w:r>
    <w:r>
      <w:rPr>
        <w:rStyle w:val="Nmerodepgina"/>
      </w:rPr>
      <w:fldChar w:fldCharType="end"/>
    </w:r>
  </w:p>
  <w:p w14:paraId="5D04CFFF" w14:textId="77777777" w:rsidR="00951EB8" w:rsidRDefault="00951EB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7CDC7" w14:textId="44ED9AA5" w:rsidR="00FD59CA" w:rsidRDefault="00FD59C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827D4D"/>
    <w:multiLevelType w:val="hybridMultilevel"/>
    <w:tmpl w:val="F412000C"/>
    <w:lvl w:ilvl="0" w:tplc="F50A24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12652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A6A"/>
    <w:rsid w:val="00036AF6"/>
    <w:rsid w:val="000E5DF0"/>
    <w:rsid w:val="00172AF9"/>
    <w:rsid w:val="0019074D"/>
    <w:rsid w:val="00227F88"/>
    <w:rsid w:val="00361EAA"/>
    <w:rsid w:val="003A7B3F"/>
    <w:rsid w:val="00404F1C"/>
    <w:rsid w:val="004336B1"/>
    <w:rsid w:val="00467155"/>
    <w:rsid w:val="004C2A16"/>
    <w:rsid w:val="004F371E"/>
    <w:rsid w:val="00516B5F"/>
    <w:rsid w:val="00522BBC"/>
    <w:rsid w:val="00525698"/>
    <w:rsid w:val="005455C1"/>
    <w:rsid w:val="005605A2"/>
    <w:rsid w:val="00610BFD"/>
    <w:rsid w:val="00675672"/>
    <w:rsid w:val="0069715A"/>
    <w:rsid w:val="007B151B"/>
    <w:rsid w:val="007C38F7"/>
    <w:rsid w:val="007D1CE1"/>
    <w:rsid w:val="007F1C93"/>
    <w:rsid w:val="007F3518"/>
    <w:rsid w:val="0080194C"/>
    <w:rsid w:val="00843A6A"/>
    <w:rsid w:val="008720AA"/>
    <w:rsid w:val="008F4CB8"/>
    <w:rsid w:val="009117CD"/>
    <w:rsid w:val="00916013"/>
    <w:rsid w:val="00951EB8"/>
    <w:rsid w:val="00954F37"/>
    <w:rsid w:val="00A649F9"/>
    <w:rsid w:val="00A67945"/>
    <w:rsid w:val="00AA56B9"/>
    <w:rsid w:val="00AE704D"/>
    <w:rsid w:val="00C66B13"/>
    <w:rsid w:val="00C81DA6"/>
    <w:rsid w:val="00CC671F"/>
    <w:rsid w:val="00D81094"/>
    <w:rsid w:val="00D901DD"/>
    <w:rsid w:val="00D90F2A"/>
    <w:rsid w:val="00E86B7D"/>
    <w:rsid w:val="00EA1E33"/>
    <w:rsid w:val="00ED7AF6"/>
    <w:rsid w:val="00F040B6"/>
    <w:rsid w:val="00F56A5C"/>
    <w:rsid w:val="00FD59CA"/>
    <w:rsid w:val="00FF74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4E1899"/>
  <w15:chartTrackingRefBased/>
  <w15:docId w15:val="{B343567E-7341-46A7-B62E-5BC35C871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A6A"/>
    <w:pPr>
      <w:spacing w:after="0" w:line="240" w:lineRule="auto"/>
    </w:pPr>
    <w:rPr>
      <w:rFonts w:ascii="Times New Roman" w:eastAsia="Times New Roman" w:hAnsi="Times New Roman" w:cs="Times New Roman"/>
      <w:kern w:val="0"/>
      <w:sz w:val="24"/>
      <w:szCs w:val="20"/>
      <w14:ligatures w14:val="none"/>
    </w:rPr>
  </w:style>
  <w:style w:type="paragraph" w:styleId="Ttulo1">
    <w:name w:val="heading 1"/>
    <w:basedOn w:val="Normal"/>
    <w:next w:val="Normal"/>
    <w:link w:val="Ttulo1Car"/>
    <w:qFormat/>
    <w:rsid w:val="00843A6A"/>
    <w:pPr>
      <w:keepNext/>
      <w:ind w:left="360" w:hanging="360"/>
      <w:jc w:val="center"/>
      <w:outlineLvl w:val="0"/>
    </w:pPr>
    <w:rPr>
      <w:rFonts w:ascii="CG Times(w1)" w:hAnsi="CG Times(w1)"/>
      <w:sz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43A6A"/>
    <w:rPr>
      <w:rFonts w:ascii="CG Times(w1)" w:eastAsia="Times New Roman" w:hAnsi="CG Times(w1)" w:cs="Times New Roman"/>
      <w:kern w:val="0"/>
      <w:sz w:val="28"/>
      <w:szCs w:val="20"/>
      <w:lang w:val="es-ES_tradnl"/>
      <w14:ligatures w14:val="none"/>
    </w:rPr>
  </w:style>
  <w:style w:type="paragraph" w:customStyle="1" w:styleId="title2">
    <w:name w:val="title2"/>
    <w:basedOn w:val="Normal"/>
    <w:rsid w:val="00843A6A"/>
    <w:rPr>
      <w:szCs w:val="24"/>
    </w:rPr>
  </w:style>
  <w:style w:type="paragraph" w:customStyle="1" w:styleId="default">
    <w:name w:val="default"/>
    <w:basedOn w:val="Normal"/>
    <w:rsid w:val="00843A6A"/>
    <w:pPr>
      <w:autoSpaceDE w:val="0"/>
      <w:autoSpaceDN w:val="0"/>
    </w:pPr>
    <w:rPr>
      <w:rFonts w:ascii="DXANP N+ Serifa B T," w:hAnsi="DXANP N+ Serifa B T,"/>
      <w:color w:val="000000"/>
      <w:szCs w:val="24"/>
    </w:rPr>
  </w:style>
  <w:style w:type="paragraph" w:styleId="Textoindependiente">
    <w:name w:val="Body Text"/>
    <w:basedOn w:val="Normal"/>
    <w:link w:val="TextoindependienteCar"/>
    <w:semiHidden/>
    <w:rsid w:val="00843A6A"/>
    <w:pPr>
      <w:widowControl w:val="0"/>
      <w:overflowPunct w:val="0"/>
      <w:autoSpaceDE w:val="0"/>
      <w:autoSpaceDN w:val="0"/>
      <w:adjustRightInd w:val="0"/>
      <w:jc w:val="both"/>
      <w:textAlignment w:val="baseline"/>
    </w:pPr>
    <w:rPr>
      <w:szCs w:val="24"/>
      <w:lang w:val="es-ES_tradnl"/>
    </w:rPr>
  </w:style>
  <w:style w:type="character" w:customStyle="1" w:styleId="TextoindependienteCar">
    <w:name w:val="Texto independiente Car"/>
    <w:basedOn w:val="Fuentedeprrafopredeter"/>
    <w:link w:val="Textoindependiente"/>
    <w:semiHidden/>
    <w:rsid w:val="00843A6A"/>
    <w:rPr>
      <w:rFonts w:ascii="Times New Roman" w:eastAsia="Times New Roman" w:hAnsi="Times New Roman" w:cs="Times New Roman"/>
      <w:kern w:val="0"/>
      <w:sz w:val="24"/>
      <w:szCs w:val="24"/>
      <w:lang w:val="es-ES_tradnl"/>
      <w14:ligatures w14:val="none"/>
    </w:rPr>
  </w:style>
  <w:style w:type="paragraph" w:styleId="Encabezado">
    <w:name w:val="header"/>
    <w:basedOn w:val="Normal"/>
    <w:link w:val="EncabezadoCar"/>
    <w:semiHidden/>
    <w:rsid w:val="00843A6A"/>
    <w:pPr>
      <w:tabs>
        <w:tab w:val="center" w:pos="4320"/>
        <w:tab w:val="right" w:pos="8640"/>
      </w:tabs>
    </w:pPr>
    <w:rPr>
      <w:szCs w:val="24"/>
    </w:rPr>
  </w:style>
  <w:style w:type="character" w:customStyle="1" w:styleId="EncabezadoCar">
    <w:name w:val="Encabezado Car"/>
    <w:basedOn w:val="Fuentedeprrafopredeter"/>
    <w:link w:val="Encabezado"/>
    <w:semiHidden/>
    <w:rsid w:val="00843A6A"/>
    <w:rPr>
      <w:rFonts w:ascii="Times New Roman" w:eastAsia="Times New Roman" w:hAnsi="Times New Roman" w:cs="Times New Roman"/>
      <w:kern w:val="0"/>
      <w:sz w:val="24"/>
      <w:szCs w:val="24"/>
      <w14:ligatures w14:val="none"/>
    </w:rPr>
  </w:style>
  <w:style w:type="character" w:styleId="Nmerodepgina">
    <w:name w:val="page number"/>
    <w:basedOn w:val="Fuentedeprrafopredeter"/>
    <w:semiHidden/>
    <w:rsid w:val="00843A6A"/>
  </w:style>
  <w:style w:type="character" w:styleId="Nmerodelnea">
    <w:name w:val="line number"/>
    <w:basedOn w:val="Fuentedeprrafopredeter"/>
    <w:uiPriority w:val="99"/>
    <w:semiHidden/>
    <w:unhideWhenUsed/>
    <w:rsid w:val="00843A6A"/>
  </w:style>
  <w:style w:type="paragraph" w:styleId="Prrafodelista">
    <w:name w:val="List Paragraph"/>
    <w:basedOn w:val="Normal"/>
    <w:uiPriority w:val="34"/>
    <w:qFormat/>
    <w:rsid w:val="005605A2"/>
    <w:pPr>
      <w:ind w:left="720"/>
      <w:contextualSpacing/>
    </w:pPr>
  </w:style>
  <w:style w:type="paragraph" w:styleId="Piedepgina">
    <w:name w:val="footer"/>
    <w:basedOn w:val="Normal"/>
    <w:link w:val="PiedepginaCar"/>
    <w:uiPriority w:val="99"/>
    <w:unhideWhenUsed/>
    <w:rsid w:val="00FD59CA"/>
    <w:pPr>
      <w:tabs>
        <w:tab w:val="center" w:pos="4680"/>
        <w:tab w:val="right" w:pos="9360"/>
      </w:tabs>
    </w:pPr>
  </w:style>
  <w:style w:type="character" w:customStyle="1" w:styleId="PiedepginaCar">
    <w:name w:val="Pie de página Car"/>
    <w:basedOn w:val="Fuentedeprrafopredeter"/>
    <w:link w:val="Piedepgina"/>
    <w:uiPriority w:val="99"/>
    <w:rsid w:val="00FD59CA"/>
    <w:rPr>
      <w:rFonts w:ascii="Times New Roman" w:eastAsia="Times New Roman" w:hAnsi="Times New Roma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450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CE17AA-F625-4081-9CDB-391ADB95C3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44FF09-B50C-4568-8E23-C7E34A917D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1133</Words>
  <Characters>6463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 N. Ruiz Ruiz</dc:creator>
  <cp:keywords/>
  <dc:description/>
  <cp:lastModifiedBy>Rocío Alayón Morell</cp:lastModifiedBy>
  <cp:revision>4</cp:revision>
  <cp:lastPrinted>2024-04-15T18:42:00Z</cp:lastPrinted>
  <dcterms:created xsi:type="dcterms:W3CDTF">2025-01-13T20:08:00Z</dcterms:created>
  <dcterms:modified xsi:type="dcterms:W3CDTF">2025-01-15T17:18:00Z</dcterms:modified>
</cp:coreProperties>
</file>