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5563F" w14:textId="77777777" w:rsidR="00B82909" w:rsidRPr="00B82909" w:rsidRDefault="00B82909" w:rsidP="00AF31F6">
      <w:pPr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 DE PUERTO RICO</w:t>
      </w:r>
    </w:p>
    <w:p w14:paraId="0BFA6A15" w14:textId="08B17BD4" w:rsidR="00B82909" w:rsidRPr="00987AF0" w:rsidRDefault="00B82909" w:rsidP="00B82909">
      <w:pPr>
        <w:tabs>
          <w:tab w:val="left" w:pos="720"/>
          <w:tab w:val="left" w:pos="7560"/>
          <w:tab w:val="left" w:pos="8100"/>
        </w:tabs>
        <w:spacing w:after="0" w:line="240" w:lineRule="auto"/>
        <w:rPr>
          <w:rFonts w:ascii="Book Antiqua" w:eastAsia="Times New Roman" w:hAnsi="Book Antiqua" w:cs="Times New Roman"/>
          <w:kern w:val="0"/>
          <w14:ligatures w14:val="none"/>
        </w:rPr>
      </w:pP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="00AF31F6" w:rsidRPr="00987AF0">
        <w:rPr>
          <w:rFonts w:ascii="Book Antiqua" w:eastAsia="Times New Roman" w:hAnsi="Book Antiqua" w:cs="Times New Roman"/>
          <w:kern w:val="0"/>
          <w14:ligatures w14:val="none"/>
        </w:rPr>
        <w:t xml:space="preserve">20ma. </w:t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>Asamblea</w:t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ab/>
      </w:r>
      <w:r w:rsidR="00AF31F6" w:rsidRPr="00987AF0">
        <w:rPr>
          <w:rFonts w:ascii="Book Antiqua" w:eastAsia="Times New Roman" w:hAnsi="Book Antiqua" w:cs="Times New Roman"/>
          <w:kern w:val="0"/>
          <w14:ligatures w14:val="none"/>
        </w:rPr>
        <w:t xml:space="preserve">2da. </w:t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>Sesión</w:t>
      </w:r>
    </w:p>
    <w:p w14:paraId="20C46E23" w14:textId="5414FB34" w:rsidR="00B82909" w:rsidRPr="00987AF0" w:rsidRDefault="00B82909" w:rsidP="00B82909">
      <w:pPr>
        <w:tabs>
          <w:tab w:val="left" w:pos="720"/>
          <w:tab w:val="left" w:pos="4215"/>
          <w:tab w:val="left" w:pos="5160"/>
          <w:tab w:val="left" w:pos="8100"/>
        </w:tabs>
        <w:spacing w:after="0" w:line="240" w:lineRule="auto"/>
        <w:rPr>
          <w:rFonts w:ascii="Book Antiqua" w:eastAsia="Times New Roman" w:hAnsi="Book Antiqua" w:cs="Times New Roman"/>
          <w:kern w:val="0"/>
          <w14:ligatures w14:val="none"/>
        </w:rPr>
      </w:pPr>
      <w:r w:rsidRPr="00987AF0">
        <w:rPr>
          <w:rFonts w:ascii="Book Antiqua" w:eastAsia="Times New Roman" w:hAnsi="Book Antiqua" w:cs="Times New Roman"/>
          <w:kern w:val="0"/>
          <w14:ligatures w14:val="none"/>
        </w:rPr>
        <w:tab/>
      </w:r>
      <w:r w:rsidR="00AF31F6" w:rsidRPr="00987AF0">
        <w:rPr>
          <w:rFonts w:ascii="Book Antiqua" w:eastAsia="Times New Roman" w:hAnsi="Book Antiqua" w:cs="Times New Roman"/>
          <w:kern w:val="0"/>
          <w14:ligatures w14:val="none"/>
        </w:rPr>
        <w:t xml:space="preserve">            </w:t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>Legislativa</w:t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ab/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ab/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ab/>
        <w:t>Ordinaria</w:t>
      </w:r>
    </w:p>
    <w:p w14:paraId="2AC20BA2" w14:textId="77777777" w:rsidR="00B82909" w:rsidRPr="00987AF0" w:rsidRDefault="00B82909" w:rsidP="00B82909">
      <w:pPr>
        <w:spacing w:after="0" w:line="36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36"/>
          <w14:ligatures w14:val="none"/>
        </w:rPr>
      </w:pPr>
    </w:p>
    <w:p w14:paraId="7145144C" w14:textId="77777777" w:rsidR="00B82909" w:rsidRPr="00B82909" w:rsidRDefault="00B82909" w:rsidP="00B82909">
      <w:pPr>
        <w:spacing w:after="0" w:line="36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36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0228AEA2" w14:textId="09A10AD8" w:rsidR="00B82909" w:rsidRPr="00B82909" w:rsidRDefault="00B82909" w:rsidP="00B82909">
      <w:pPr>
        <w:spacing w:after="0" w:line="36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 xml:space="preserve">P. de la C. </w:t>
      </w:r>
      <w:r w:rsidR="009413D9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>230</w:t>
      </w:r>
    </w:p>
    <w:p w14:paraId="6DC03C9D" w14:textId="77777777" w:rsidR="00B82909" w:rsidRPr="00C804EA" w:rsidRDefault="00B82909" w:rsidP="00B82909">
      <w:pPr>
        <w:spacing w:after="0" w:line="36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</w:pPr>
      <w:r w:rsidRPr="00C804EA"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  <w:t>INFORME POSITIVO</w:t>
      </w:r>
    </w:p>
    <w:p w14:paraId="02E242FC" w14:textId="7B812B74" w:rsidR="00B82909" w:rsidRPr="00B82909" w:rsidRDefault="00246840" w:rsidP="00B82909">
      <w:pPr>
        <w:tabs>
          <w:tab w:val="left" w:pos="3615"/>
          <w:tab w:val="center" w:pos="4680"/>
        </w:tabs>
        <w:spacing w:after="0" w:line="360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15 </w:t>
      </w:r>
      <w:r w:rsidR="00A12CCD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de</w:t>
      </w:r>
      <w:r w:rsid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A12CCD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octubre</w:t>
      </w:r>
      <w:r w:rsid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2025</w:t>
      </w:r>
    </w:p>
    <w:p w14:paraId="3D306FF9" w14:textId="77777777" w:rsidR="00B82909" w:rsidRPr="00B82909" w:rsidRDefault="00B82909" w:rsidP="00B82909">
      <w:pPr>
        <w:spacing w:after="0" w:line="240" w:lineRule="auto"/>
        <w:jc w:val="both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</w:p>
    <w:p w14:paraId="064486AB" w14:textId="77777777" w:rsidR="00B82909" w:rsidRPr="00B82909" w:rsidRDefault="00B82909" w:rsidP="00B82909">
      <w:pPr>
        <w:spacing w:after="120" w:line="276" w:lineRule="auto"/>
        <w:jc w:val="both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A LA CÁMARA DE REPRESENTANTES DE PUERTO RICO</w:t>
      </w:r>
    </w:p>
    <w:p w14:paraId="0DEF051F" w14:textId="3AC579E9" w:rsidR="00B82909" w:rsidRPr="00B82909" w:rsidRDefault="005F1070" w:rsidP="00AF31F6">
      <w:pPr>
        <w:spacing w:after="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5F1070">
        <w:rPr>
          <w:rFonts w:ascii="Book Antiqua" w:eastAsia="Times New Roman" w:hAnsi="Book Antiqua" w:cs="Times New Roman"/>
          <w:kern w:val="0"/>
          <w14:ligatures w14:val="none"/>
        </w:rPr>
        <w:t xml:space="preserve">La Comisión de Hacienda de la Cámara de Representantes, previo estudio, análisis y consideración del Proyecto de la Cámara </w:t>
      </w:r>
      <w:r w:rsidR="009413D9">
        <w:rPr>
          <w:rFonts w:ascii="Book Antiqua" w:eastAsia="Times New Roman" w:hAnsi="Book Antiqua" w:cs="Times New Roman"/>
          <w:kern w:val="0"/>
          <w14:ligatures w14:val="none"/>
        </w:rPr>
        <w:t>230</w:t>
      </w:r>
      <w:r w:rsidRPr="005F1070">
        <w:rPr>
          <w:rFonts w:ascii="Book Antiqua" w:eastAsia="Times New Roman" w:hAnsi="Book Antiqua" w:cs="Times New Roman"/>
          <w:kern w:val="0"/>
          <w14:ligatures w14:val="none"/>
        </w:rPr>
        <w:t xml:space="preserve">, y en cumplimiento con las disposiciones del Reglamento de la Cámara de Representantes, tiene a bien recomendar a este Alto Cuerpo la aprobación de esta medida, </w:t>
      </w:r>
      <w:r w:rsidR="009413D9">
        <w:rPr>
          <w:rFonts w:ascii="Book Antiqua" w:eastAsia="Times New Roman" w:hAnsi="Book Antiqua" w:cs="Times New Roman"/>
          <w:kern w:val="0"/>
          <w14:ligatures w14:val="none"/>
        </w:rPr>
        <w:t>sin</w:t>
      </w:r>
      <w:r w:rsidRPr="005F1070">
        <w:rPr>
          <w:rFonts w:ascii="Book Antiqua" w:eastAsia="Times New Roman" w:hAnsi="Book Antiqua" w:cs="Times New Roman"/>
          <w:kern w:val="0"/>
          <w14:ligatures w14:val="none"/>
        </w:rPr>
        <w:t xml:space="preserve"> enmiendas</w:t>
      </w:r>
      <w:r w:rsidR="009413D9">
        <w:rPr>
          <w:rFonts w:ascii="Book Antiqua" w:eastAsia="Times New Roman" w:hAnsi="Book Antiqua" w:cs="Times New Roman"/>
          <w:kern w:val="0"/>
          <w14:ligatures w14:val="none"/>
        </w:rPr>
        <w:t>.</w:t>
      </w:r>
    </w:p>
    <w:p w14:paraId="25A4362D" w14:textId="77777777" w:rsidR="00B82909" w:rsidRPr="00B82909" w:rsidRDefault="00B82909" w:rsidP="00B82909">
      <w:pPr>
        <w:spacing w:after="120" w:line="276" w:lineRule="auto"/>
        <w:rPr>
          <w:rFonts w:ascii="Book Antiqua" w:eastAsia="Times New Roman" w:hAnsi="Book Antiqua" w:cs="Times New Roman"/>
          <w:b/>
          <w:kern w:val="0"/>
          <w:szCs w:val="32"/>
          <w:lang w:val="es-ES_tradnl"/>
          <w14:ligatures w14:val="none"/>
        </w:rPr>
      </w:pPr>
    </w:p>
    <w:p w14:paraId="27BF33DE" w14:textId="77777777" w:rsidR="00B82909" w:rsidRPr="00B82909" w:rsidRDefault="00B82909" w:rsidP="00B82909">
      <w:pPr>
        <w:spacing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ALCANCE DE LA MEDIDA</w:t>
      </w:r>
    </w:p>
    <w:p w14:paraId="6D35851E" w14:textId="77777777" w:rsidR="00B82909" w:rsidRPr="00B82909" w:rsidRDefault="00B82909" w:rsidP="00B82909">
      <w:pPr>
        <w:spacing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</w:p>
    <w:p w14:paraId="6F8BC58D" w14:textId="20CF9638" w:rsidR="00B82909" w:rsidRPr="009413D9" w:rsidRDefault="00AA7C18" w:rsidP="009413D9">
      <w:pPr>
        <w:spacing w:after="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9413D9">
        <w:rPr>
          <w:rFonts w:ascii="Book Antiqua" w:eastAsia="Times New Roman" w:hAnsi="Book Antiqua" w:cs="Times New Roman"/>
          <w:kern w:val="0"/>
          <w14:ligatures w14:val="none"/>
        </w:rPr>
        <w:t xml:space="preserve">El </w:t>
      </w:r>
      <w:r w:rsidR="005F1070" w:rsidRPr="009413D9">
        <w:rPr>
          <w:rFonts w:ascii="Book Antiqua" w:eastAsia="Times New Roman" w:hAnsi="Book Antiqua" w:cs="Times New Roman"/>
          <w:kern w:val="0"/>
          <w14:ligatures w14:val="none"/>
        </w:rPr>
        <w:t xml:space="preserve">Proyecto de la Cámara </w:t>
      </w:r>
      <w:r w:rsidR="009413D9" w:rsidRPr="009413D9">
        <w:rPr>
          <w:rFonts w:ascii="Book Antiqua" w:eastAsia="Times New Roman" w:hAnsi="Book Antiqua" w:cs="Times New Roman"/>
          <w:kern w:val="0"/>
          <w14:ligatures w14:val="none"/>
        </w:rPr>
        <w:t>230</w:t>
      </w:r>
      <w:r w:rsidR="005F1070" w:rsidRPr="009413D9">
        <w:rPr>
          <w:rFonts w:ascii="Book Antiqua" w:eastAsia="Times New Roman" w:hAnsi="Book Antiqua" w:cs="Times New Roman"/>
          <w:kern w:val="0"/>
          <w14:ligatures w14:val="none"/>
        </w:rPr>
        <w:t xml:space="preserve"> propone </w:t>
      </w:r>
      <w:r w:rsidR="009413D9" w:rsidRPr="009413D9">
        <w:rPr>
          <w:rFonts w:ascii="Book Antiqua" w:eastAsia="Times New Roman" w:hAnsi="Book Antiqua" w:cs="Times New Roman"/>
          <w:kern w:val="0"/>
          <w14:ligatures w14:val="none"/>
        </w:rPr>
        <w:t>enmendar el Artículo 2.04 (1) (a) de la Ley 26-2017, según enmendada, conocida como la “Ley de Cumplimiento con el Plan Fiscal”, a los fines de incluir a los Agentes de la Unidad Especializada de Investigaciones y Arrestos del Programa de Servicios con Antelación a Juicio adscrito al Departamento de Corrección y Rehabilitación dentro de las categorías excluidas de las disposiciones de este Artículo; y para otros fines relacionados</w:t>
      </w:r>
      <w:r w:rsidR="009413D9">
        <w:rPr>
          <w:rFonts w:ascii="Book Antiqua" w:eastAsia="Times New Roman" w:hAnsi="Book Antiqua" w:cs="Times New Roman"/>
          <w:kern w:val="0"/>
          <w14:ligatures w14:val="none"/>
        </w:rPr>
        <w:t>.</w:t>
      </w:r>
    </w:p>
    <w:p w14:paraId="6026A5C3" w14:textId="77777777" w:rsidR="00B82909" w:rsidRDefault="00B82909" w:rsidP="00B82909">
      <w:pPr>
        <w:spacing w:before="100" w:beforeAutospacing="1"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ANÁLISIS DE LA MEDIDA</w:t>
      </w:r>
    </w:p>
    <w:p w14:paraId="1FB7D246" w14:textId="77777777" w:rsidR="009413D9" w:rsidRPr="009413D9" w:rsidRDefault="009413D9" w:rsidP="009413D9">
      <w:pPr>
        <w:spacing w:after="120" w:line="276" w:lineRule="auto"/>
        <w:jc w:val="both"/>
        <w:rPr>
          <w:rFonts w:ascii="Book Antiqua" w:eastAsia="Times New Roman" w:hAnsi="Book Antiqua" w:cs="Times New Roman"/>
          <w:kern w:val="0"/>
          <w:szCs w:val="20"/>
          <w14:ligatures w14:val="none"/>
        </w:rPr>
      </w:pPr>
      <w:r w:rsidRPr="009413D9">
        <w:rPr>
          <w:rFonts w:ascii="Book Antiqua" w:eastAsia="Times New Roman" w:hAnsi="Book Antiqua" w:cs="Times New Roman"/>
          <w:kern w:val="0"/>
          <w:szCs w:val="20"/>
          <w14:ligatures w14:val="none"/>
        </w:rPr>
        <w:t>Los Agentes de la Unidad Especializada de Investigaciones y Arrestos del Programa de Servicios con Antelación al Juicio supervisan a personas acusadas de delitos graves mediante el uso de grilletes electrónicos, realizando visitas, pruebas de sustancias controladas e investigaciones por incumplimiento de condiciones. También efectúan arrestos, incluyendo por manipulación del sistema de supervisión, y operan en zonas de alta criminalidad, lo que pone en riesgo su seguridad.</w:t>
      </w:r>
    </w:p>
    <w:p w14:paraId="6A0A8013" w14:textId="77777777" w:rsidR="009413D9" w:rsidRPr="009413D9" w:rsidRDefault="009413D9" w:rsidP="009413D9">
      <w:pPr>
        <w:spacing w:after="120" w:line="276" w:lineRule="auto"/>
        <w:jc w:val="both"/>
        <w:rPr>
          <w:rFonts w:ascii="Book Antiqua" w:eastAsia="Times New Roman" w:hAnsi="Book Antiqua" w:cs="Times New Roman"/>
          <w:kern w:val="0"/>
          <w:szCs w:val="20"/>
          <w14:ligatures w14:val="none"/>
        </w:rPr>
      </w:pPr>
      <w:r w:rsidRPr="009413D9">
        <w:rPr>
          <w:rFonts w:ascii="Book Antiqua" w:eastAsia="Times New Roman" w:hAnsi="Book Antiqua" w:cs="Times New Roman"/>
          <w:kern w:val="0"/>
          <w:szCs w:val="20"/>
          <w14:ligatures w14:val="none"/>
        </w:rPr>
        <w:lastRenderedPageBreak/>
        <w:t>Su labor garantiza tanto la presunción de inocencia del imputado como la seguridad pública, siendo esencial para el buen funcionamiento del sistema judicial y la lucha contra el crimen.</w:t>
      </w:r>
    </w:p>
    <w:p w14:paraId="2FE03F08" w14:textId="77777777" w:rsidR="009413D9" w:rsidRPr="009413D9" w:rsidRDefault="009413D9" w:rsidP="009413D9">
      <w:pPr>
        <w:spacing w:after="120" w:line="276" w:lineRule="auto"/>
        <w:jc w:val="both"/>
        <w:rPr>
          <w:rFonts w:ascii="Book Antiqua" w:eastAsia="Times New Roman" w:hAnsi="Book Antiqua" w:cs="Times New Roman"/>
          <w:kern w:val="0"/>
          <w:szCs w:val="20"/>
          <w14:ligatures w14:val="none"/>
        </w:rPr>
      </w:pPr>
      <w:r w:rsidRPr="009413D9">
        <w:rPr>
          <w:rFonts w:ascii="Book Antiqua" w:eastAsia="Times New Roman" w:hAnsi="Book Antiqua" w:cs="Times New Roman"/>
          <w:kern w:val="0"/>
          <w:szCs w:val="20"/>
          <w14:ligatures w14:val="none"/>
        </w:rPr>
        <w:t>A pesar de realizar funciones similares a las del Cuerpo de Oficiales de Custodia del Departamento de Corrección y Rehabilitación, estos agentes no fueron incluidos en los beneficios establecidos por la Ley 20-2019. Por ello, la Asamblea Legislativa considera justo reconocerles el mismo trato, dado el valor y riesgo de su trabajo en favor de la seguridad y los valores democráticos.</w:t>
      </w:r>
    </w:p>
    <w:p w14:paraId="0863E637" w14:textId="6ECBB14F" w:rsidR="00AF31F6" w:rsidRPr="00AF31F6" w:rsidRDefault="00AF31F6" w:rsidP="00AF31F6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>
        <w:rPr>
          <w:rFonts w:ascii="Book Antiqua" w:eastAsia="Times New Roman" w:hAnsi="Book Antiqua" w:cs="Times New Roman"/>
          <w:kern w:val="0"/>
          <w14:ligatures w14:val="none"/>
        </w:rPr>
        <w:t xml:space="preserve">Esta Comisión solicitó memoriales explicativos sobre este Proyecto al Departamento de Hacienda, la </w:t>
      </w:r>
      <w:r w:rsidRPr="00FB24F5">
        <w:rPr>
          <w:rFonts w:ascii="Book Antiqua" w:eastAsia="Times New Roman" w:hAnsi="Book Antiqua" w:cs="Times New Roman"/>
          <w:kern w:val="0"/>
          <w14:ligatures w14:val="none"/>
        </w:rPr>
        <w:t>Autoridad de Asesoría Financiera y Agencia Fiscal (AAFAF)</w:t>
      </w:r>
      <w:r>
        <w:rPr>
          <w:rFonts w:ascii="Book Antiqua" w:eastAsia="Times New Roman" w:hAnsi="Book Antiqua" w:cs="Times New Roman"/>
          <w:kern w:val="0"/>
          <w14:ligatures w14:val="none"/>
        </w:rPr>
        <w:t>, la Oficina de Gerencia y Presupuesto</w:t>
      </w:r>
      <w:r w:rsidR="009413D9">
        <w:rPr>
          <w:rFonts w:ascii="Book Antiqua" w:eastAsia="Times New Roman" w:hAnsi="Book Antiqua" w:cs="Times New Roman"/>
          <w:kern w:val="0"/>
          <w14:ligatures w14:val="none"/>
        </w:rPr>
        <w:t xml:space="preserve"> y al Departamento de Corrección y Rehabilitación</w:t>
      </w:r>
      <w:r w:rsidR="00682055">
        <w:rPr>
          <w:rFonts w:ascii="Book Antiqua" w:eastAsia="Times New Roman" w:hAnsi="Book Antiqua" w:cs="Times New Roman"/>
          <w:kern w:val="0"/>
          <w14:ligatures w14:val="none"/>
        </w:rPr>
        <w:t xml:space="preserve"> y a la Oficina de Presupuesto de la Asamblea Legislativa (OPAL)</w:t>
      </w:r>
      <w:r w:rsidR="009413D9">
        <w:rPr>
          <w:rFonts w:ascii="Book Antiqua" w:eastAsia="Times New Roman" w:hAnsi="Book Antiqua" w:cs="Times New Roman"/>
          <w:kern w:val="0"/>
          <w14:ligatures w14:val="none"/>
        </w:rPr>
        <w:t xml:space="preserve">. </w:t>
      </w:r>
      <w:r>
        <w:rPr>
          <w:rFonts w:ascii="Book Antiqua" w:eastAsia="Times New Roman" w:hAnsi="Book Antiqua" w:cs="Times New Roman"/>
          <w:kern w:val="0"/>
          <w14:ligatures w14:val="none"/>
        </w:rPr>
        <w:t xml:space="preserve"> Al momento de la redacción de este informe la Comisión recibió los memoriales explicativos de la </w:t>
      </w:r>
      <w:r w:rsidR="00EA08EB">
        <w:rPr>
          <w:rFonts w:ascii="Book Antiqua" w:eastAsia="Times New Roman" w:hAnsi="Book Antiqua" w:cs="Times New Roman"/>
          <w:kern w:val="0"/>
          <w14:ligatures w14:val="none"/>
        </w:rPr>
        <w:t>AAFAF, del</w:t>
      </w:r>
      <w:r w:rsidR="009413D9">
        <w:rPr>
          <w:rFonts w:ascii="Book Antiqua" w:eastAsia="Times New Roman" w:hAnsi="Book Antiqua" w:cs="Times New Roman"/>
          <w:kern w:val="0"/>
          <w14:ligatures w14:val="none"/>
        </w:rPr>
        <w:t xml:space="preserve"> Departamento de Corrección y Rehabilitación</w:t>
      </w:r>
      <w:r w:rsidR="00682055">
        <w:rPr>
          <w:rFonts w:ascii="Book Antiqua" w:eastAsia="Times New Roman" w:hAnsi="Book Antiqua" w:cs="Times New Roman"/>
          <w:kern w:val="0"/>
          <w14:ligatures w14:val="none"/>
        </w:rPr>
        <w:t xml:space="preserve"> y el informe sometido por la OPAL</w:t>
      </w:r>
      <w:r>
        <w:rPr>
          <w:rFonts w:ascii="Book Antiqua" w:eastAsia="Times New Roman" w:hAnsi="Book Antiqua" w:cs="Times New Roman"/>
          <w:kern w:val="0"/>
          <w14:ligatures w14:val="none"/>
        </w:rPr>
        <w:t>.</w:t>
      </w:r>
    </w:p>
    <w:p w14:paraId="3F11D4D3" w14:textId="4779809C" w:rsidR="00FB24F5" w:rsidRPr="00AF31F6" w:rsidRDefault="00AF31F6" w:rsidP="00AF31F6">
      <w:pPr>
        <w:spacing w:before="100" w:beforeAutospacing="1" w:after="120" w:line="276" w:lineRule="auto"/>
        <w:jc w:val="center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  <w:r w:rsidRPr="00AF31F6">
        <w:rPr>
          <w:rFonts w:ascii="Book Antiqua" w:eastAsia="Times New Roman" w:hAnsi="Book Antiqua" w:cs="Times New Roman"/>
          <w:b/>
          <w:bCs/>
          <w:kern w:val="0"/>
          <w14:ligatures w14:val="none"/>
        </w:rPr>
        <w:t>Autoridad de Asesoría Financiera y Agencia Fiscal (AAFAF)</w:t>
      </w:r>
    </w:p>
    <w:p w14:paraId="3FE1D79D" w14:textId="77777777" w:rsidR="00A7469F" w:rsidRPr="00A7469F" w:rsidRDefault="00A7469F" w:rsidP="00A7469F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A7469F">
        <w:rPr>
          <w:rFonts w:ascii="Book Antiqua" w:eastAsia="Times New Roman" w:hAnsi="Book Antiqua" w:cs="Times New Roman"/>
          <w:kern w:val="0"/>
          <w14:ligatures w14:val="none"/>
        </w:rPr>
        <w:t xml:space="preserve">La Ley Núm. 26-2017, conocida como la </w:t>
      </w:r>
      <w:r w:rsidRPr="00A7469F">
        <w:rPr>
          <w:rFonts w:ascii="Book Antiqua" w:eastAsia="Times New Roman" w:hAnsi="Book Antiqua" w:cs="Times New Roman"/>
          <w:i/>
          <w:iCs/>
          <w:kern w:val="0"/>
          <w14:ligatures w14:val="none"/>
        </w:rPr>
        <w:t>Ley de Cumplimiento con el Plan Fiscal</w:t>
      </w:r>
      <w:r w:rsidRPr="00A7469F">
        <w:rPr>
          <w:rFonts w:ascii="Book Antiqua" w:eastAsia="Times New Roman" w:hAnsi="Book Antiqua" w:cs="Times New Roman"/>
          <w:kern w:val="0"/>
          <w14:ligatures w14:val="none"/>
        </w:rPr>
        <w:t>, fue promulgada con el objetivo de uniformar los beneficios marginales de los empleados públicos en Puerto Rico. Esta legislación busca establecer un sistema coherente de derechos laborales que aplique a todas las agencias, instrumentalidades y corporaciones públicas, salvo aquellas categorías específicamente excluidas. Entre sus disposiciones, se encuentra el Artículo 2.04(1)(a), que regula la acumulación de días de vacaciones para los empleados del gobierno y define las excepciones a esta norma.</w:t>
      </w:r>
    </w:p>
    <w:p w14:paraId="5619702F" w14:textId="568B3C2D" w:rsidR="00A7469F" w:rsidRPr="00A7469F" w:rsidRDefault="001D6730" w:rsidP="00A7469F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>
        <w:rPr>
          <w:rFonts w:ascii="Book Antiqua" w:eastAsia="Times New Roman" w:hAnsi="Book Antiqua" w:cs="Times New Roman"/>
          <w:kern w:val="0"/>
          <w14:ligatures w14:val="none"/>
        </w:rPr>
        <w:t>Este proyecto propone</w:t>
      </w:r>
      <w:r w:rsidR="00A7469F" w:rsidRPr="00A7469F">
        <w:rPr>
          <w:rFonts w:ascii="Book Antiqua" w:eastAsia="Times New Roman" w:hAnsi="Book Antiqua" w:cs="Times New Roman"/>
          <w:kern w:val="0"/>
          <w14:ligatures w14:val="none"/>
        </w:rPr>
        <w:t xml:space="preserve"> una enmienda para incluir a los Agentes de la Unidad Especializada de Investigaciones y Arrestos del Programa de Servicios con Antelación a Juicio (PSAJ), adscritos al Departamento de Corrección y Rehabilitación (DCR), entre las categorías excluidas. Esta medida busca reconocer el carácter especializado y de alto riesgo de sus funciones, similar al de otros cuerpos de seguridad pública que ya gozan de este beneficio diferenciado.</w:t>
      </w:r>
    </w:p>
    <w:p w14:paraId="28F1A639" w14:textId="77777777" w:rsidR="00A7469F" w:rsidRPr="00A7469F" w:rsidRDefault="00A7469F" w:rsidP="00A7469F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A7469F">
        <w:rPr>
          <w:rFonts w:ascii="Book Antiqua" w:eastAsia="Times New Roman" w:hAnsi="Book Antiqua" w:cs="Times New Roman"/>
          <w:kern w:val="0"/>
          <w14:ligatures w14:val="none"/>
        </w:rPr>
        <w:t>La Ley 26-2017 establece su primacía sobre cualquier otra legislación que la contradiga, tal como lo señalan sus artículos 1.02 y 2.19. Esto resalta la importancia de evaluar cuidadosamente cualquier enmienda propuesta, asegurando que esté alineada con el marco legal vigente y los compromisos fiscales asumidos por el Gobierno de Puerto Rico.</w:t>
      </w:r>
    </w:p>
    <w:p w14:paraId="0492C759" w14:textId="0E1BA594" w:rsidR="00A7469F" w:rsidRPr="00A7469F" w:rsidRDefault="00682055" w:rsidP="00A7469F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>
        <w:rPr>
          <w:rFonts w:ascii="Book Antiqua" w:eastAsia="Times New Roman" w:hAnsi="Book Antiqua" w:cs="Times New Roman"/>
          <w:kern w:val="0"/>
          <w14:ligatures w14:val="none"/>
        </w:rPr>
        <w:lastRenderedPageBreak/>
        <w:t>La AAFAF</w:t>
      </w:r>
      <w:r w:rsidR="00A7469F" w:rsidRPr="00A7469F">
        <w:rPr>
          <w:rFonts w:ascii="Book Antiqua" w:eastAsia="Times New Roman" w:hAnsi="Book Antiqua" w:cs="Times New Roman"/>
          <w:kern w:val="0"/>
          <w14:ligatures w14:val="none"/>
        </w:rPr>
        <w:t xml:space="preserve"> recomienda que proyectos como el propuesto sean evaluados la OPAL, la Oficina de Presupuesto de la Asamblea Legislativa. Esta última tiene la función de analizar técnica y objetivamente el impacto de las medidas legislativas, fortaleciendo así la toma de decisiones en la Asamblea Legislativa.</w:t>
      </w:r>
    </w:p>
    <w:p w14:paraId="0DF65303" w14:textId="77777777" w:rsidR="00A7469F" w:rsidRPr="00A7469F" w:rsidRDefault="00A7469F" w:rsidP="00A7469F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A7469F">
        <w:rPr>
          <w:rFonts w:ascii="Book Antiqua" w:eastAsia="Times New Roman" w:hAnsi="Book Antiqua" w:cs="Times New Roman"/>
          <w:kern w:val="0"/>
          <w14:ligatures w14:val="none"/>
        </w:rPr>
        <w:t>En conclusión, la propuesta de extender beneficios marginales diferenciados a los Agentes del PSAJ reconoce la relevancia y el riesgo inherente a sus labores. Para garantizar su implementación efectiva, es necesario que el proceso legislativo esté respaldado por los análisis correspondientes y por la colaboración entre las agencias concernidas, asegurando así la solidez jurídica y administrativa de cualquier medida que se adopte.</w:t>
      </w:r>
    </w:p>
    <w:p w14:paraId="7AE81678" w14:textId="73594AA6" w:rsidR="00FB24F5" w:rsidRPr="009413D9" w:rsidRDefault="009413D9" w:rsidP="009413D9">
      <w:pPr>
        <w:tabs>
          <w:tab w:val="left" w:pos="3480"/>
          <w:tab w:val="center" w:pos="4680"/>
        </w:tabs>
        <w:spacing w:before="100" w:beforeAutospacing="1" w:after="120" w:line="276" w:lineRule="auto"/>
        <w:jc w:val="center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  <w:r w:rsidRPr="009413D9">
        <w:rPr>
          <w:rFonts w:ascii="Book Antiqua" w:eastAsia="Times New Roman" w:hAnsi="Book Antiqua" w:cs="Times New Roman"/>
          <w:b/>
          <w:bCs/>
          <w:kern w:val="0"/>
          <w14:ligatures w14:val="none"/>
        </w:rPr>
        <w:t>Departamento de Corrección y Rehabilitación</w:t>
      </w:r>
    </w:p>
    <w:p w14:paraId="6491B448" w14:textId="1B7DC440" w:rsidR="009413D9" w:rsidRPr="009413D9" w:rsidRDefault="00030A06" w:rsidP="009413D9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>
        <w:rPr>
          <w:rFonts w:ascii="Book Antiqua" w:eastAsia="Times New Roman" w:hAnsi="Book Antiqua" w:cs="Times New Roman"/>
          <w:kern w:val="0"/>
          <w14:ligatures w14:val="none"/>
        </w:rPr>
        <w:t>El Depto. de Corrección y Rehabilitación expreso en el memorial presentado ante esta Comisión que favorece la aprobación del P de la C 230.  De igual forma expuso que l</w:t>
      </w:r>
      <w:r w:rsidR="009413D9" w:rsidRPr="009413D9">
        <w:rPr>
          <w:rFonts w:ascii="Book Antiqua" w:eastAsia="Times New Roman" w:hAnsi="Book Antiqua" w:cs="Times New Roman"/>
          <w:kern w:val="0"/>
          <w14:ligatures w14:val="none"/>
        </w:rPr>
        <w:t xml:space="preserve">a Ley Núm. 26-2017, conocida como la </w:t>
      </w:r>
      <w:r w:rsidR="009413D9" w:rsidRPr="009413D9">
        <w:rPr>
          <w:rFonts w:ascii="Book Antiqua" w:eastAsia="Times New Roman" w:hAnsi="Book Antiqua" w:cs="Times New Roman"/>
          <w:i/>
          <w:iCs/>
          <w:kern w:val="0"/>
          <w14:ligatures w14:val="none"/>
        </w:rPr>
        <w:t>Ley de Cumplimiento con el Plan Fiscal</w:t>
      </w:r>
      <w:r w:rsidR="009413D9" w:rsidRPr="009413D9">
        <w:rPr>
          <w:rFonts w:ascii="Book Antiqua" w:eastAsia="Times New Roman" w:hAnsi="Book Antiqua" w:cs="Times New Roman"/>
          <w:kern w:val="0"/>
          <w14:ligatures w14:val="none"/>
        </w:rPr>
        <w:t>, fue aprobada para controlar y reducir gastos en el Gobierno de Puerto Rico, protegiendo servicios esenciales (salud, seguridad, educación, etc.) y el empleo público. Como parte de esta política, se uniformaron los beneficios marginales de los empleados públicos.</w:t>
      </w:r>
    </w:p>
    <w:p w14:paraId="44BE25E4" w14:textId="77777777" w:rsidR="009413D9" w:rsidRPr="009413D9" w:rsidRDefault="009413D9" w:rsidP="009413D9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9413D9">
        <w:rPr>
          <w:rFonts w:ascii="Book Antiqua" w:eastAsia="Times New Roman" w:hAnsi="Book Antiqua" w:cs="Times New Roman"/>
          <w:kern w:val="0"/>
          <w14:ligatures w14:val="none"/>
        </w:rPr>
        <w:t>Posteriormente, en 2022, se aprobó la Ley 119, que enmendó el Artículo 2.04 (a) de la Ley 26-2017 para modificar la acumulación de licencia de vacaciones a 2 días por mes para la mayoría de los empleados públicos, con ciertas excepciones (como policías, bomberos, oficiales de custodia, etc.), quienes mantendrían su acumulación anterior.</w:t>
      </w:r>
    </w:p>
    <w:p w14:paraId="766D3CDF" w14:textId="77777777" w:rsidR="009413D9" w:rsidRDefault="009413D9" w:rsidP="009413D9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9413D9">
        <w:rPr>
          <w:rFonts w:ascii="Book Antiqua" w:eastAsia="Times New Roman" w:hAnsi="Book Antiqua" w:cs="Times New Roman"/>
          <w:kern w:val="0"/>
          <w14:ligatures w14:val="none"/>
        </w:rPr>
        <w:t>Sin embargo, en enero de 2024, la Junta de Supervisión Fiscal (JSF) ordenó no implementar esta enmienda, por considerarla inconsistente con el Plan Fiscal Certificado. La Oficina de Administración y Transformación de los Recursos Humanos (OATRH) acató esta directriz.</w:t>
      </w:r>
    </w:p>
    <w:p w14:paraId="6CF02176" w14:textId="18C024D3" w:rsidR="009413D9" w:rsidRPr="009413D9" w:rsidRDefault="009413D9" w:rsidP="009413D9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>
        <w:rPr>
          <w:rFonts w:ascii="Book Antiqua" w:eastAsia="Times New Roman" w:hAnsi="Book Antiqua" w:cs="Times New Roman"/>
          <w:kern w:val="0"/>
          <w14:ligatures w14:val="none"/>
        </w:rPr>
        <w:t>E</w:t>
      </w:r>
      <w:r w:rsidRPr="009413D9">
        <w:rPr>
          <w:rFonts w:ascii="Book Antiqua" w:eastAsia="Times New Roman" w:hAnsi="Book Antiqua" w:cs="Times New Roman"/>
          <w:kern w:val="0"/>
          <w14:ligatures w14:val="none"/>
        </w:rPr>
        <w:t xml:space="preserve">l Proyecto de la Cámara 230 </w:t>
      </w:r>
      <w:r>
        <w:rPr>
          <w:rFonts w:ascii="Book Antiqua" w:eastAsia="Times New Roman" w:hAnsi="Book Antiqua" w:cs="Times New Roman"/>
          <w:kern w:val="0"/>
          <w14:ligatures w14:val="none"/>
        </w:rPr>
        <w:t xml:space="preserve">propone </w:t>
      </w:r>
      <w:r w:rsidRPr="009413D9">
        <w:rPr>
          <w:rFonts w:ascii="Book Antiqua" w:eastAsia="Times New Roman" w:hAnsi="Book Antiqua" w:cs="Times New Roman"/>
          <w:kern w:val="0"/>
          <w14:ligatures w14:val="none"/>
        </w:rPr>
        <w:t>enmendar nuevamente el Artículo 2.04 para incluir expresamente a los Agentes de la Unidad Especializada de Investigaciones y Arrestos del Programa de Servicios con Antelación a Juicio (PSAJ) entre los empleados exceptuados de la nueva norma de acumulación de vacaciones.</w:t>
      </w:r>
    </w:p>
    <w:p w14:paraId="000D0E35" w14:textId="1B0985EA" w:rsidR="00030A06" w:rsidRPr="009413D9" w:rsidRDefault="009413D9" w:rsidP="009413D9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9413D9">
        <w:rPr>
          <w:rFonts w:ascii="Book Antiqua" w:eastAsia="Times New Roman" w:hAnsi="Book Antiqua" w:cs="Times New Roman"/>
          <w:kern w:val="0"/>
          <w14:ligatures w14:val="none"/>
        </w:rPr>
        <w:t>Esto significa que dichos agentes, al igual que otros cuerpos de seguridad y emergencia, continuarían acumulando licencia por vacaciones bajo las condiciones anteriores a la Ley 26-2017, reconociendo la naturaleza riesgosa y especializada de su labor.</w:t>
      </w:r>
    </w:p>
    <w:p w14:paraId="04CBEDF9" w14:textId="77777777" w:rsidR="00911BFA" w:rsidRDefault="00911BFA" w:rsidP="00B82909">
      <w:pPr>
        <w:spacing w:before="100" w:beforeAutospacing="1"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</w:p>
    <w:p w14:paraId="427CCBA7" w14:textId="7F6946BE" w:rsidR="00B82909" w:rsidRPr="00B82909" w:rsidRDefault="00B82909" w:rsidP="00B82909">
      <w:pPr>
        <w:spacing w:before="100" w:beforeAutospacing="1"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IMPACTO FISCAL</w:t>
      </w:r>
    </w:p>
    <w:p w14:paraId="35032430" w14:textId="0755149F" w:rsidR="001D6730" w:rsidRDefault="00FB24F5" w:rsidP="00AF31F6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B82909">
        <w:rPr>
          <w:rFonts w:ascii="Book Antiqua" w:eastAsia="Times New Roman" w:hAnsi="Book Antiqua" w:cs="Times New Roman"/>
          <w:kern w:val="0"/>
          <w14:ligatures w14:val="none"/>
        </w:rPr>
        <w:t>De acuerdo con el análisis de OPA</w:t>
      </w:r>
      <w:r w:rsidR="00C7366C">
        <w:rPr>
          <w:rFonts w:ascii="Book Antiqua" w:eastAsia="Times New Roman" w:hAnsi="Book Antiqua" w:cs="Times New Roman"/>
          <w:kern w:val="0"/>
          <w14:ligatures w14:val="none"/>
        </w:rPr>
        <w:t>L en su informe #2025-024</w:t>
      </w:r>
      <w:r w:rsidR="00C7366C" w:rsidRPr="00B82909">
        <w:rPr>
          <w:rFonts w:ascii="Book Antiqua" w:eastAsia="Times New Roman" w:hAnsi="Book Antiqua" w:cs="Times New Roman"/>
          <w:kern w:val="0"/>
          <w14:ligatures w14:val="none"/>
        </w:rPr>
        <w:t>,</w:t>
      </w:r>
      <w:r w:rsidR="00C7366C">
        <w:rPr>
          <w:rFonts w:ascii="Book Antiqua" w:eastAsia="Times New Roman" w:hAnsi="Book Antiqua" w:cs="Times New Roman"/>
          <w:kern w:val="0"/>
          <w14:ligatures w14:val="none"/>
        </w:rPr>
        <w:t xml:space="preserve"> </w:t>
      </w:r>
      <w:r w:rsidR="00C7366C" w:rsidRPr="00B82909">
        <w:rPr>
          <w:rFonts w:ascii="Book Antiqua" w:eastAsia="Times New Roman" w:hAnsi="Book Antiqua" w:cs="Times New Roman"/>
          <w:kern w:val="0"/>
          <w14:ligatures w14:val="none"/>
        </w:rPr>
        <w:t>con</w:t>
      </w:r>
      <w:r w:rsidR="001D6730">
        <w:rPr>
          <w:rFonts w:ascii="Book Antiqua" w:eastAsia="Times New Roman" w:hAnsi="Book Antiqua" w:cs="Times New Roman"/>
          <w:kern w:val="0"/>
          <w14:ligatures w14:val="none"/>
        </w:rPr>
        <w:t xml:space="preserve"> la aprobación del </w:t>
      </w:r>
      <w:r w:rsidRPr="00B82909">
        <w:rPr>
          <w:rFonts w:ascii="Book Antiqua" w:eastAsia="Times New Roman" w:hAnsi="Book Antiqua" w:cs="Times New Roman"/>
          <w:kern w:val="0"/>
          <w14:ligatures w14:val="none"/>
        </w:rPr>
        <w:t xml:space="preserve">Proyecto de la Cámara </w:t>
      </w:r>
      <w:r w:rsidR="001D6730">
        <w:rPr>
          <w:rFonts w:ascii="Book Antiqua" w:eastAsia="Times New Roman" w:hAnsi="Book Antiqua" w:cs="Times New Roman"/>
          <w:kern w:val="0"/>
          <w14:ligatures w14:val="none"/>
        </w:rPr>
        <w:t xml:space="preserve">230, 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a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partir del año fiscal 2026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,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el efecto fiscal de incluir a los 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A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gentes de la 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U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nidad 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E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specializada de 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I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nvestigaciones y 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A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rresto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s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dentro de las categorías excluidas en las disposiciones del artículo 2.04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(1) (a) 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de la ley 26 del 2017 se estima será un costo implícito de 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$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386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,</w:t>
      </w:r>
      <w:r w:rsidR="001D6730" w:rsidRP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100</w:t>
      </w:r>
      <w:r w:rsidR="001D6730">
        <w:rPr>
          <w:rFonts w:ascii="Book Antiqua" w:eastAsia="Times New Roman" w:hAnsi="Book Antiqua" w:cs="Times New Roman"/>
          <w:kern w:val="0"/>
          <w:lang w:val="es-ES"/>
          <w14:ligatures w14:val="none"/>
        </w:rPr>
        <w:t>.</w:t>
      </w:r>
      <w:r w:rsidR="00B537AD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 Además, mencionan que este costo implícito no representa un costo o gasto adicional al Presupuesto del Gobierno, sino que es el costo económico estimado de la licencia si parte de los empleados se acogen a la misma.</w:t>
      </w:r>
    </w:p>
    <w:p w14:paraId="62BAC75C" w14:textId="7ADF0097" w:rsidR="00B82909" w:rsidRPr="00B82909" w:rsidRDefault="00B82909" w:rsidP="00B82909">
      <w:pPr>
        <w:spacing w:before="100" w:beforeAutospacing="1"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CONCLUSIÓN</w:t>
      </w:r>
    </w:p>
    <w:p w14:paraId="59ADF93A" w14:textId="6C16CD49" w:rsidR="001D6730" w:rsidRDefault="001D6730" w:rsidP="00AF31F6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1D6730">
        <w:rPr>
          <w:rFonts w:ascii="Book Antiqua" w:eastAsia="Times New Roman" w:hAnsi="Book Antiqua" w:cs="Times New Roman"/>
          <w:kern w:val="0"/>
          <w14:ligatures w14:val="none"/>
        </w:rPr>
        <w:t>La aprobación de este Proyecto de Ley es un acto de justicia y equidad para los Agentes de la Unidad Especializada de Investigaciones y Arrestos del Programa de Servicios con Antelación a Juicio, quienes desempeñan funciones críticas para la seguridad pública y el sistema judicial. Su labor expone sus vidas diariamente, en condiciones de alto riesgo, y resulta esencial para garantizar tanto la presunción de inocencia como la protección de la ciudadanía. Reconocerles los mismos derechos y beneficios que otros servidores públicos en funciones similares no solo es justo, sino también necesario para fortalecer la confianza en las instituciones y la lucha contra el crimen.</w:t>
      </w:r>
      <w:r w:rsidR="00B537AD">
        <w:rPr>
          <w:rFonts w:ascii="Book Antiqua" w:eastAsia="Times New Roman" w:hAnsi="Book Antiqua" w:cs="Times New Roman"/>
          <w:kern w:val="0"/>
          <w14:ligatures w14:val="none"/>
        </w:rPr>
        <w:t xml:space="preserve">  Esta Comisión </w:t>
      </w:r>
      <w:r w:rsidR="00C7366C">
        <w:rPr>
          <w:rFonts w:ascii="Book Antiqua" w:eastAsia="Times New Roman" w:hAnsi="Book Antiqua" w:cs="Times New Roman"/>
          <w:kern w:val="0"/>
          <w14:ligatures w14:val="none"/>
        </w:rPr>
        <w:t xml:space="preserve">coincide con los resultados del informe de OPAL y </w:t>
      </w:r>
      <w:r w:rsidR="00B537AD">
        <w:rPr>
          <w:rFonts w:ascii="Book Antiqua" w:eastAsia="Times New Roman" w:hAnsi="Book Antiqua" w:cs="Times New Roman"/>
          <w:kern w:val="0"/>
          <w14:ligatures w14:val="none"/>
        </w:rPr>
        <w:t>entiende que el impacto fiscal es un costo implícito que no representa un costo o gasto adicional al Presupuesto Gubernamental.</w:t>
      </w:r>
    </w:p>
    <w:p w14:paraId="6F25582E" w14:textId="0B12F77F" w:rsidR="00B82909" w:rsidRPr="001D6730" w:rsidRDefault="00B82909" w:rsidP="001D6730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14:ligatures w14:val="none"/>
        </w:rPr>
        <w:t>POR TODO LO ANTES EXPUESTO</w:t>
      </w:r>
      <w:r w:rsidRPr="00B82909">
        <w:rPr>
          <w:rFonts w:ascii="Book Antiqua" w:eastAsia="Times New Roman" w:hAnsi="Book Antiqua" w:cs="Times New Roman"/>
          <w:kern w:val="0"/>
          <w14:ligatures w14:val="none"/>
        </w:rPr>
        <w:t xml:space="preserve">, </w:t>
      </w:r>
      <w:r w:rsidR="00FB24F5" w:rsidRPr="00B82909">
        <w:rPr>
          <w:rFonts w:ascii="Book Antiqua" w:eastAsia="Times New Roman" w:hAnsi="Book Antiqua" w:cs="Times New Roman"/>
          <w:kern w:val="0"/>
          <w14:ligatures w14:val="none"/>
        </w:rPr>
        <w:t xml:space="preserve">la Comisión de Hacienda de la Cámara de Representantes de Puerto Rico, luego del estudio y consideración correspondiente, tiene a bien recomendar a este Alto Cuerpo la aprobación del P. de la C. </w:t>
      </w:r>
      <w:r w:rsidR="001D6730">
        <w:rPr>
          <w:rFonts w:ascii="Book Antiqua" w:eastAsia="Times New Roman" w:hAnsi="Book Antiqua" w:cs="Times New Roman"/>
          <w:kern w:val="0"/>
          <w14:ligatures w14:val="none"/>
        </w:rPr>
        <w:t>230</w:t>
      </w:r>
      <w:r w:rsidR="00FB24F5" w:rsidRPr="00B82909">
        <w:rPr>
          <w:rFonts w:ascii="Book Antiqua" w:eastAsia="Times New Roman" w:hAnsi="Book Antiqua" w:cs="Times New Roman"/>
          <w:kern w:val="0"/>
          <w14:ligatures w14:val="none"/>
        </w:rPr>
        <w:t xml:space="preserve">, </w:t>
      </w:r>
      <w:r w:rsidR="001D6730">
        <w:rPr>
          <w:rFonts w:ascii="Book Antiqua" w:eastAsia="Times New Roman" w:hAnsi="Book Antiqua" w:cs="Times New Roman"/>
          <w:kern w:val="0"/>
          <w14:ligatures w14:val="none"/>
        </w:rPr>
        <w:t>sin</w:t>
      </w:r>
      <w:r w:rsidR="00FB24F5" w:rsidRPr="00B82909">
        <w:rPr>
          <w:rFonts w:ascii="Book Antiqua" w:eastAsia="Times New Roman" w:hAnsi="Book Antiqua" w:cs="Times New Roman"/>
          <w:kern w:val="0"/>
          <w14:ligatures w14:val="none"/>
        </w:rPr>
        <w:t xml:space="preserve"> enmiendas</w:t>
      </w:r>
      <w:r w:rsidR="001D6730">
        <w:rPr>
          <w:rFonts w:ascii="Book Antiqua" w:eastAsia="Times New Roman" w:hAnsi="Book Antiqua" w:cs="Times New Roman"/>
          <w:kern w:val="0"/>
          <w14:ligatures w14:val="none"/>
        </w:rPr>
        <w:t>.</w:t>
      </w:r>
    </w:p>
    <w:p w14:paraId="06B4C624" w14:textId="77777777" w:rsidR="00B82909" w:rsidRDefault="00B82909" w:rsidP="00B82909">
      <w:pPr>
        <w:spacing w:before="120" w:after="240" w:line="240" w:lineRule="auto"/>
        <w:jc w:val="both"/>
        <w:rPr>
          <w:rFonts w:ascii="Book Antiqua" w:eastAsia="Times New Roman" w:hAnsi="Book Antiqua" w:cs="Times New Roman"/>
          <w:b/>
          <w:kern w:val="0"/>
          <w:lang w:val="it-IT"/>
          <w14:ligatures w14:val="none"/>
        </w:rPr>
      </w:pPr>
      <w:r w:rsidRPr="00C76C82">
        <w:rPr>
          <w:rFonts w:ascii="Book Antiqua" w:eastAsia="Times New Roman" w:hAnsi="Book Antiqua" w:cs="Times New Roman"/>
          <w:b/>
          <w:kern w:val="0"/>
          <w:lang w:val="it-IT"/>
          <w14:ligatures w14:val="none"/>
        </w:rPr>
        <w:t>Respetuosamente sometido,</w:t>
      </w:r>
    </w:p>
    <w:p w14:paraId="2852C3B3" w14:textId="77777777" w:rsidR="001D6730" w:rsidRPr="00C76C82" w:rsidRDefault="001D6730" w:rsidP="00B82909">
      <w:pPr>
        <w:spacing w:before="120" w:after="240" w:line="240" w:lineRule="auto"/>
        <w:jc w:val="both"/>
        <w:rPr>
          <w:rFonts w:ascii="Book Antiqua" w:eastAsia="Times New Roman" w:hAnsi="Book Antiqua" w:cs="Times New Roman"/>
          <w:b/>
          <w:kern w:val="0"/>
          <w:lang w:val="it-IT"/>
          <w14:ligatures w14:val="none"/>
        </w:rPr>
      </w:pPr>
    </w:p>
    <w:p w14:paraId="6021F611" w14:textId="77777777" w:rsidR="00B82909" w:rsidRPr="00C76C82" w:rsidRDefault="00B82909" w:rsidP="00B8290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it-IT"/>
          <w14:ligatures w14:val="none"/>
        </w:rPr>
      </w:pPr>
    </w:p>
    <w:p w14:paraId="11E9E3B6" w14:textId="77777777" w:rsidR="00B82909" w:rsidRPr="00C76C82" w:rsidRDefault="00B82909" w:rsidP="00B82909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it-IT"/>
          <w14:ligatures w14:val="none"/>
        </w:rPr>
      </w:pPr>
      <w:r w:rsidRPr="00C76C82">
        <w:rPr>
          <w:rFonts w:ascii="Book Antiqua" w:eastAsia="Times New Roman" w:hAnsi="Book Antiqua" w:cs="Times New Roman"/>
          <w:kern w:val="0"/>
          <w:lang w:val="it-IT"/>
          <w14:ligatures w14:val="none"/>
        </w:rPr>
        <w:t>Hon. Eddie Charbonier Chinea</w:t>
      </w:r>
      <w:r w:rsidRPr="00C76C82">
        <w:rPr>
          <w:rFonts w:ascii="Book Antiqua" w:eastAsia="Times New Roman" w:hAnsi="Book Antiqua" w:cs="Times New Roman"/>
          <w:kern w:val="0"/>
          <w:lang w:val="it-IT"/>
          <w14:ligatures w14:val="none"/>
        </w:rPr>
        <w:tab/>
      </w:r>
    </w:p>
    <w:p w14:paraId="54D1886B" w14:textId="77777777" w:rsidR="00B82909" w:rsidRPr="00B82909" w:rsidRDefault="00B82909" w:rsidP="00B82909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Presidente</w:t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</w:p>
    <w:p w14:paraId="62AD92FE" w14:textId="6C4DB7B4" w:rsidR="00701A84" w:rsidRPr="00AA7C18" w:rsidRDefault="00B82909" w:rsidP="00AA7C18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Comisión de Hacienda</w:t>
      </w:r>
    </w:p>
    <w:sectPr w:rsidR="00701A84" w:rsidRPr="00AA7C18" w:rsidSect="00AF31F6">
      <w:headerReference w:type="defaul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1F3B5" w14:textId="77777777" w:rsidR="007939F4" w:rsidRDefault="007939F4" w:rsidP="00B82909">
      <w:pPr>
        <w:spacing w:after="0" w:line="240" w:lineRule="auto"/>
      </w:pPr>
      <w:r>
        <w:separator/>
      </w:r>
    </w:p>
  </w:endnote>
  <w:endnote w:type="continuationSeparator" w:id="0">
    <w:p w14:paraId="6768D5FE" w14:textId="77777777" w:rsidR="007939F4" w:rsidRDefault="007939F4" w:rsidP="00B82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53AC2" w14:textId="77777777" w:rsidR="007939F4" w:rsidRDefault="007939F4" w:rsidP="00B82909">
      <w:pPr>
        <w:spacing w:after="0" w:line="240" w:lineRule="auto"/>
      </w:pPr>
      <w:r>
        <w:separator/>
      </w:r>
    </w:p>
  </w:footnote>
  <w:footnote w:type="continuationSeparator" w:id="0">
    <w:p w14:paraId="095D5D6E" w14:textId="77777777" w:rsidR="007939F4" w:rsidRDefault="007939F4" w:rsidP="00B82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24269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0CC6F4" w14:textId="43DB209E" w:rsidR="00AF31F6" w:rsidRDefault="00AF31F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E6FDB7" w14:textId="77777777" w:rsidR="00AF31F6" w:rsidRDefault="00AF31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C2FA5"/>
    <w:multiLevelType w:val="multilevel"/>
    <w:tmpl w:val="F23A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191A7D"/>
    <w:multiLevelType w:val="multilevel"/>
    <w:tmpl w:val="BADE7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AE22DF"/>
    <w:multiLevelType w:val="multilevel"/>
    <w:tmpl w:val="EBFE3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4E2CD7"/>
    <w:multiLevelType w:val="multilevel"/>
    <w:tmpl w:val="EA486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1151244">
    <w:abstractNumId w:val="2"/>
  </w:num>
  <w:num w:numId="2" w16cid:durableId="1848787047">
    <w:abstractNumId w:val="0"/>
  </w:num>
  <w:num w:numId="3" w16cid:durableId="2145610635">
    <w:abstractNumId w:val="3"/>
  </w:num>
  <w:num w:numId="4" w16cid:durableId="1505708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909"/>
    <w:rsid w:val="0001494E"/>
    <w:rsid w:val="00030A06"/>
    <w:rsid w:val="00030D6A"/>
    <w:rsid w:val="001413DE"/>
    <w:rsid w:val="001A0C38"/>
    <w:rsid w:val="001D6730"/>
    <w:rsid w:val="001D72C4"/>
    <w:rsid w:val="00245637"/>
    <w:rsid w:val="00246840"/>
    <w:rsid w:val="00294D17"/>
    <w:rsid w:val="002E3007"/>
    <w:rsid w:val="00306D1F"/>
    <w:rsid w:val="0031283C"/>
    <w:rsid w:val="00397D6C"/>
    <w:rsid w:val="0041202C"/>
    <w:rsid w:val="004966B2"/>
    <w:rsid w:val="004F0FF1"/>
    <w:rsid w:val="005A7DD9"/>
    <w:rsid w:val="005F1070"/>
    <w:rsid w:val="00682055"/>
    <w:rsid w:val="00701A84"/>
    <w:rsid w:val="0071641C"/>
    <w:rsid w:val="00751DC4"/>
    <w:rsid w:val="007939F4"/>
    <w:rsid w:val="00911BFA"/>
    <w:rsid w:val="009413D9"/>
    <w:rsid w:val="00987AF0"/>
    <w:rsid w:val="00A12CCD"/>
    <w:rsid w:val="00A7469F"/>
    <w:rsid w:val="00AA7C18"/>
    <w:rsid w:val="00AF31F6"/>
    <w:rsid w:val="00B537AD"/>
    <w:rsid w:val="00B82909"/>
    <w:rsid w:val="00C7366C"/>
    <w:rsid w:val="00C76C82"/>
    <w:rsid w:val="00C804EA"/>
    <w:rsid w:val="00CE7E9D"/>
    <w:rsid w:val="00D043F3"/>
    <w:rsid w:val="00E74272"/>
    <w:rsid w:val="00EA08EB"/>
    <w:rsid w:val="00F462F4"/>
    <w:rsid w:val="00F5699D"/>
    <w:rsid w:val="00FB24F5"/>
    <w:rsid w:val="00FC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3C21F"/>
  <w15:chartTrackingRefBased/>
  <w15:docId w15:val="{72A4BD56-E5FA-405E-9176-CF50B6F8C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29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29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29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29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29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29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29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29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29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290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290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2909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2909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2909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2909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2909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2909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2909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B829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2909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29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2909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B829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2909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B829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29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9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2909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B82909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B8290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82909"/>
    <w:rPr>
      <w:rFonts w:ascii="Times New Roman" w:eastAsia="Times New Roman" w:hAnsi="Times New Roman" w:cs="Times New Roman"/>
      <w:kern w:val="0"/>
      <w:sz w:val="20"/>
      <w:szCs w:val="20"/>
      <w:lang w:val="es-PR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B82909"/>
    <w:rPr>
      <w:vertAlign w:val="superscript"/>
    </w:rPr>
  </w:style>
  <w:style w:type="character" w:customStyle="1" w:styleId="Hyperlink1">
    <w:name w:val="Hyperlink1"/>
    <w:basedOn w:val="DefaultParagraphFont"/>
    <w:uiPriority w:val="99"/>
    <w:unhideWhenUsed/>
    <w:rsid w:val="00B82909"/>
    <w:rPr>
      <w:color w:val="0000FF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B82909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3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1F6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AF3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1F6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9" ma:contentTypeDescription="Create a new document." ma:contentTypeScope="" ma:versionID="05c964504388ca170424abb59cc09ade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4f90341347b24ff21db92ad26ade5dc8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Props1.xml><?xml version="1.0" encoding="utf-8"?>
<ds:datastoreItem xmlns:ds="http://schemas.openxmlformats.org/officeDocument/2006/customXml" ds:itemID="{4F3D3399-32D7-4F42-A25A-883E30A5C6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D4ECC7-4100-494A-832A-5743BB1F79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5BC60-23D4-4265-937B-19C514E406D7}">
  <ds:schemaRefs>
    <ds:schemaRef ds:uri="http://schemas.microsoft.com/office/2006/metadata/properties"/>
    <ds:schemaRef ds:uri="http://schemas.microsoft.com/office/infopath/2007/PartnerControls"/>
    <ds:schemaRef ds:uri="92f57704-3039-4ebf-ac81-f8b12810bd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1241</Words>
  <Characters>7080</Characters>
  <Application>Microsoft Office Word</Application>
  <DocSecurity>4</DocSecurity>
  <Lines>59</Lines>
  <Paragraphs>16</Paragraphs>
  <ScaleCrop>false</ScaleCrop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J. Pérez Méndez</dc:creator>
  <cp:keywords/>
  <dc:description/>
  <cp:lastModifiedBy>Camyl Moreno Pantojas</cp:lastModifiedBy>
  <cp:revision>2</cp:revision>
  <cp:lastPrinted>2025-10-09T16:06:00Z</cp:lastPrinted>
  <dcterms:created xsi:type="dcterms:W3CDTF">2025-10-15T15:21:00Z</dcterms:created>
  <dcterms:modified xsi:type="dcterms:W3CDTF">2025-10-15T15:21:00Z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