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BD91F" w14:textId="1346A8FF" w:rsidR="007B6C93" w:rsidRPr="007B6C93" w:rsidRDefault="00C327A4" w:rsidP="007B6C93">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A00786" w:rsidRDefault="00AE4248" w:rsidP="00AE4248">
      <w:pPr>
        <w:jc w:val="center"/>
        <w:rPr>
          <w:rFonts w:ascii="Book Antiqua" w:hAnsi="Book Antiqua"/>
          <w:lang w:val="es-ES_tradnl"/>
        </w:rPr>
      </w:pPr>
    </w:p>
    <w:p w14:paraId="393F02D1" w14:textId="76594C72" w:rsidR="00AE4248" w:rsidRDefault="00C327A4" w:rsidP="00C327A4">
      <w:pPr>
        <w:pStyle w:val="Title2"/>
        <w:tabs>
          <w:tab w:val="clear" w:pos="648"/>
        </w:tabs>
        <w:rPr>
          <w:rFonts w:ascii="Book Antiqua" w:hAnsi="Book Antiqua"/>
          <w:lang w:val="es-ES_tradnl"/>
        </w:rPr>
      </w:pPr>
      <w:r>
        <w:rPr>
          <w:rFonts w:ascii="Book Antiqua" w:hAnsi="Book Antiqua"/>
          <w:lang w:val="es-ES_tradnl"/>
        </w:rPr>
        <w:t xml:space="preserve">20ma. </w:t>
      </w:r>
      <w:r w:rsidR="00AE4248">
        <w:rPr>
          <w:rFonts w:ascii="Book Antiqua" w:hAnsi="Book Antiqua"/>
          <w:lang w:val="es-ES_tradnl"/>
        </w:rPr>
        <w:t>Asamblea</w:t>
      </w:r>
      <w:r w:rsidR="00AE4248">
        <w:rPr>
          <w:rFonts w:ascii="Book Antiqua" w:hAnsi="Book Antiqua"/>
          <w:lang w:val="es-ES_tradnl"/>
        </w:rPr>
        <w:tab/>
      </w:r>
      <w:r>
        <w:rPr>
          <w:rFonts w:ascii="Book Antiqua" w:hAnsi="Book Antiqua"/>
          <w:lang w:val="es-ES_tradnl"/>
        </w:rPr>
        <w:t>1ra.</w:t>
      </w:r>
      <w:r w:rsidR="00AE4248">
        <w:rPr>
          <w:rFonts w:ascii="Book Antiqua" w:hAnsi="Book Antiqua"/>
          <w:lang w:val="es-ES_tradnl"/>
        </w:rPr>
        <w:tab/>
        <w:t>Sesión</w:t>
      </w:r>
    </w:p>
    <w:p w14:paraId="415BD37C" w14:textId="7C04BB88" w:rsidR="00AE4248" w:rsidRDefault="00AE4248" w:rsidP="00AE4248">
      <w:pPr>
        <w:pStyle w:val="Title2"/>
        <w:rPr>
          <w:rFonts w:ascii="Book Antiqua" w:hAnsi="Book Antiqua"/>
          <w:lang w:val="es-ES_tradnl"/>
        </w:rPr>
      </w:pPr>
      <w:r>
        <w:rPr>
          <w:rFonts w:ascii="Book Antiqua" w:hAnsi="Book Antiqua"/>
          <w:lang w:val="es-ES_tradnl"/>
        </w:rPr>
        <w:tab/>
      </w:r>
      <w:r w:rsidR="00C327A4">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C327A4">
      <w:pPr>
        <w:jc w:val="center"/>
        <w:rPr>
          <w:rFonts w:ascii="Book Antiqua" w:hAnsi="Book Antiqua"/>
          <w:b/>
          <w:sz w:val="36"/>
          <w:lang w:val="es-ES_tradnl"/>
        </w:rPr>
      </w:pPr>
      <w:r>
        <w:rPr>
          <w:rFonts w:ascii="Book Antiqua" w:hAnsi="Book Antiqua"/>
          <w:b/>
          <w:sz w:val="36"/>
          <w:lang w:val="es-ES_tradnl"/>
        </w:rPr>
        <w:t>CÁMARA DE REPRESENTANTES</w:t>
      </w:r>
    </w:p>
    <w:p w14:paraId="3635A02A" w14:textId="77777777" w:rsidR="00C327A4" w:rsidRPr="00C327A4" w:rsidRDefault="00C327A4" w:rsidP="00C327A4">
      <w:pPr>
        <w:jc w:val="center"/>
        <w:rPr>
          <w:rFonts w:ascii="Book Antiqua" w:hAnsi="Book Antiqua"/>
          <w:b/>
          <w:szCs w:val="24"/>
          <w:lang w:val="es-ES_tradnl"/>
        </w:rPr>
      </w:pPr>
    </w:p>
    <w:p w14:paraId="1F02598D" w14:textId="63176B7F" w:rsidR="00AE4248" w:rsidRDefault="00AE4248" w:rsidP="00C327A4">
      <w:pPr>
        <w:jc w:val="center"/>
        <w:rPr>
          <w:rFonts w:ascii="Book Antiqua" w:hAnsi="Book Antiqua"/>
          <w:b/>
          <w:sz w:val="52"/>
          <w:lang w:val="es-ES_tradnl"/>
        </w:rPr>
      </w:pPr>
      <w:r>
        <w:rPr>
          <w:rFonts w:ascii="Book Antiqua" w:hAnsi="Book Antiqua"/>
          <w:b/>
          <w:sz w:val="52"/>
          <w:lang w:val="es-ES_tradnl"/>
        </w:rPr>
        <w:t xml:space="preserve">P. de la C. </w:t>
      </w:r>
      <w:r w:rsidR="00B61388">
        <w:rPr>
          <w:rFonts w:ascii="Book Antiqua" w:hAnsi="Book Antiqua"/>
          <w:b/>
          <w:sz w:val="52"/>
          <w:lang w:val="es-ES_tradnl"/>
        </w:rPr>
        <w:t>233</w:t>
      </w:r>
    </w:p>
    <w:p w14:paraId="7BABFD5B" w14:textId="77777777" w:rsidR="00C327A4" w:rsidRPr="00C327A4" w:rsidRDefault="00C327A4" w:rsidP="00C327A4">
      <w:pPr>
        <w:jc w:val="center"/>
        <w:rPr>
          <w:rFonts w:ascii="Book Antiqua" w:hAnsi="Book Antiqua"/>
          <w:b/>
          <w:szCs w:val="24"/>
          <w:lang w:val="es-ES_tradnl"/>
        </w:rPr>
      </w:pPr>
    </w:p>
    <w:p w14:paraId="3832402D" w14:textId="03E36A5F" w:rsidR="00AE4248" w:rsidRDefault="00B61388" w:rsidP="00C327A4">
      <w:pPr>
        <w:jc w:val="center"/>
        <w:rPr>
          <w:rFonts w:ascii="Book Antiqua" w:hAnsi="Book Antiqua"/>
          <w:lang w:val="es-ES_tradnl"/>
        </w:rPr>
      </w:pPr>
      <w:r>
        <w:rPr>
          <w:rFonts w:ascii="Book Antiqua" w:hAnsi="Book Antiqua"/>
          <w:lang w:val="es-ES_tradnl"/>
        </w:rPr>
        <w:t xml:space="preserve">13 </w:t>
      </w:r>
      <w:r w:rsidR="00AE4248">
        <w:rPr>
          <w:rFonts w:ascii="Book Antiqua" w:hAnsi="Book Antiqua"/>
          <w:lang w:val="es-ES_tradnl"/>
        </w:rPr>
        <w:t>DE ENERO DE 20</w:t>
      </w:r>
      <w:r w:rsidR="00A06518">
        <w:rPr>
          <w:rFonts w:ascii="Book Antiqua" w:hAnsi="Book Antiqua"/>
          <w:lang w:val="es-ES_tradnl"/>
        </w:rPr>
        <w:t>2</w:t>
      </w:r>
      <w:r w:rsidR="00C847B0">
        <w:rPr>
          <w:rFonts w:ascii="Book Antiqua" w:hAnsi="Book Antiqua"/>
          <w:lang w:val="es-ES_tradnl"/>
        </w:rPr>
        <w:t>1</w:t>
      </w:r>
    </w:p>
    <w:p w14:paraId="272E09B9" w14:textId="77777777" w:rsidR="00C327A4" w:rsidRDefault="00C327A4" w:rsidP="00C327A4">
      <w:pPr>
        <w:jc w:val="center"/>
        <w:rPr>
          <w:rFonts w:ascii="Book Antiqua" w:hAnsi="Book Antiqua"/>
          <w:lang w:val="es-ES_tradnl"/>
        </w:rPr>
      </w:pPr>
    </w:p>
    <w:p w14:paraId="7AD4E2E6" w14:textId="77777777" w:rsidR="00AE4248" w:rsidRDefault="00AE4248" w:rsidP="00C327A4">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417C529" w14:textId="77777777" w:rsidR="00C327A4" w:rsidRDefault="00C327A4" w:rsidP="00C327A4">
      <w:pPr>
        <w:jc w:val="center"/>
        <w:rPr>
          <w:rFonts w:ascii="Book Antiqua" w:hAnsi="Book Antiqua"/>
          <w:lang w:val="es-ES_tradnl"/>
        </w:rPr>
      </w:pPr>
    </w:p>
    <w:p w14:paraId="5411889D" w14:textId="49A582FE" w:rsidR="00AE4248" w:rsidRPr="00217885" w:rsidRDefault="00AE4248" w:rsidP="00C327A4">
      <w:pPr>
        <w:jc w:val="center"/>
        <w:rPr>
          <w:rFonts w:ascii="Book Antiqua" w:hAnsi="Book Antiqua"/>
          <w:lang w:val="es-PR"/>
        </w:rPr>
      </w:pPr>
      <w:r>
        <w:rPr>
          <w:rFonts w:ascii="Book Antiqua" w:hAnsi="Book Antiqua"/>
          <w:lang w:val="es-ES_tradnl"/>
        </w:rPr>
        <w:t xml:space="preserve">Referido a </w:t>
      </w:r>
      <w:r w:rsidR="00217885">
        <w:rPr>
          <w:rFonts w:ascii="Book Antiqua" w:hAnsi="Book Antiqua"/>
          <w:lang w:val="es-ES_tradnl"/>
        </w:rPr>
        <w:t xml:space="preserve">la </w:t>
      </w:r>
      <w:proofErr w:type="spellStart"/>
      <w:r w:rsidR="00217885">
        <w:rPr>
          <w:rFonts w:ascii="Book Antiqua" w:hAnsi="Book Antiqua"/>
          <w:lang w:val="es-ES_tradnl"/>
        </w:rPr>
        <w:t>Comis</w:t>
      </w:r>
      <w:r w:rsidR="00217885" w:rsidRPr="00217885">
        <w:rPr>
          <w:rFonts w:ascii="Book Antiqua" w:hAnsi="Book Antiqua"/>
          <w:lang w:val="es-PR"/>
        </w:rPr>
        <w:t>ión</w:t>
      </w:r>
      <w:proofErr w:type="spellEnd"/>
      <w:r w:rsidR="00217885" w:rsidRPr="00217885">
        <w:rPr>
          <w:rFonts w:ascii="Book Antiqua" w:hAnsi="Book Antiqua"/>
          <w:lang w:val="es-PR"/>
        </w:rPr>
        <w:t xml:space="preserve"> d</w:t>
      </w:r>
      <w:r w:rsidR="00217885">
        <w:rPr>
          <w:rFonts w:ascii="Book Antiqua" w:hAnsi="Book Antiqua"/>
          <w:lang w:val="es-PR"/>
        </w:rPr>
        <w:t xml:space="preserve">e </w:t>
      </w:r>
      <w:r w:rsidR="008F0784">
        <w:rPr>
          <w:rFonts w:ascii="Book Antiqua" w:hAnsi="Book Antiqua"/>
          <w:lang w:val="es-PR"/>
        </w:rPr>
        <w:t>Salud</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73D173DC" w:rsidR="00A06518" w:rsidRPr="00A06518" w:rsidRDefault="00AE4248" w:rsidP="00C327A4">
      <w:pPr>
        <w:ind w:left="567" w:hanging="567"/>
        <w:jc w:val="both"/>
        <w:rPr>
          <w:rFonts w:ascii="Book Antiqua" w:hAnsi="Book Antiqua"/>
          <w:lang w:val="es-ES_tradnl"/>
        </w:rPr>
      </w:pPr>
      <w:r w:rsidRPr="00A06518">
        <w:rPr>
          <w:rFonts w:ascii="Book Antiqua" w:hAnsi="Book Antiqua"/>
          <w:lang w:val="es-ES_tradnl"/>
        </w:rPr>
        <w:t>Para</w:t>
      </w:r>
      <w:r w:rsidR="00A06518" w:rsidRPr="00A06518">
        <w:rPr>
          <w:rFonts w:ascii="Book Antiqua" w:hAnsi="Book Antiqua"/>
          <w:lang w:val="es-ES_tradnl"/>
        </w:rPr>
        <w:t xml:space="preserve"> añadir un nuevo </w:t>
      </w:r>
      <w:r w:rsidR="00A06518">
        <w:rPr>
          <w:rFonts w:ascii="Book Antiqua" w:hAnsi="Book Antiqua"/>
          <w:lang w:val="es-ES_tradnl"/>
        </w:rPr>
        <w:t xml:space="preserve">Artículo </w:t>
      </w:r>
      <w:r w:rsidR="00A06518" w:rsidRPr="00A06518">
        <w:rPr>
          <w:rFonts w:ascii="Book Antiqua" w:hAnsi="Book Antiqua"/>
          <w:lang w:val="es-PR"/>
        </w:rPr>
        <w:t>9 (A) a la Ley Núm. 72 de 26 de abril de 1940</w:t>
      </w:r>
      <w:r w:rsidR="00A06518" w:rsidRPr="00A06518">
        <w:rPr>
          <w:rFonts w:ascii="Book Antiqua" w:hAnsi="Book Antiqua"/>
          <w:lang w:val="es-ES_tradnl"/>
        </w:rPr>
        <w:t xml:space="preserve">, según enmendada, conocida como </w:t>
      </w:r>
      <w:r w:rsidR="00A06518" w:rsidRPr="00A06518">
        <w:rPr>
          <w:rFonts w:ascii="Book Antiqua" w:hAnsi="Book Antiqua"/>
          <w:lang w:val="es-PR"/>
        </w:rPr>
        <w:t>“Ley de Alimentos, Drogas y Cosméticos de Puerto Rico”</w:t>
      </w:r>
      <w:r w:rsidR="00A06518">
        <w:rPr>
          <w:rFonts w:ascii="Book Antiqua" w:hAnsi="Book Antiqua"/>
          <w:lang w:val="es-PR"/>
        </w:rPr>
        <w:t xml:space="preserve">, </w:t>
      </w:r>
      <w:r w:rsidR="00A06518" w:rsidRPr="00A06518">
        <w:rPr>
          <w:rFonts w:ascii="Book Antiqua" w:hAnsi="Book Antiqua"/>
          <w:lang w:val="es-PR"/>
        </w:rPr>
        <w:t>a los fines de prohibir la venta de bebidas energizantes a menores de dieciséis (16) años de edad; requerir que en los establecimientos donde se vendan  bebidas energizantes, se coloque un letrero con una advertencia sobre la prohibición de ventas de bebidas energizantes a menores de dieciséis (16) años de edad, los riesgos y los daños que puede ocasionar el uso de las mismas a las mujeres embarazadas, a las personas con condiciones cardiacas y a los menores de edad; establecer penalidades; ordenar al Secretario de Salud a establecer una campaña de orientación, sobre los efectos probados a la salud del consumo de bebidas energizantes; y para otros fines relacionados.</w:t>
      </w:r>
    </w:p>
    <w:p w14:paraId="78370943" w14:textId="270A9F80" w:rsidR="00AE4248" w:rsidRDefault="00AE4248" w:rsidP="00AE4248">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C327A4">
      <w:pPr>
        <w:ind w:firstLine="357"/>
        <w:jc w:val="center"/>
        <w:rPr>
          <w:rFonts w:ascii="Book Antiqua" w:hAnsi="Book Antiqua"/>
          <w:lang w:val="es-ES_tradnl"/>
        </w:rPr>
      </w:pPr>
      <w:r>
        <w:rPr>
          <w:rFonts w:ascii="Book Antiqua" w:hAnsi="Book Antiqua"/>
          <w:lang w:val="es-ES_tradnl"/>
        </w:rPr>
        <w:t>EXPOSICIÓN DE MOTIVOS</w:t>
      </w:r>
    </w:p>
    <w:p w14:paraId="3B3CE130" w14:textId="77777777" w:rsidR="00C327A4" w:rsidRDefault="00C327A4" w:rsidP="00C327A4">
      <w:pPr>
        <w:ind w:firstLine="357"/>
        <w:jc w:val="center"/>
        <w:rPr>
          <w:rFonts w:ascii="Book Antiqua" w:hAnsi="Book Antiqua"/>
          <w:lang w:val="es-ES_tradnl"/>
        </w:rPr>
      </w:pPr>
    </w:p>
    <w:p w14:paraId="13683654" w14:textId="77777777" w:rsidR="00A06518" w:rsidRDefault="00A06518" w:rsidP="00C327A4">
      <w:pPr>
        <w:ind w:firstLine="567"/>
        <w:jc w:val="both"/>
        <w:rPr>
          <w:rFonts w:ascii="Book Antiqua" w:hAnsi="Book Antiqua"/>
          <w:lang w:val="es-PR"/>
        </w:rPr>
      </w:pPr>
      <w:r w:rsidRPr="00A06518">
        <w:rPr>
          <w:rFonts w:ascii="Book Antiqua" w:hAnsi="Book Antiqua"/>
          <w:lang w:val="es-PR"/>
        </w:rPr>
        <w:t xml:space="preserve">Mediante la Ley Núm. 72 de 26 de abril de 1940, según enmendada, se aprobó la Ley conocida como “Ley de Alimentos, Drogas y Cosméticos de Puerto Rico.” Esta Ley regula la distribución de alimentos, medicamentos y cosméticos, de forma tal, que se garantice la seguridad del público en el consumo de estos. La Ley le concede la facultad al </w:t>
      </w:r>
      <w:proofErr w:type="gramStart"/>
      <w:r w:rsidRPr="00A06518">
        <w:rPr>
          <w:rFonts w:ascii="Book Antiqua" w:hAnsi="Book Antiqua"/>
          <w:lang w:val="es-PR"/>
        </w:rPr>
        <w:t>Secretario</w:t>
      </w:r>
      <w:proofErr w:type="gramEnd"/>
      <w:r w:rsidRPr="00A06518">
        <w:rPr>
          <w:rFonts w:ascii="Book Antiqua" w:hAnsi="Book Antiqua"/>
          <w:lang w:val="es-PR"/>
        </w:rPr>
        <w:t xml:space="preserve"> del Departamento de Salud para reglamentar la información que estará accesible al público al momento de la adquisición de un producto.</w:t>
      </w:r>
    </w:p>
    <w:p w14:paraId="3B9E037D" w14:textId="77777777" w:rsidR="00C327A4" w:rsidRPr="00A06518" w:rsidRDefault="00C327A4" w:rsidP="00C327A4">
      <w:pPr>
        <w:ind w:firstLine="567"/>
        <w:jc w:val="both"/>
        <w:rPr>
          <w:rFonts w:ascii="Book Antiqua" w:hAnsi="Book Antiqua"/>
          <w:lang w:val="es-PR"/>
        </w:rPr>
      </w:pPr>
    </w:p>
    <w:p w14:paraId="1EB26D46" w14:textId="77777777" w:rsidR="00A06518" w:rsidRDefault="00A06518" w:rsidP="00C327A4">
      <w:pPr>
        <w:ind w:firstLine="567"/>
        <w:jc w:val="both"/>
        <w:rPr>
          <w:rFonts w:ascii="Book Antiqua" w:hAnsi="Book Antiqua"/>
          <w:lang w:val="es-PR"/>
        </w:rPr>
      </w:pPr>
      <w:r w:rsidRPr="00A06518">
        <w:rPr>
          <w:rFonts w:ascii="Book Antiqua" w:hAnsi="Book Antiqua"/>
          <w:lang w:val="es-PR"/>
        </w:rPr>
        <w:t xml:space="preserve">En los últimos años ha proliferado en nuestra Isla la venta de bebidas energizantes. Estas bebidas energizantes encierran un alto contenido calórico, incluso, mayor que las bebidas deportivas por tener una mayor cantidad de carbohidratos y azúcares, lo cual </w:t>
      </w:r>
      <w:r w:rsidRPr="00A06518">
        <w:rPr>
          <w:rFonts w:ascii="Book Antiqua" w:hAnsi="Book Antiqua"/>
          <w:lang w:val="es-PR"/>
        </w:rPr>
        <w:lastRenderedPageBreak/>
        <w:t>promueve la obesidad, diabetes e hipertensión.  A su vez, las bebidas energizantes tienen hasta 400 miligramos de cafeína por lata, cuatro veces más que una taza de café común.  Datos de la Organización Mundial de la Salud afirman que 50 miligramos (mg) de cafeína puede inducir taquicardia y agitación.  De igual manera, estas bebidas contienen taurina, un aminoácido que facilita en el metabolismo la absorción de las grasas con el fin de obtener energía e incrementa el efecto de la cafeína. La cafeína, la taurina y otros aminoácidos que tienen este tipo de bebida aumentan la frecuencia cardiaca y la presión arterial, aumentando el riesgo de desarrollar enfermedades cardiovasculares grave.</w:t>
      </w:r>
    </w:p>
    <w:p w14:paraId="2E669F50" w14:textId="77777777" w:rsidR="00C327A4" w:rsidRPr="00A06518" w:rsidRDefault="00C327A4" w:rsidP="00C327A4">
      <w:pPr>
        <w:ind w:firstLine="567"/>
        <w:jc w:val="both"/>
        <w:rPr>
          <w:rFonts w:ascii="Book Antiqua" w:hAnsi="Book Antiqua"/>
          <w:lang w:val="es-PR"/>
        </w:rPr>
      </w:pPr>
    </w:p>
    <w:p w14:paraId="3E16DB97" w14:textId="77777777" w:rsidR="00A06518" w:rsidRDefault="00A06518" w:rsidP="00C327A4">
      <w:pPr>
        <w:ind w:firstLine="567"/>
        <w:jc w:val="both"/>
        <w:rPr>
          <w:rFonts w:ascii="Book Antiqua" w:hAnsi="Book Antiqua"/>
          <w:lang w:val="es-PR"/>
        </w:rPr>
      </w:pPr>
      <w:r w:rsidRPr="00A06518">
        <w:rPr>
          <w:rFonts w:ascii="Book Antiqua" w:hAnsi="Book Antiqua"/>
          <w:lang w:val="es-PR"/>
        </w:rPr>
        <w:t xml:space="preserve">Un estudio científico realizado en el Hospital Infantil de Detroit (presentado en las deliberaciones anuales de la Asociación Americana del Corazón en septiembre 2014) informa sobre efectos cardiovasculares y neurológicos serios en menores de 6 </w:t>
      </w:r>
      <w:proofErr w:type="gramStart"/>
      <w:r w:rsidRPr="00A06518">
        <w:rPr>
          <w:rFonts w:ascii="Book Antiqua" w:hAnsi="Book Antiqua"/>
          <w:lang w:val="es-PR"/>
        </w:rPr>
        <w:t>años de edad</w:t>
      </w:r>
      <w:proofErr w:type="gramEnd"/>
      <w:r w:rsidRPr="00A06518">
        <w:rPr>
          <w:rFonts w:ascii="Book Antiqua" w:hAnsi="Book Antiqua"/>
          <w:lang w:val="es-PR"/>
        </w:rPr>
        <w:t xml:space="preserve"> que han sido expuestos a bebidas energizantes. En el caso de los adolescentes, la Organización Mundial de la Salud agrega que el consumo de bebidas energizantes se asocia con comportamientos potencialmente negativos y de alto riesgo.</w:t>
      </w:r>
    </w:p>
    <w:p w14:paraId="741D598A" w14:textId="77777777" w:rsidR="00C327A4" w:rsidRPr="00A06518" w:rsidRDefault="00C327A4" w:rsidP="00C327A4">
      <w:pPr>
        <w:ind w:firstLine="567"/>
        <w:jc w:val="both"/>
        <w:rPr>
          <w:rFonts w:ascii="Book Antiqua" w:hAnsi="Book Antiqua"/>
          <w:lang w:val="es-PR"/>
        </w:rPr>
      </w:pPr>
    </w:p>
    <w:p w14:paraId="0DF2FC70" w14:textId="36F09601" w:rsidR="00A06518" w:rsidRDefault="00A06518" w:rsidP="00C327A4">
      <w:pPr>
        <w:ind w:firstLine="567"/>
        <w:jc w:val="both"/>
        <w:rPr>
          <w:rFonts w:ascii="Book Antiqua" w:hAnsi="Book Antiqua"/>
          <w:lang w:val="es-PR"/>
        </w:rPr>
      </w:pPr>
      <w:r w:rsidRPr="00A06518">
        <w:rPr>
          <w:rFonts w:ascii="Book Antiqua" w:hAnsi="Book Antiqua"/>
          <w:lang w:val="es-PR"/>
        </w:rPr>
        <w:t xml:space="preserve">Un estudio, publicado en 2008 en la revista </w:t>
      </w:r>
      <w:proofErr w:type="spellStart"/>
      <w:r w:rsidRPr="00DE13A2">
        <w:rPr>
          <w:rFonts w:ascii="Book Antiqua" w:hAnsi="Book Antiqua"/>
          <w:i/>
          <w:iCs/>
          <w:lang w:val="es-PR"/>
        </w:rPr>
        <w:t>Journal</w:t>
      </w:r>
      <w:proofErr w:type="spellEnd"/>
      <w:r w:rsidRPr="00DE13A2">
        <w:rPr>
          <w:rFonts w:ascii="Book Antiqua" w:hAnsi="Book Antiqua"/>
          <w:i/>
          <w:iCs/>
          <w:lang w:val="es-PR"/>
        </w:rPr>
        <w:t xml:space="preserve"> </w:t>
      </w:r>
      <w:proofErr w:type="spellStart"/>
      <w:r w:rsidRPr="00DE13A2">
        <w:rPr>
          <w:rFonts w:ascii="Book Antiqua" w:hAnsi="Book Antiqua"/>
          <w:i/>
          <w:iCs/>
          <w:lang w:val="es-PR"/>
        </w:rPr>
        <w:t>of</w:t>
      </w:r>
      <w:proofErr w:type="spellEnd"/>
      <w:r w:rsidRPr="00DE13A2">
        <w:rPr>
          <w:rFonts w:ascii="Book Antiqua" w:hAnsi="Book Antiqua"/>
          <w:i/>
          <w:iCs/>
          <w:lang w:val="es-PR"/>
        </w:rPr>
        <w:t xml:space="preserve"> </w:t>
      </w:r>
      <w:proofErr w:type="spellStart"/>
      <w:r w:rsidRPr="00DE13A2">
        <w:rPr>
          <w:rFonts w:ascii="Book Antiqua" w:hAnsi="Book Antiqua"/>
          <w:i/>
          <w:iCs/>
          <w:lang w:val="es-PR"/>
        </w:rPr>
        <w:t>Adolescent</w:t>
      </w:r>
      <w:proofErr w:type="spellEnd"/>
      <w:r w:rsidRPr="00DE13A2">
        <w:rPr>
          <w:rFonts w:ascii="Book Antiqua" w:hAnsi="Book Antiqua"/>
          <w:i/>
          <w:iCs/>
          <w:lang w:val="es-PR"/>
        </w:rPr>
        <w:t xml:space="preserve"> </w:t>
      </w:r>
      <w:proofErr w:type="spellStart"/>
      <w:r w:rsidRPr="00DE13A2">
        <w:rPr>
          <w:rFonts w:ascii="Book Antiqua" w:hAnsi="Book Antiqua"/>
          <w:i/>
          <w:iCs/>
          <w:lang w:val="es-PR"/>
        </w:rPr>
        <w:t>Health</w:t>
      </w:r>
      <w:proofErr w:type="spellEnd"/>
      <w:r w:rsidRPr="00A06518">
        <w:rPr>
          <w:rFonts w:ascii="Book Antiqua" w:hAnsi="Book Antiqua"/>
          <w:lang w:val="es-PR"/>
        </w:rPr>
        <w:t xml:space="preserve"> </w:t>
      </w:r>
      <w:r w:rsidR="00DE13A2">
        <w:rPr>
          <w:rFonts w:ascii="Book Antiqua" w:hAnsi="Book Antiqua"/>
          <w:lang w:val="es-PR"/>
        </w:rPr>
        <w:t>en el cual se evaluaron setecientos noventa y cinco (</w:t>
      </w:r>
      <w:r w:rsidRPr="00A06518">
        <w:rPr>
          <w:rFonts w:ascii="Book Antiqua" w:hAnsi="Book Antiqua"/>
          <w:lang w:val="es-PR"/>
        </w:rPr>
        <w:t>795</w:t>
      </w:r>
      <w:r w:rsidR="00DE13A2">
        <w:rPr>
          <w:rFonts w:ascii="Book Antiqua" w:hAnsi="Book Antiqua"/>
          <w:lang w:val="es-PR"/>
        </w:rPr>
        <w:t>)</w:t>
      </w:r>
      <w:r w:rsidRPr="00A06518">
        <w:rPr>
          <w:rFonts w:ascii="Book Antiqua" w:hAnsi="Book Antiqua"/>
          <w:lang w:val="es-PR"/>
        </w:rPr>
        <w:t xml:space="preserve"> estudiantes de Nueva York mostró que los adolescentes que consumían bebidas energizantes 6 veces o más al mes tuvieron, en promedio, 3 veces más riesgos que los consumidores ligeros o los no consumidores de ser fumadores y de abusar de medicamentos.  </w:t>
      </w:r>
    </w:p>
    <w:p w14:paraId="2F68F457" w14:textId="77777777" w:rsidR="00C327A4" w:rsidRPr="00A06518" w:rsidRDefault="00C327A4" w:rsidP="00C327A4">
      <w:pPr>
        <w:ind w:firstLine="567"/>
        <w:jc w:val="both"/>
        <w:rPr>
          <w:rFonts w:ascii="Book Antiqua" w:hAnsi="Book Antiqua"/>
          <w:lang w:val="es-PR"/>
        </w:rPr>
      </w:pPr>
    </w:p>
    <w:p w14:paraId="3DCAFA3A" w14:textId="797F1079" w:rsidR="00A06518" w:rsidRDefault="00A06518" w:rsidP="00C327A4">
      <w:pPr>
        <w:ind w:firstLine="567"/>
        <w:jc w:val="both"/>
        <w:rPr>
          <w:rFonts w:ascii="Book Antiqua" w:hAnsi="Book Antiqua"/>
          <w:lang w:val="es-PR"/>
        </w:rPr>
      </w:pPr>
      <w:r w:rsidRPr="00A06518">
        <w:rPr>
          <w:rFonts w:ascii="Book Antiqua" w:hAnsi="Book Antiqua"/>
          <w:lang w:val="es-PR"/>
        </w:rPr>
        <w:t>En el 2011 y reafirmado en el 2018</w:t>
      </w:r>
      <w:r w:rsidR="00DE13A2">
        <w:rPr>
          <w:rFonts w:ascii="Book Antiqua" w:hAnsi="Book Antiqua"/>
          <w:lang w:val="es-PR"/>
        </w:rPr>
        <w:t xml:space="preserve">, </w:t>
      </w:r>
      <w:r w:rsidRPr="00A06518">
        <w:rPr>
          <w:rFonts w:ascii="Book Antiqua" w:hAnsi="Book Antiqua"/>
          <w:lang w:val="es-PR"/>
        </w:rPr>
        <w:t>la Academia Americana de Pediatría</w:t>
      </w:r>
      <w:r w:rsidR="00DE13A2">
        <w:rPr>
          <w:rFonts w:ascii="Book Antiqua" w:hAnsi="Book Antiqua"/>
          <w:lang w:val="es-PR"/>
        </w:rPr>
        <w:t>,</w:t>
      </w:r>
      <w:r w:rsidRPr="00A06518">
        <w:rPr>
          <w:rFonts w:ascii="Book Antiqua" w:hAnsi="Book Antiqua"/>
          <w:lang w:val="es-PR"/>
        </w:rPr>
        <w:t xml:space="preserve"> luego de </w:t>
      </w:r>
      <w:r w:rsidR="00DE13A2">
        <w:rPr>
          <w:rFonts w:ascii="Book Antiqua" w:hAnsi="Book Antiqua"/>
          <w:lang w:val="es-PR"/>
        </w:rPr>
        <w:t xml:space="preserve">múltiples </w:t>
      </w:r>
      <w:r w:rsidRPr="00A06518">
        <w:rPr>
          <w:rFonts w:ascii="Book Antiqua" w:hAnsi="Book Antiqua"/>
          <w:lang w:val="es-PR"/>
        </w:rPr>
        <w:t xml:space="preserve">estudios y análisis rigurosos de la literatura, </w:t>
      </w:r>
      <w:r w:rsidR="00DE13A2" w:rsidRPr="00A06518">
        <w:rPr>
          <w:rFonts w:ascii="Book Antiqua" w:hAnsi="Book Antiqua"/>
          <w:lang w:val="es-PR"/>
        </w:rPr>
        <w:t xml:space="preserve">concluyó que </w:t>
      </w:r>
      <w:r w:rsidRPr="00A06518">
        <w:rPr>
          <w:rFonts w:ascii="Book Antiqua" w:hAnsi="Book Antiqua"/>
          <w:lang w:val="es-PR"/>
        </w:rPr>
        <w:t xml:space="preserve">la cafeína y otras sustancias estimulantes contenidas en las bebidas energizantes, no deben ser consumidas por niños y adolescentes.   </w:t>
      </w:r>
    </w:p>
    <w:p w14:paraId="12E47B4D" w14:textId="77777777" w:rsidR="00C327A4" w:rsidRPr="00A06518" w:rsidRDefault="00C327A4" w:rsidP="00C327A4">
      <w:pPr>
        <w:ind w:firstLine="567"/>
        <w:jc w:val="both"/>
        <w:rPr>
          <w:rFonts w:ascii="Book Antiqua" w:hAnsi="Book Antiqua"/>
          <w:lang w:val="es-PR"/>
        </w:rPr>
      </w:pPr>
    </w:p>
    <w:p w14:paraId="2EEE5CFC" w14:textId="1AA7F3F6" w:rsidR="00A06518" w:rsidRDefault="00A06518" w:rsidP="00C327A4">
      <w:pPr>
        <w:ind w:firstLine="567"/>
        <w:jc w:val="both"/>
        <w:rPr>
          <w:rFonts w:ascii="Book Antiqua" w:hAnsi="Book Antiqua"/>
          <w:lang w:val="es-PR"/>
        </w:rPr>
      </w:pPr>
      <w:r w:rsidRPr="00A06518">
        <w:rPr>
          <w:rFonts w:ascii="Book Antiqua" w:hAnsi="Book Antiqua"/>
          <w:lang w:val="es-PR"/>
        </w:rPr>
        <w:t>De igual manera, la Asociación Americana de Bebidas, el grupo comercial que representa la industria de refrescos en Estados Unidos, han desarrollado pautas voluntarias para etiquetar y comercializar las bebidas energizantes.  Esta Asociación específicamente aconseja que las etiquetas de las bebidas energizantes indiquen que no están previstas o recomendadas para menores de edad, mujeres embarazadas o lactantes o personas sensibles a los efectos de la cafeína.</w:t>
      </w:r>
    </w:p>
    <w:p w14:paraId="507E6D28" w14:textId="77777777" w:rsidR="00C327A4" w:rsidRPr="00A06518" w:rsidRDefault="00C327A4" w:rsidP="00C327A4">
      <w:pPr>
        <w:ind w:firstLine="567"/>
        <w:jc w:val="both"/>
        <w:rPr>
          <w:rFonts w:ascii="Book Antiqua" w:hAnsi="Book Antiqua"/>
          <w:lang w:val="es-PR"/>
        </w:rPr>
      </w:pPr>
    </w:p>
    <w:p w14:paraId="09720831" w14:textId="6923B22E" w:rsidR="00A06518" w:rsidRDefault="00A06518" w:rsidP="00C327A4">
      <w:pPr>
        <w:ind w:firstLine="567"/>
        <w:jc w:val="both"/>
        <w:rPr>
          <w:rFonts w:ascii="Book Antiqua" w:hAnsi="Book Antiqua"/>
          <w:lang w:val="es-PR"/>
        </w:rPr>
      </w:pPr>
      <w:r w:rsidRPr="00A06518">
        <w:rPr>
          <w:rFonts w:ascii="Book Antiqua" w:hAnsi="Book Antiqua"/>
          <w:lang w:val="es-PR"/>
        </w:rPr>
        <w:t>En Estados Unidos, la Agencia Federal de Drogas y Alimentos (FDA) reconoció haber recibido 92 reportes sobre enfermedades, hospitalizaciones y, muertes relacionadas al consumo de bebidas energizantes. Según puso de manifiesto un artículo publicado en “</w:t>
      </w:r>
      <w:proofErr w:type="spellStart"/>
      <w:r w:rsidRPr="00A06518">
        <w:rPr>
          <w:rFonts w:ascii="Book Antiqua" w:hAnsi="Book Antiqua"/>
          <w:lang w:val="es-PR"/>
        </w:rPr>
        <w:t>The</w:t>
      </w:r>
      <w:proofErr w:type="spellEnd"/>
      <w:r w:rsidRPr="00A06518">
        <w:rPr>
          <w:rFonts w:ascii="Book Antiqua" w:hAnsi="Book Antiqua"/>
          <w:lang w:val="es-PR"/>
        </w:rPr>
        <w:t xml:space="preserve"> New York Times”, la FDA contabiliza un total de 90 demandas relacionadas con este tipo de bebidas desde 2009, las cuales tenían relación con patologías graves, como ataques al corazón, convulsiones y abortos espontáneos.  En múltiples estados de los Estados Unidos se han reportado muertes en jóvenes asociadas al consumo de estas bebidas energizantes, tales como el caso de Anais Fournier, una niña de 14 años, quien falleció por un paro cardiaco tras consumir dos latas de una bebida energizante en un </w:t>
      </w:r>
      <w:r w:rsidRPr="00A06518">
        <w:rPr>
          <w:rFonts w:ascii="Book Antiqua" w:hAnsi="Book Antiqua"/>
          <w:lang w:val="es-PR"/>
        </w:rPr>
        <w:lastRenderedPageBreak/>
        <w:t xml:space="preserve">período de 24 horas.  En Puerto Rico, muy lamentablemente se asocia la muerte de un destacado joven atleta de San Sebastián, y jugador de baloncesto con un club de Moca, quien falleció con apenas 14 </w:t>
      </w:r>
      <w:r w:rsidR="00DE13A2" w:rsidRPr="00A06518">
        <w:rPr>
          <w:rFonts w:ascii="Book Antiqua" w:hAnsi="Book Antiqua"/>
          <w:lang w:val="es-PR"/>
        </w:rPr>
        <w:t>años</w:t>
      </w:r>
      <w:r w:rsidRPr="00A06518">
        <w:rPr>
          <w:rFonts w:ascii="Book Antiqua" w:hAnsi="Book Antiqua"/>
          <w:lang w:val="es-PR"/>
        </w:rPr>
        <w:t xml:space="preserve">, tras desplomarse en plena cancha en medio de un partido de </w:t>
      </w:r>
      <w:r w:rsidR="00DE13A2">
        <w:rPr>
          <w:rFonts w:ascii="Book Antiqua" w:hAnsi="Book Antiqua"/>
          <w:lang w:val="es-PR"/>
        </w:rPr>
        <w:t>baloncesto</w:t>
      </w:r>
      <w:r w:rsidRPr="00A06518">
        <w:rPr>
          <w:rFonts w:ascii="Book Antiqua" w:hAnsi="Book Antiqua"/>
          <w:lang w:val="es-PR"/>
        </w:rPr>
        <w:t xml:space="preserve">.  El problema y detonante de esta muerte se asocia a la utilización de bebidas y suplementos con sustancias peligrosas, de poca o ninguna confiabilidad, tales como son las bebidas energizantes.  </w:t>
      </w:r>
    </w:p>
    <w:p w14:paraId="2645B0E5" w14:textId="77777777" w:rsidR="00C327A4" w:rsidRPr="00A06518" w:rsidRDefault="00C327A4" w:rsidP="00C327A4">
      <w:pPr>
        <w:ind w:firstLine="567"/>
        <w:jc w:val="both"/>
        <w:rPr>
          <w:rFonts w:ascii="Book Antiqua" w:hAnsi="Book Antiqua"/>
          <w:lang w:val="es-PR"/>
        </w:rPr>
      </w:pPr>
    </w:p>
    <w:p w14:paraId="34255333" w14:textId="77777777" w:rsidR="00DE13A2" w:rsidRDefault="00A06518" w:rsidP="00C327A4">
      <w:pPr>
        <w:ind w:firstLine="567"/>
        <w:jc w:val="both"/>
        <w:rPr>
          <w:rFonts w:ascii="Book Antiqua" w:hAnsi="Book Antiqua"/>
          <w:lang w:val="es-PR"/>
        </w:rPr>
      </w:pPr>
      <w:r w:rsidRPr="00A06518">
        <w:rPr>
          <w:rFonts w:ascii="Book Antiqua" w:hAnsi="Book Antiqua"/>
          <w:lang w:val="es-PR"/>
        </w:rPr>
        <w:t xml:space="preserve">En ánimos de garantizar la salud del Pueblo de Puerto Rico y prevenir muertes entre nuestros menores de edad, esta Asamblea Legislativa establece claramente una prohibición a la venta de bebidas energizantes a menores de dieciséis (16) años de edad y requerir que en los establecimientos donde se vendan  bebidas energizantes, se coloque un letrero con una advertencia sobre la prohibición de ventas de bebidas energizantes a estos menores de edad, así como los riesgos y los daños que puede ocasionar el uso de las mismas a las mujeres embarazadas, a las personas con condiciones cardiacas y a los menores de edad.  </w:t>
      </w:r>
    </w:p>
    <w:p w14:paraId="26E36DA0" w14:textId="77777777" w:rsidR="00C327A4" w:rsidRDefault="00C327A4" w:rsidP="00C327A4">
      <w:pPr>
        <w:ind w:firstLine="567"/>
        <w:jc w:val="both"/>
        <w:rPr>
          <w:rFonts w:ascii="Book Antiqua" w:hAnsi="Book Antiqua"/>
          <w:lang w:val="es-PR"/>
        </w:rPr>
      </w:pPr>
    </w:p>
    <w:p w14:paraId="0FE025ED" w14:textId="06EFAF50" w:rsidR="00AE4248" w:rsidRPr="00DE13A2" w:rsidRDefault="00AE2766" w:rsidP="00C327A4">
      <w:pPr>
        <w:ind w:firstLine="567"/>
        <w:jc w:val="both"/>
        <w:rPr>
          <w:rFonts w:ascii="Book Antiqua" w:hAnsi="Book Antiqua"/>
          <w:lang w:val="es-PR"/>
        </w:rPr>
      </w:pPr>
      <w:r>
        <w:rPr>
          <w:rFonts w:ascii="Book Antiqua" w:hAnsi="Book Antiqua"/>
          <w:lang w:val="es-PR"/>
        </w:rPr>
        <w:t>Por tanto, l</w:t>
      </w:r>
      <w:r w:rsidR="00AE4248" w:rsidRPr="00AE4248">
        <w:rPr>
          <w:rFonts w:ascii="Book Antiqua" w:hAnsi="Book Antiqua"/>
          <w:lang w:val="es-PR"/>
        </w:rPr>
        <w:t xml:space="preserve">a Asamblea Legislativa de Puerto Rico, en el ejercicio de su facultad constitucional y fundamentándose en el poder de razón del estado que ostenta para enfrentarse </w:t>
      </w:r>
      <w:r w:rsidR="00DE13A2">
        <w:rPr>
          <w:rFonts w:ascii="Book Antiqua" w:hAnsi="Book Antiqua"/>
          <w:lang w:val="es-PR"/>
        </w:rPr>
        <w:t>a una</w:t>
      </w:r>
      <w:r w:rsidR="00AE4248" w:rsidRPr="00AE4248">
        <w:rPr>
          <w:rFonts w:ascii="Book Antiqua" w:hAnsi="Book Antiqua"/>
          <w:lang w:val="es-PR"/>
        </w:rPr>
        <w:t xml:space="preserve"> necesidad pública cuando los intereses así lo exijan, considera imperativo la aprobación de esta legislación ante el interés apremiante de salvaguardar la vida, la salud y el bienestar general de la ciudadanía</w:t>
      </w:r>
      <w:r w:rsidR="00AE4248" w:rsidRPr="00AE4248">
        <w:rPr>
          <w:rFonts w:ascii="Book Antiqua" w:hAnsi="Book Antiqua"/>
          <w:lang w:val="es-ES_tradnl"/>
        </w:rPr>
        <w:t>.</w:t>
      </w:r>
    </w:p>
    <w:p w14:paraId="251BA3C8" w14:textId="45485635" w:rsidR="00AE4248" w:rsidRDefault="00AE4248" w:rsidP="00AE4248">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7"/>
          <w:type w:val="continuous"/>
          <w:pgSz w:w="12240" w:h="15840" w:code="1"/>
          <w:pgMar w:top="1440" w:right="1440" w:bottom="1440" w:left="1440" w:header="720" w:footer="720" w:gutter="0"/>
          <w:cols w:space="720"/>
          <w:titlePg/>
        </w:sectPr>
      </w:pPr>
    </w:p>
    <w:p w14:paraId="60EF80DB"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1.-Se añade un nuevo Artículo 9 (A) a la Ley Núm. 72 de 26 de abril de 1940, según enmendada, para que lea como sigue:</w:t>
      </w:r>
    </w:p>
    <w:p w14:paraId="312D67E1" w14:textId="4F3084EC" w:rsidR="00DE13A2" w:rsidRPr="001C141B" w:rsidRDefault="00DE13A2" w:rsidP="00C327A4">
      <w:pPr>
        <w:spacing w:line="480" w:lineRule="auto"/>
        <w:ind w:firstLine="567"/>
        <w:jc w:val="both"/>
        <w:rPr>
          <w:rFonts w:ascii="Book Antiqua" w:hAnsi="Book Antiqua"/>
          <w:i/>
          <w:iCs/>
          <w:lang w:val="es-ES_tradnl"/>
        </w:rPr>
      </w:pPr>
      <w:r>
        <w:rPr>
          <w:rFonts w:ascii="Book Antiqua" w:hAnsi="Book Antiqua"/>
          <w:lang w:val="es-ES_tradnl"/>
        </w:rPr>
        <w:tab/>
      </w:r>
      <w:r w:rsidRPr="00DE13A2">
        <w:rPr>
          <w:rFonts w:ascii="Book Antiqua" w:hAnsi="Book Antiqua"/>
          <w:lang w:val="es-ES_tradnl"/>
        </w:rPr>
        <w:t>“</w:t>
      </w:r>
      <w:r w:rsidRPr="001C141B">
        <w:rPr>
          <w:rFonts w:ascii="Book Antiqua" w:hAnsi="Book Antiqua"/>
          <w:i/>
          <w:iCs/>
          <w:lang w:val="es-ES_tradnl"/>
        </w:rPr>
        <w:t>Artículo 9 (A</w:t>
      </w:r>
      <w:proofErr w:type="gramStart"/>
      <w:r w:rsidRPr="001C141B">
        <w:rPr>
          <w:rFonts w:ascii="Book Antiqua" w:hAnsi="Book Antiqua"/>
          <w:i/>
          <w:iCs/>
          <w:lang w:val="es-ES_tradnl"/>
        </w:rPr>
        <w:t>).-</w:t>
      </w:r>
      <w:proofErr w:type="gramEnd"/>
      <w:r w:rsidRPr="001C141B">
        <w:rPr>
          <w:rFonts w:ascii="Book Antiqua" w:hAnsi="Book Antiqua"/>
          <w:i/>
          <w:iCs/>
          <w:lang w:val="es-ES_tradnl"/>
        </w:rPr>
        <w:t>Bebidas energizantes. –</w:t>
      </w:r>
    </w:p>
    <w:p w14:paraId="60360093" w14:textId="12763893" w:rsidR="00DE13A2" w:rsidRPr="001C141B" w:rsidRDefault="00DE13A2" w:rsidP="00C327A4">
      <w:pPr>
        <w:spacing w:line="480" w:lineRule="auto"/>
        <w:ind w:firstLine="567"/>
        <w:jc w:val="both"/>
        <w:rPr>
          <w:rFonts w:ascii="Book Antiqua" w:hAnsi="Book Antiqua"/>
          <w:i/>
          <w:iCs/>
          <w:lang w:val="es-ES_tradnl"/>
        </w:rPr>
      </w:pPr>
      <w:r w:rsidRPr="001C141B">
        <w:rPr>
          <w:rFonts w:ascii="Book Antiqua" w:hAnsi="Book Antiqua"/>
          <w:i/>
          <w:iCs/>
          <w:lang w:val="es-ES_tradnl"/>
        </w:rPr>
        <w:tab/>
        <w:t xml:space="preserve">Se prohíbe la venta de bebidas energizantes a menores de dieciséis (16) </w:t>
      </w:r>
      <w:r w:rsidR="001C141B" w:rsidRPr="001C141B">
        <w:rPr>
          <w:rFonts w:ascii="Book Antiqua" w:hAnsi="Book Antiqua"/>
          <w:i/>
          <w:iCs/>
          <w:lang w:val="es-ES_tradnl"/>
        </w:rPr>
        <w:t>años</w:t>
      </w:r>
      <w:r w:rsidRPr="001C141B">
        <w:rPr>
          <w:rFonts w:ascii="Book Antiqua" w:hAnsi="Book Antiqua"/>
          <w:i/>
          <w:iCs/>
          <w:lang w:val="es-ES_tradnl"/>
        </w:rPr>
        <w:t xml:space="preserve">.   Todo establecimiento donde se vendan bebidas energizantes deberá advertir a sus clientes, mediante un letrero la prohibición aquí establecida.   </w:t>
      </w:r>
    </w:p>
    <w:p w14:paraId="0C5A1B87" w14:textId="1B03FEA5" w:rsidR="00DE13A2" w:rsidRPr="001C141B" w:rsidRDefault="00DE13A2" w:rsidP="00C327A4">
      <w:pPr>
        <w:spacing w:line="480" w:lineRule="auto"/>
        <w:ind w:firstLine="567"/>
        <w:jc w:val="both"/>
        <w:rPr>
          <w:rFonts w:ascii="Book Antiqua" w:hAnsi="Book Antiqua"/>
          <w:i/>
          <w:iCs/>
          <w:lang w:val="es-ES_tradnl"/>
        </w:rPr>
      </w:pPr>
      <w:r w:rsidRPr="001C141B">
        <w:rPr>
          <w:rFonts w:ascii="Book Antiqua" w:hAnsi="Book Antiqua"/>
          <w:i/>
          <w:iCs/>
          <w:lang w:val="es-ES_tradnl"/>
        </w:rPr>
        <w:t xml:space="preserve">Además, todos los establecimientos donde se vendan bebidas energizantes se deberá colocar un letrero con una advertencia que incluya información sobre los riesgos y los daños que puede ocasionar el uso de las bebidas energizantes a las mujeres embarazadas, a las personas con condiciones cardiacas y a los menores de dieciséis (16) </w:t>
      </w:r>
      <w:r w:rsidR="001C141B" w:rsidRPr="001C141B">
        <w:rPr>
          <w:rFonts w:ascii="Book Antiqua" w:hAnsi="Book Antiqua"/>
          <w:i/>
          <w:iCs/>
          <w:lang w:val="es-ES_tradnl"/>
        </w:rPr>
        <w:t>años</w:t>
      </w:r>
      <w:r w:rsidRPr="001C141B">
        <w:rPr>
          <w:rFonts w:ascii="Book Antiqua" w:hAnsi="Book Antiqua"/>
          <w:i/>
          <w:iCs/>
          <w:lang w:val="es-ES_tradnl"/>
        </w:rPr>
        <w:t>.</w:t>
      </w:r>
    </w:p>
    <w:p w14:paraId="36A66E2A" w14:textId="77777777" w:rsidR="00DE13A2" w:rsidRPr="00DE13A2" w:rsidRDefault="00DE13A2" w:rsidP="00C327A4">
      <w:pPr>
        <w:spacing w:line="480" w:lineRule="auto"/>
        <w:ind w:firstLine="567"/>
        <w:jc w:val="both"/>
        <w:rPr>
          <w:rFonts w:ascii="Book Antiqua" w:hAnsi="Book Antiqua"/>
          <w:lang w:val="es-ES_tradnl"/>
        </w:rPr>
      </w:pPr>
      <w:r w:rsidRPr="001C141B">
        <w:rPr>
          <w:rFonts w:ascii="Book Antiqua" w:hAnsi="Book Antiqua"/>
          <w:i/>
          <w:iCs/>
          <w:lang w:val="es-ES_tradnl"/>
        </w:rPr>
        <w:lastRenderedPageBreak/>
        <w:t xml:space="preserve">Para fines de esta Ley se considerará bebida energizante a aquellas que posean la combinación de tres (3) o más de las siguientes sustancias: taurina, cafeína, guaraná, ginseng, </w:t>
      </w:r>
      <w:proofErr w:type="spellStart"/>
      <w:r w:rsidRPr="001C141B">
        <w:rPr>
          <w:rFonts w:ascii="Book Antiqua" w:hAnsi="Book Antiqua"/>
          <w:i/>
          <w:iCs/>
          <w:lang w:val="es-ES_tradnl"/>
        </w:rPr>
        <w:t>glucorono</w:t>
      </w:r>
      <w:proofErr w:type="spellEnd"/>
      <w:r w:rsidRPr="001C141B">
        <w:rPr>
          <w:rFonts w:ascii="Book Antiqua" w:hAnsi="Book Antiqua"/>
          <w:i/>
          <w:iCs/>
          <w:lang w:val="es-ES_tradnl"/>
        </w:rPr>
        <w:t>-lactona, vitaminas, inositol, carnitina, efedrina y sus derivados o así también cualquier concentración de carbohidratos bajo la forma de glucosa, sacarosa, maltodextrina, fructosa o galactosa</w:t>
      </w:r>
      <w:r w:rsidRPr="00DE13A2">
        <w:rPr>
          <w:rFonts w:ascii="Book Antiqua" w:hAnsi="Book Antiqua"/>
          <w:lang w:val="es-ES_tradnl"/>
        </w:rPr>
        <w:t xml:space="preserve">.” </w:t>
      </w:r>
    </w:p>
    <w:p w14:paraId="0023FCEB" w14:textId="77777777" w:rsid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2.-</w:t>
      </w:r>
      <w:r>
        <w:rPr>
          <w:rFonts w:ascii="Book Antiqua" w:hAnsi="Book Antiqua"/>
          <w:lang w:val="es-ES_tradnl"/>
        </w:rPr>
        <w:t>Reglamentación</w:t>
      </w:r>
    </w:p>
    <w:p w14:paraId="1E4F0ED5" w14:textId="25484B6D" w:rsid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El </w:t>
      </w:r>
      <w:proofErr w:type="gramStart"/>
      <w:r w:rsidRPr="00DE13A2">
        <w:rPr>
          <w:rFonts w:ascii="Book Antiqua" w:hAnsi="Book Antiqua"/>
          <w:lang w:val="es-ES_tradnl"/>
        </w:rPr>
        <w:t>Secretario</w:t>
      </w:r>
      <w:proofErr w:type="gramEnd"/>
      <w:r w:rsidRPr="00DE13A2">
        <w:rPr>
          <w:rFonts w:ascii="Book Antiqua" w:hAnsi="Book Antiqua"/>
          <w:lang w:val="es-ES_tradnl"/>
        </w:rPr>
        <w:t xml:space="preserve"> del Departamento de Salud del Gobierno de Puerto Rico dispondrá mediante reglamento, carta circular o normativa, las especificaciones de dicho letrero y advertencia, tales como, pero sin limitarse al tamaño </w:t>
      </w:r>
      <w:r w:rsidR="00E76A11" w:rsidRPr="00DE13A2">
        <w:rPr>
          <w:rFonts w:ascii="Book Antiqua" w:hAnsi="Book Antiqua"/>
          <w:lang w:val="es-ES_tradnl"/>
        </w:rPr>
        <w:t>de este</w:t>
      </w:r>
      <w:r w:rsidRPr="00DE13A2">
        <w:rPr>
          <w:rFonts w:ascii="Book Antiqua" w:hAnsi="Book Antiqua"/>
          <w:lang w:val="es-ES_tradnl"/>
        </w:rPr>
        <w:t xml:space="preserve">, su letra y texto determinado. </w:t>
      </w:r>
    </w:p>
    <w:p w14:paraId="4BBE7731" w14:textId="451A41CD" w:rsidR="00E76A11" w:rsidRDefault="00E76A11" w:rsidP="00C327A4">
      <w:pPr>
        <w:spacing w:line="480" w:lineRule="auto"/>
        <w:ind w:firstLine="567"/>
        <w:jc w:val="both"/>
        <w:rPr>
          <w:rFonts w:ascii="Book Antiqua" w:hAnsi="Book Antiqua"/>
          <w:lang w:val="es-ES_tradnl"/>
        </w:rPr>
      </w:pPr>
      <w:r>
        <w:rPr>
          <w:rFonts w:ascii="Book Antiqua" w:hAnsi="Book Antiqua"/>
          <w:lang w:val="es-ES_tradnl"/>
        </w:rPr>
        <w:t xml:space="preserve">Además, el </w:t>
      </w:r>
      <w:proofErr w:type="gramStart"/>
      <w:r>
        <w:rPr>
          <w:rFonts w:ascii="Book Antiqua" w:hAnsi="Book Antiqua"/>
          <w:lang w:val="es-ES_tradnl"/>
        </w:rPr>
        <w:t>Secretario</w:t>
      </w:r>
      <w:proofErr w:type="gramEnd"/>
      <w:r>
        <w:rPr>
          <w:rFonts w:ascii="Book Antiqua" w:hAnsi="Book Antiqua"/>
          <w:lang w:val="es-ES_tradnl"/>
        </w:rPr>
        <w:t xml:space="preserve"> del Departamento de Salud deberá proveer, a través de su página electrónica, información sobre el contenido de las bebidas energizantes, así como los nombres comerciales de estas bebidas energizantes, con el propósito de orientar a los comerciantes, así como a la ciudadanía, sobre las consecuencias a la salud de estas bebidas.  </w:t>
      </w:r>
    </w:p>
    <w:p w14:paraId="35C34148"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3.-Penalidades</w:t>
      </w:r>
    </w:p>
    <w:p w14:paraId="1EAC42CC"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Toda persona que viole lo dispuesto en el Artículo 9(A) de la Ley Núm. 72 de 26 de abril de 1940, según enmendada, incurrirá en delito menos grave, con pena de reclusión por un término que no excederá de tres (3) meses o pena de multa que no excederá de cinco mil (5,000) dólares. </w:t>
      </w:r>
    </w:p>
    <w:p w14:paraId="518B4534"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 El </w:t>
      </w:r>
      <w:proofErr w:type="gramStart"/>
      <w:r w:rsidRPr="00DE13A2">
        <w:rPr>
          <w:rFonts w:ascii="Book Antiqua" w:hAnsi="Book Antiqua"/>
          <w:lang w:val="es-ES_tradnl"/>
        </w:rPr>
        <w:t>Secretario</w:t>
      </w:r>
      <w:proofErr w:type="gramEnd"/>
      <w:r w:rsidRPr="00DE13A2">
        <w:rPr>
          <w:rFonts w:ascii="Book Antiqua" w:hAnsi="Book Antiqua"/>
          <w:lang w:val="es-ES_tradnl"/>
        </w:rPr>
        <w:t xml:space="preserve"> del Departamento de Salud procurará por el fiel cumplimiento de lo establecido en esta Ley. Asimismo, deberá establecer, dentro de los noventa (90) días </w:t>
      </w:r>
      <w:r w:rsidRPr="00DE13A2">
        <w:rPr>
          <w:rFonts w:ascii="Book Antiqua" w:hAnsi="Book Antiqua"/>
          <w:lang w:val="es-ES_tradnl"/>
        </w:rPr>
        <w:lastRenderedPageBreak/>
        <w:t>siguientes a la vigencia de esta Ley, una campaña de orientación, sobre los efectos probados a la salud del consumo de bebidas energizantes.</w:t>
      </w:r>
    </w:p>
    <w:p w14:paraId="57A63D72"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 xml:space="preserve">Sección 4.-Separabilidad. </w:t>
      </w:r>
    </w:p>
    <w:p w14:paraId="7877AAD5" w14:textId="77777777" w:rsidR="00DE13A2" w:rsidRP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Si algún Artículo o disposición de esta Ley fuera declarado nulo o inconstitucional por algún tribunal con competencia y jurisdicción, la sentencia dictada no afectará ni invalidará las demás disposiciones de esta Ley, y su efecto se limitará al párrafo, artículo, parte o disposición declarada nula o inconstitucional.</w:t>
      </w:r>
    </w:p>
    <w:p w14:paraId="078E44DC" w14:textId="504C7697" w:rsidR="00DE13A2" w:rsidRDefault="00DE13A2" w:rsidP="00C327A4">
      <w:pPr>
        <w:spacing w:line="480" w:lineRule="auto"/>
        <w:ind w:firstLine="567"/>
        <w:jc w:val="both"/>
        <w:rPr>
          <w:rFonts w:ascii="Book Antiqua" w:hAnsi="Book Antiqua"/>
          <w:lang w:val="es-ES_tradnl"/>
        </w:rPr>
      </w:pPr>
      <w:r w:rsidRPr="00DE13A2">
        <w:rPr>
          <w:rFonts w:ascii="Book Antiqua" w:hAnsi="Book Antiqua"/>
          <w:lang w:val="es-ES_tradnl"/>
        </w:rPr>
        <w:t>Sección 5.-</w:t>
      </w:r>
      <w:r>
        <w:rPr>
          <w:rFonts w:ascii="Book Antiqua" w:hAnsi="Book Antiqua"/>
          <w:lang w:val="es-ES_tradnl"/>
        </w:rPr>
        <w:t>Vigencia</w:t>
      </w:r>
    </w:p>
    <w:p w14:paraId="58A0E66F" w14:textId="460CD032" w:rsidR="00C327A4" w:rsidRPr="00AE4248" w:rsidRDefault="00DE13A2">
      <w:pPr>
        <w:spacing w:line="480" w:lineRule="auto"/>
        <w:ind w:firstLine="567"/>
        <w:jc w:val="both"/>
        <w:rPr>
          <w:rFonts w:ascii="Book Antiqua" w:hAnsi="Book Antiqua"/>
          <w:lang w:val="es-ES_tradnl"/>
        </w:rPr>
      </w:pPr>
      <w:r w:rsidRPr="00DE13A2">
        <w:rPr>
          <w:rFonts w:ascii="Book Antiqua" w:hAnsi="Book Antiqua"/>
          <w:lang w:val="es-ES_tradnl"/>
        </w:rPr>
        <w:t>Esta Ley entrará en vigor inmediatamente después de su aprobación.</w:t>
      </w:r>
    </w:p>
    <w:sectPr w:rsidR="00C327A4" w:rsidRPr="00AE424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50CC3" w14:textId="77777777" w:rsidR="00FD3225" w:rsidRDefault="00FD3225">
      <w:r>
        <w:separator/>
      </w:r>
    </w:p>
  </w:endnote>
  <w:endnote w:type="continuationSeparator" w:id="0">
    <w:p w14:paraId="2A18F2DE" w14:textId="77777777" w:rsidR="00FD3225" w:rsidRDefault="00FD3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38383" w14:textId="77777777" w:rsidR="00FD3225" w:rsidRDefault="00FD3225">
      <w:r>
        <w:separator/>
      </w:r>
    </w:p>
  </w:footnote>
  <w:footnote w:type="continuationSeparator" w:id="0">
    <w:p w14:paraId="77D62BA9" w14:textId="77777777" w:rsidR="00FD3225" w:rsidRDefault="00FD3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51EB2E70"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075757">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66221"/>
    <w:rsid w:val="00075757"/>
    <w:rsid w:val="00095AE1"/>
    <w:rsid w:val="000A6B6C"/>
    <w:rsid w:val="000B0DBB"/>
    <w:rsid w:val="000E0AF6"/>
    <w:rsid w:val="00111E71"/>
    <w:rsid w:val="00127C6A"/>
    <w:rsid w:val="001363FE"/>
    <w:rsid w:val="0017132B"/>
    <w:rsid w:val="001C141B"/>
    <w:rsid w:val="001F4CA3"/>
    <w:rsid w:val="001F612A"/>
    <w:rsid w:val="00211396"/>
    <w:rsid w:val="00217885"/>
    <w:rsid w:val="00226AE6"/>
    <w:rsid w:val="00245B34"/>
    <w:rsid w:val="00263355"/>
    <w:rsid w:val="00273792"/>
    <w:rsid w:val="00290D1D"/>
    <w:rsid w:val="002A605C"/>
    <w:rsid w:val="002D4AC8"/>
    <w:rsid w:val="00306774"/>
    <w:rsid w:val="00320D78"/>
    <w:rsid w:val="00335D4B"/>
    <w:rsid w:val="00380FE5"/>
    <w:rsid w:val="003924DD"/>
    <w:rsid w:val="00394FCB"/>
    <w:rsid w:val="003963F4"/>
    <w:rsid w:val="003B5254"/>
    <w:rsid w:val="003B75A6"/>
    <w:rsid w:val="004061CA"/>
    <w:rsid w:val="00415689"/>
    <w:rsid w:val="004440CB"/>
    <w:rsid w:val="004713D2"/>
    <w:rsid w:val="004F0C8A"/>
    <w:rsid w:val="005040A1"/>
    <w:rsid w:val="00521639"/>
    <w:rsid w:val="00532BB7"/>
    <w:rsid w:val="005332E4"/>
    <w:rsid w:val="0053550C"/>
    <w:rsid w:val="00555018"/>
    <w:rsid w:val="005723DC"/>
    <w:rsid w:val="005E67FB"/>
    <w:rsid w:val="006210DC"/>
    <w:rsid w:val="0064349D"/>
    <w:rsid w:val="00685549"/>
    <w:rsid w:val="006B7365"/>
    <w:rsid w:val="006C2D81"/>
    <w:rsid w:val="006C7DF8"/>
    <w:rsid w:val="0072046D"/>
    <w:rsid w:val="00720BF0"/>
    <w:rsid w:val="00750FC8"/>
    <w:rsid w:val="007533D0"/>
    <w:rsid w:val="00755069"/>
    <w:rsid w:val="007B0660"/>
    <w:rsid w:val="007B6C93"/>
    <w:rsid w:val="007E1CAE"/>
    <w:rsid w:val="007E3868"/>
    <w:rsid w:val="00820C41"/>
    <w:rsid w:val="00850256"/>
    <w:rsid w:val="00851BE0"/>
    <w:rsid w:val="008642BB"/>
    <w:rsid w:val="00891DF3"/>
    <w:rsid w:val="00892C48"/>
    <w:rsid w:val="008F0784"/>
    <w:rsid w:val="00942FD4"/>
    <w:rsid w:val="00951997"/>
    <w:rsid w:val="009568CD"/>
    <w:rsid w:val="00990352"/>
    <w:rsid w:val="00A00786"/>
    <w:rsid w:val="00A03405"/>
    <w:rsid w:val="00A06518"/>
    <w:rsid w:val="00A1528A"/>
    <w:rsid w:val="00A33918"/>
    <w:rsid w:val="00A7629F"/>
    <w:rsid w:val="00AE2766"/>
    <w:rsid w:val="00AE4248"/>
    <w:rsid w:val="00AF0CEE"/>
    <w:rsid w:val="00B00E9C"/>
    <w:rsid w:val="00B346B2"/>
    <w:rsid w:val="00B61388"/>
    <w:rsid w:val="00B667AD"/>
    <w:rsid w:val="00B82CD8"/>
    <w:rsid w:val="00B84C38"/>
    <w:rsid w:val="00B86C00"/>
    <w:rsid w:val="00B947F6"/>
    <w:rsid w:val="00BF16AA"/>
    <w:rsid w:val="00C327A4"/>
    <w:rsid w:val="00C354B8"/>
    <w:rsid w:val="00C4615D"/>
    <w:rsid w:val="00C52517"/>
    <w:rsid w:val="00C60921"/>
    <w:rsid w:val="00C62936"/>
    <w:rsid w:val="00C653F2"/>
    <w:rsid w:val="00C679E6"/>
    <w:rsid w:val="00C847B0"/>
    <w:rsid w:val="00C908F9"/>
    <w:rsid w:val="00CA0917"/>
    <w:rsid w:val="00CA1099"/>
    <w:rsid w:val="00D417C2"/>
    <w:rsid w:val="00D60936"/>
    <w:rsid w:val="00D709EB"/>
    <w:rsid w:val="00D74714"/>
    <w:rsid w:val="00D82F3F"/>
    <w:rsid w:val="00D921C6"/>
    <w:rsid w:val="00D958C2"/>
    <w:rsid w:val="00DB0958"/>
    <w:rsid w:val="00DE13A2"/>
    <w:rsid w:val="00E04AB5"/>
    <w:rsid w:val="00E50EEA"/>
    <w:rsid w:val="00E52F58"/>
    <w:rsid w:val="00E76A11"/>
    <w:rsid w:val="00EC26AA"/>
    <w:rsid w:val="00ED7A53"/>
    <w:rsid w:val="00EE05FF"/>
    <w:rsid w:val="00EE3EEE"/>
    <w:rsid w:val="00EE4273"/>
    <w:rsid w:val="00F02004"/>
    <w:rsid w:val="00F042CB"/>
    <w:rsid w:val="00F24315"/>
    <w:rsid w:val="00FC0A95"/>
    <w:rsid w:val="00FC3D9C"/>
    <w:rsid w:val="00FD3225"/>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621623">
      <w:bodyDiv w:val="1"/>
      <w:marLeft w:val="0"/>
      <w:marRight w:val="0"/>
      <w:marTop w:val="0"/>
      <w:marBottom w:val="0"/>
      <w:divBdr>
        <w:top w:val="none" w:sz="0" w:space="0" w:color="auto"/>
        <w:left w:val="none" w:sz="0" w:space="0" w:color="auto"/>
        <w:bottom w:val="none" w:sz="0" w:space="0" w:color="auto"/>
        <w:right w:val="none" w:sz="0" w:space="0" w:color="auto"/>
      </w:divBdr>
    </w:div>
    <w:div w:id="145007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1457</Words>
  <Characters>7818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6</cp:revision>
  <cp:lastPrinted>2025-01-15T17:36:00Z</cp:lastPrinted>
  <dcterms:created xsi:type="dcterms:W3CDTF">2025-01-13T20:27:00Z</dcterms:created>
  <dcterms:modified xsi:type="dcterms:W3CDTF">2025-01-15T17:43:00Z</dcterms:modified>
</cp:coreProperties>
</file>