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7BEFDCD7"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553376">
        <w:rPr>
          <w:rFonts w:ascii="Book Antiqua" w:hAnsi="Book Antiqua"/>
          <w:b/>
          <w:sz w:val="52"/>
          <w:szCs w:val="52"/>
          <w:lang w:val="es-ES_tradnl"/>
        </w:rPr>
        <w:t>237</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2F5182C1" w:rsidR="006705DD" w:rsidRPr="00B95434" w:rsidRDefault="00C215E7" w:rsidP="006705DD">
      <w:pPr>
        <w:jc w:val="center"/>
        <w:rPr>
          <w:rFonts w:ascii="Book Antiqua" w:hAnsi="Book Antiqua"/>
          <w:szCs w:val="24"/>
          <w:lang w:val="es-ES_tradnl"/>
        </w:rPr>
      </w:pPr>
      <w:r>
        <w:rPr>
          <w:rFonts w:ascii="Book Antiqua" w:hAnsi="Book Antiqua"/>
          <w:szCs w:val="24"/>
          <w:lang w:val="es-ES_tradnl"/>
        </w:rPr>
        <w:t>25</w:t>
      </w:r>
      <w:r w:rsidR="006705DD" w:rsidRPr="00FC11CC">
        <w:rPr>
          <w:rFonts w:ascii="Book Antiqua" w:hAnsi="Book Antiqua"/>
          <w:szCs w:val="24"/>
          <w:lang w:val="es-ES_tradnl"/>
        </w:rPr>
        <w:t xml:space="preserve"> de </w:t>
      </w:r>
      <w:r w:rsidR="00553376">
        <w:rPr>
          <w:rFonts w:ascii="Book Antiqua" w:hAnsi="Book Antiqua"/>
          <w:szCs w:val="24"/>
          <w:lang w:val="es-ES_tradnl"/>
        </w:rPr>
        <w:t>marzo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2A37E24C" w:rsidR="0087700A" w:rsidRDefault="00AC0B45" w:rsidP="00AC0B45">
      <w:pPr>
        <w:jc w:val="both"/>
        <w:rPr>
          <w:rFonts w:ascii="Book Antiqua" w:hAnsi="Book Antiqua" w:cs="Arial"/>
          <w:lang w:val="es-ES"/>
        </w:rPr>
      </w:pPr>
      <w:r w:rsidRPr="00AC0B45">
        <w:rPr>
          <w:rFonts w:ascii="Book Antiqua" w:hAnsi="Book Antiqua" w:cs="Arial"/>
          <w:lang w:val="es-ES"/>
        </w:rPr>
        <w:t>La Comisión de Asuntos Municipales de la Cámara de Representantes,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553376">
        <w:rPr>
          <w:rFonts w:ascii="Book Antiqua" w:hAnsi="Book Antiqua" w:cs="Arial"/>
          <w:lang w:val="es-ES"/>
        </w:rPr>
        <w:t>237</w:t>
      </w:r>
      <w:r w:rsidR="0087700A">
        <w:rPr>
          <w:rFonts w:ascii="Book Antiqua" w:hAnsi="Book Antiqua" w:cs="Arial"/>
          <w:lang w:val="es-ES"/>
        </w:rPr>
        <w:t xml:space="preserve">, tiene el honor de recomendar a este Alto Cuerpo su aprobación, con las enmiendas que se incluyen en el entirillado electrónico que acompaña este Informe. </w:t>
      </w:r>
    </w:p>
    <w:p w14:paraId="13AECCBE" w14:textId="77777777" w:rsidR="0087700A" w:rsidRDefault="0087700A" w:rsidP="00AC0B45">
      <w:pPr>
        <w:jc w:val="both"/>
        <w:rPr>
          <w:rFonts w:ascii="Book Antiqua" w:hAnsi="Book Antiqua" w:cs="Arial"/>
          <w:lang w:val="es-ES"/>
        </w:rPr>
      </w:pPr>
    </w:p>
    <w:p w14:paraId="2458AB3E" w14:textId="62D5C98F" w:rsidR="00AC0B45" w:rsidRPr="00760D4D"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bookmarkEnd w:id="0"/>
    <w:p w14:paraId="68D9994E" w14:textId="77777777" w:rsidR="00AC0B45" w:rsidRPr="00AC0B45" w:rsidRDefault="00AC0B45" w:rsidP="00AC0B45">
      <w:pPr>
        <w:jc w:val="center"/>
        <w:rPr>
          <w:rFonts w:ascii="Book Antiqua" w:hAnsi="Book Antiqua" w:cs="Arial"/>
          <w:lang w:val="es-ES"/>
        </w:rPr>
      </w:pPr>
    </w:p>
    <w:p w14:paraId="7EDB411D" w14:textId="0B676EEA" w:rsidR="00AC0B45" w:rsidRPr="00AC0B45" w:rsidRDefault="00AC0B45" w:rsidP="00AC0B45">
      <w:pPr>
        <w:autoSpaceDE w:val="0"/>
        <w:autoSpaceDN w:val="0"/>
        <w:adjustRightInd w:val="0"/>
        <w:jc w:val="both"/>
        <w:rPr>
          <w:rFonts w:ascii="Book Antiqua" w:hAnsi="Book Antiqua" w:cs="Arial"/>
          <w:lang w:val="es-ES"/>
        </w:rPr>
      </w:pPr>
      <w:r w:rsidRPr="00AC0B45">
        <w:rPr>
          <w:rFonts w:ascii="Book Antiqua" w:hAnsi="Book Antiqua" w:cs="Arial"/>
          <w:lang w:val="es-ES"/>
        </w:rPr>
        <w:t xml:space="preserve">El Proyecto de la Cámara </w:t>
      </w:r>
      <w:r w:rsidR="00553376">
        <w:rPr>
          <w:rFonts w:ascii="Book Antiqua" w:hAnsi="Book Antiqua" w:cs="Arial"/>
          <w:lang w:val="es-ES"/>
        </w:rPr>
        <w:t>237</w:t>
      </w:r>
      <w:r w:rsidR="00591739">
        <w:rPr>
          <w:rFonts w:ascii="Book Antiqua" w:hAnsi="Book Antiqua" w:cs="Arial"/>
          <w:lang w:val="es-ES"/>
        </w:rPr>
        <w:t>,</w:t>
      </w:r>
      <w:r w:rsidRPr="00AC0B45">
        <w:rPr>
          <w:rFonts w:ascii="Book Antiqua" w:hAnsi="Book Antiqua" w:cs="Arial"/>
          <w:lang w:val="es-ES"/>
        </w:rPr>
        <w:t xml:space="preserve"> </w:t>
      </w:r>
      <w:proofErr w:type="spellStart"/>
      <w:r w:rsidRPr="00AC0B45">
        <w:rPr>
          <w:rFonts w:ascii="Book Antiqua" w:hAnsi="Book Antiqua" w:cs="Arial"/>
          <w:lang w:val="es-ES"/>
        </w:rPr>
        <w:t>seg</w:t>
      </w:r>
      <w:proofErr w:type="spellEnd"/>
      <w:r>
        <w:rPr>
          <w:rFonts w:ascii="Book Antiqua" w:hAnsi="Book Antiqua"/>
          <w:szCs w:val="24"/>
          <w:lang w:val="es-ES_tradnl"/>
        </w:rPr>
        <w:t>ú</w:t>
      </w:r>
      <w:r w:rsidRPr="00AC0B45">
        <w:rPr>
          <w:rFonts w:ascii="Book Antiqua" w:hAnsi="Book Antiqua" w:cs="Arial"/>
          <w:lang w:val="es-ES"/>
        </w:rPr>
        <w:t>n radicado,</w:t>
      </w:r>
      <w:r w:rsidR="00553376">
        <w:rPr>
          <w:rFonts w:ascii="Book Antiqua" w:hAnsi="Book Antiqua" w:cs="Arial"/>
          <w:lang w:val="es-ES"/>
        </w:rPr>
        <w:t xml:space="preserve"> tiene el propósito de</w:t>
      </w:r>
      <w:r w:rsidRPr="00AC0B45">
        <w:rPr>
          <w:rFonts w:ascii="Book Antiqua" w:hAnsi="Book Antiqua" w:cs="Arial"/>
          <w:lang w:val="es-ES"/>
        </w:rPr>
        <w:t xml:space="preserve"> </w:t>
      </w:r>
      <w:r w:rsidR="00553376" w:rsidRPr="00553376">
        <w:rPr>
          <w:rFonts w:ascii="Book Antiqua" w:hAnsi="Book Antiqua" w:cs="Arial"/>
          <w:lang w:val="es-ES"/>
        </w:rPr>
        <w:t>añadir el inciso (</w:t>
      </w:r>
      <w:proofErr w:type="spellStart"/>
      <w:r w:rsidR="00553376" w:rsidRPr="00553376">
        <w:rPr>
          <w:rFonts w:ascii="Book Antiqua" w:hAnsi="Book Antiqua" w:cs="Arial"/>
          <w:lang w:val="es-ES"/>
        </w:rPr>
        <w:t>aa</w:t>
      </w:r>
      <w:proofErr w:type="spellEnd"/>
      <w:r w:rsidR="00553376" w:rsidRPr="00553376">
        <w:rPr>
          <w:rFonts w:ascii="Book Antiqua" w:hAnsi="Book Antiqua" w:cs="Arial"/>
          <w:lang w:val="es-ES"/>
        </w:rPr>
        <w:t xml:space="preserve">) a la Sección 1.018 de la Ley 107-2020, según enmendada, conocida como “Código Municipal de Puerto Rico”, a los fines de establecer que el </w:t>
      </w:r>
      <w:proofErr w:type="gramStart"/>
      <w:r w:rsidR="00553376" w:rsidRPr="00553376">
        <w:rPr>
          <w:rFonts w:ascii="Book Antiqua" w:hAnsi="Book Antiqua" w:cs="Arial"/>
          <w:lang w:val="es-ES"/>
        </w:rPr>
        <w:t>Alcalde</w:t>
      </w:r>
      <w:proofErr w:type="gramEnd"/>
      <w:r w:rsidR="00553376" w:rsidRPr="00553376">
        <w:rPr>
          <w:rFonts w:ascii="Book Antiqua" w:hAnsi="Book Antiqua" w:cs="Arial"/>
          <w:lang w:val="es-ES"/>
        </w:rPr>
        <w:t xml:space="preserve"> podrá nombrar un consejero de la comunidad de base de fe en la Legislatura Municipal; y para otros fines relacionados. </w:t>
      </w:r>
      <w:r w:rsidRPr="00AC0B45">
        <w:rPr>
          <w:rFonts w:ascii="Book Antiqua" w:hAnsi="Book Antiqua"/>
          <w:snapToGrid w:val="0"/>
          <w:szCs w:val="24"/>
          <w:lang w:val="es-ES"/>
        </w:rPr>
        <w:t xml:space="preserve"> </w:t>
      </w:r>
    </w:p>
    <w:p w14:paraId="3C5DF86F" w14:textId="77777777" w:rsidR="00AC0B45" w:rsidRDefault="00AC0B45" w:rsidP="00AC0B45">
      <w:pPr>
        <w:ind w:firstLine="720"/>
        <w:jc w:val="both"/>
        <w:rPr>
          <w:rFonts w:ascii="Book Antiqua" w:hAnsi="Book Antiqua" w:cs="Arial"/>
          <w:lang w:val="es-ES"/>
        </w:rPr>
      </w:pPr>
    </w:p>
    <w:p w14:paraId="5A8A1737" w14:textId="2AE0525F" w:rsidR="00553376" w:rsidRPr="00553376" w:rsidRDefault="00AC0B45" w:rsidP="00553376">
      <w:pPr>
        <w:jc w:val="both"/>
        <w:rPr>
          <w:rFonts w:ascii="Book Antiqua" w:hAnsi="Book Antiqua" w:cs="Arial"/>
          <w:lang w:val="es-ES"/>
        </w:rPr>
      </w:pPr>
      <w:r w:rsidRPr="00D30857">
        <w:rPr>
          <w:rFonts w:ascii="Book Antiqua" w:hAnsi="Book Antiqua" w:cs="Arial"/>
          <w:lang w:val="es-ES"/>
        </w:rPr>
        <w:t>De la Exposición de Motivos de la medida se desprende</w:t>
      </w:r>
      <w:r>
        <w:rPr>
          <w:rFonts w:ascii="Book Antiqua" w:hAnsi="Book Antiqua" w:cs="Arial"/>
          <w:lang w:val="es-ES"/>
        </w:rPr>
        <w:t xml:space="preserve"> que </w:t>
      </w:r>
      <w:r w:rsidR="002335EA">
        <w:rPr>
          <w:rFonts w:ascii="Book Antiqua" w:hAnsi="Book Antiqua" w:cs="Arial"/>
          <w:lang w:val="es-ES"/>
        </w:rPr>
        <w:t>l</w:t>
      </w:r>
      <w:r w:rsidR="00553376" w:rsidRPr="00553376">
        <w:rPr>
          <w:rFonts w:ascii="Book Antiqua" w:hAnsi="Book Antiqua" w:cs="Arial"/>
          <w:lang w:val="es-ES"/>
        </w:rPr>
        <w:t xml:space="preserve">a sociedad puertorriqueña avala la protección de los principios éticos y morales. Las comunidades de fe son aliados importantes en la recuperación de Puerto Rico y en el empoderamiento de nuestras comunidades. Las iglesias y las entidades sin fines de lucro tienen un rol importante en el devenir social, emocional y cultural de nuestras comunidades.  </w:t>
      </w:r>
    </w:p>
    <w:p w14:paraId="7EA98553" w14:textId="77777777" w:rsidR="00553376" w:rsidRPr="00553376" w:rsidRDefault="00553376" w:rsidP="00553376">
      <w:pPr>
        <w:jc w:val="both"/>
        <w:rPr>
          <w:rFonts w:ascii="Book Antiqua" w:hAnsi="Book Antiqua" w:cs="Arial"/>
          <w:lang w:val="es-ES"/>
        </w:rPr>
      </w:pPr>
    </w:p>
    <w:p w14:paraId="486CB404" w14:textId="584133EE" w:rsidR="00553376" w:rsidRPr="00553376" w:rsidRDefault="00553376" w:rsidP="00553376">
      <w:pPr>
        <w:jc w:val="both"/>
        <w:rPr>
          <w:rFonts w:ascii="Book Antiqua" w:hAnsi="Book Antiqua" w:cs="Arial"/>
          <w:lang w:val="es-ES"/>
        </w:rPr>
      </w:pPr>
      <w:r w:rsidRPr="00553376">
        <w:rPr>
          <w:rFonts w:ascii="Book Antiqua" w:hAnsi="Book Antiqua" w:cs="Arial"/>
          <w:lang w:val="es-ES"/>
        </w:rPr>
        <w:t>El Código Municipal de Puerto Rico reconoce que los municipios son la entidad gubernamental más cercana al pueblo.  Las comunidades de fe suelen estar en contacto con poblaciones vulnerables. Esto les permite identificar problemáticas específicas y proponer soluciones prácticas y realistas para abordar dichas necesidades en el ámbito municipal.</w:t>
      </w:r>
    </w:p>
    <w:p w14:paraId="0D42E8D4" w14:textId="77777777" w:rsidR="00553376" w:rsidRPr="00553376" w:rsidRDefault="00553376" w:rsidP="00553376">
      <w:pPr>
        <w:jc w:val="both"/>
        <w:rPr>
          <w:rFonts w:ascii="Book Antiqua" w:hAnsi="Book Antiqua" w:cs="Arial"/>
          <w:lang w:val="es-ES"/>
        </w:rPr>
      </w:pPr>
    </w:p>
    <w:p w14:paraId="068848E9" w14:textId="7AC4BE54" w:rsidR="00AC0B45" w:rsidRPr="00AC0B45" w:rsidRDefault="00553376" w:rsidP="00553376">
      <w:pPr>
        <w:jc w:val="both"/>
        <w:rPr>
          <w:rFonts w:ascii="Book Antiqua" w:hAnsi="Book Antiqua" w:cs="TimesNewRomanPSMT"/>
          <w:lang w:val="es-ES"/>
        </w:rPr>
      </w:pPr>
      <w:r w:rsidRPr="00553376">
        <w:rPr>
          <w:rFonts w:ascii="Book Antiqua" w:hAnsi="Book Antiqua" w:cs="Arial"/>
          <w:lang w:val="es-ES"/>
        </w:rPr>
        <w:t>El propósito de esta medida es autorizar al Alcalde para designar un representante de la comunidad de fe como consejero en la Legislatura Municipal. Este consejero tendrá la responsabilidad de asesorar y ofrecer orientación en cualquier medida municipal que impacte a la comunidad de fe, abarcando temas relacionados con valores, ética, moral, organizaciones sin fines de lucro, educación y principios sociales.</w:t>
      </w:r>
    </w:p>
    <w:p w14:paraId="3561B5A3" w14:textId="77777777" w:rsidR="00AC0B45" w:rsidRDefault="00AC0B45" w:rsidP="00AC0B45">
      <w:pPr>
        <w:ind w:firstLine="720"/>
        <w:jc w:val="both"/>
        <w:rPr>
          <w:rFonts w:ascii="Book Antiqua" w:hAnsi="Book Antiqua" w:cs="Arial"/>
          <w:lang w:val="es-ES"/>
        </w:rPr>
      </w:pPr>
    </w:p>
    <w:p w14:paraId="1F982DD7" w14:textId="13385476" w:rsidR="00A6590F" w:rsidRPr="00A6590F" w:rsidRDefault="00A6590F" w:rsidP="00A6590F">
      <w:pPr>
        <w:pStyle w:val="NormalWeb"/>
        <w:spacing w:before="0" w:beforeAutospacing="0" w:after="0" w:afterAutospacing="0"/>
        <w:jc w:val="center"/>
        <w:rPr>
          <w:rFonts w:ascii="Book Antiqua" w:hAnsi="Book Antiqua"/>
          <w:b/>
          <w:bCs/>
          <w:i/>
          <w:iCs/>
        </w:rPr>
      </w:pPr>
      <w:r>
        <w:rPr>
          <w:rFonts w:ascii="Book Antiqua" w:hAnsi="Book Antiqua"/>
          <w:b/>
          <w:bCs/>
          <w:i/>
          <w:iCs/>
        </w:rPr>
        <w:t>VISTAS P</w:t>
      </w:r>
      <w:r w:rsidR="00710A96">
        <w:rPr>
          <w:rFonts w:ascii="Book Antiqua" w:hAnsi="Book Antiqua"/>
          <w:b/>
          <w:bCs/>
          <w:i/>
          <w:iCs/>
        </w:rPr>
        <w:t>Ú</w:t>
      </w:r>
      <w:r>
        <w:rPr>
          <w:rFonts w:ascii="Book Antiqua" w:hAnsi="Book Antiqua"/>
          <w:b/>
          <w:bCs/>
          <w:i/>
          <w:iCs/>
        </w:rPr>
        <w:t xml:space="preserve">BLICAS </w:t>
      </w:r>
    </w:p>
    <w:p w14:paraId="62B6FB05" w14:textId="61B812AD" w:rsidR="00A6590F" w:rsidRDefault="00A6590F" w:rsidP="00A6590F">
      <w:pPr>
        <w:pStyle w:val="NormalWeb"/>
        <w:spacing w:before="0" w:beforeAutospacing="0" w:after="0" w:afterAutospacing="0"/>
        <w:jc w:val="center"/>
        <w:rPr>
          <w:rFonts w:ascii="Book Antiqua" w:hAnsi="Book Antiqua"/>
        </w:rPr>
      </w:pPr>
    </w:p>
    <w:p w14:paraId="39AA06C9" w14:textId="27786EB9" w:rsidR="00A6590F" w:rsidRDefault="00A6590F" w:rsidP="00A6590F">
      <w:pPr>
        <w:pStyle w:val="NormalWeb"/>
        <w:spacing w:before="0" w:beforeAutospacing="0" w:after="0" w:afterAutospacing="0"/>
        <w:jc w:val="both"/>
        <w:rPr>
          <w:rFonts w:ascii="Book Antiqua" w:hAnsi="Book Antiqua"/>
        </w:rPr>
      </w:pPr>
      <w:r>
        <w:rPr>
          <w:rFonts w:ascii="Book Antiqua" w:hAnsi="Book Antiqua"/>
        </w:rPr>
        <w:t xml:space="preserve">La Comisión realizó una vista pública sobre la medida, el 19 de marzo de 2025. Durante la discusión y analisis legislativo de la presente se solicitó la posición de:  </w:t>
      </w:r>
      <w:proofErr w:type="gramStart"/>
      <w:r>
        <w:rPr>
          <w:rFonts w:ascii="Book Antiqua" w:hAnsi="Book Antiqua"/>
        </w:rPr>
        <w:t>la  Federación</w:t>
      </w:r>
      <w:proofErr w:type="gramEnd"/>
      <w:r>
        <w:rPr>
          <w:rFonts w:ascii="Book Antiqua" w:hAnsi="Book Antiqua"/>
        </w:rPr>
        <w:t xml:space="preserve"> de Alcaldes</w:t>
      </w:r>
      <w:r w:rsidR="00591739">
        <w:rPr>
          <w:rFonts w:ascii="Book Antiqua" w:hAnsi="Book Antiqua"/>
        </w:rPr>
        <w:t xml:space="preserve"> de Puerto Rico</w:t>
      </w:r>
      <w:r>
        <w:rPr>
          <w:rFonts w:ascii="Book Antiqua" w:hAnsi="Book Antiqua"/>
        </w:rPr>
        <w:t>.</w:t>
      </w:r>
    </w:p>
    <w:p w14:paraId="4AD91E5E" w14:textId="730CEC09" w:rsidR="0071164C" w:rsidRDefault="0071164C" w:rsidP="0071164C">
      <w:pPr>
        <w:pStyle w:val="NormalWeb"/>
        <w:jc w:val="both"/>
        <w:rPr>
          <w:rFonts w:ascii="Book Antiqua" w:hAnsi="Book Antiqua"/>
        </w:rPr>
      </w:pPr>
      <w:r w:rsidRPr="00D86496">
        <w:rPr>
          <w:rFonts w:ascii="Book Antiqua" w:hAnsi="Book Antiqua"/>
        </w:rPr>
        <w:t xml:space="preserve">La </w:t>
      </w:r>
      <w:r w:rsidRPr="00710A96">
        <w:rPr>
          <w:rStyle w:val="Strong"/>
          <w:rFonts w:ascii="Book Antiqua" w:hAnsi="Book Antiqua"/>
          <w:i/>
          <w:iCs/>
        </w:rPr>
        <w:t>Federación de Alcaldes de Puerto Rico</w:t>
      </w:r>
      <w:r w:rsidRPr="00D86496">
        <w:rPr>
          <w:rFonts w:ascii="Book Antiqua" w:hAnsi="Book Antiqua"/>
        </w:rPr>
        <w:t xml:space="preserve"> reconoce la intención del Proyecto de </w:t>
      </w:r>
      <w:proofErr w:type="gramStart"/>
      <w:r w:rsidRPr="00D86496">
        <w:rPr>
          <w:rFonts w:ascii="Book Antiqua" w:hAnsi="Book Antiqua"/>
        </w:rPr>
        <w:t xml:space="preserve">la </w:t>
      </w:r>
      <w:r w:rsidR="00710A96">
        <w:rPr>
          <w:rFonts w:ascii="Book Antiqua" w:hAnsi="Book Antiqua"/>
        </w:rPr>
        <w:t xml:space="preserve"> </w:t>
      </w:r>
      <w:r w:rsidRPr="00D86496">
        <w:rPr>
          <w:rFonts w:ascii="Book Antiqua" w:hAnsi="Book Antiqua"/>
        </w:rPr>
        <w:t>Cámara</w:t>
      </w:r>
      <w:proofErr w:type="gramEnd"/>
      <w:r w:rsidRPr="00D86496">
        <w:rPr>
          <w:rFonts w:ascii="Book Antiqua" w:hAnsi="Book Antiqua"/>
        </w:rPr>
        <w:t xml:space="preserve"> 237 de integrar un consejero proveniente de la comunidad de base de fe en la Legislatura Municipal. No obstante, ent</w:t>
      </w:r>
      <w:r>
        <w:rPr>
          <w:rFonts w:ascii="Book Antiqua" w:hAnsi="Book Antiqua"/>
        </w:rPr>
        <w:t>ienden</w:t>
      </w:r>
      <w:r w:rsidRPr="00D86496">
        <w:rPr>
          <w:rFonts w:ascii="Book Antiqua" w:hAnsi="Book Antiqua"/>
        </w:rPr>
        <w:t xml:space="preserve"> que la medida propuesta es innecesaria, toda vez que el </w:t>
      </w:r>
      <w:r w:rsidRPr="00710A96">
        <w:rPr>
          <w:rStyle w:val="Strong"/>
          <w:rFonts w:ascii="Book Antiqua" w:hAnsi="Book Antiqua"/>
          <w:i/>
          <w:iCs/>
        </w:rPr>
        <w:t>Código Municipal de Puerto Rico, Ley Núm. 107-2020, según enmendada</w:t>
      </w:r>
      <w:r w:rsidRPr="00710A96">
        <w:rPr>
          <w:rFonts w:ascii="Book Antiqua" w:hAnsi="Book Antiqua"/>
          <w:i/>
          <w:iCs/>
        </w:rPr>
        <w:t>,</w:t>
      </w:r>
      <w:r w:rsidRPr="00D86496">
        <w:rPr>
          <w:rFonts w:ascii="Book Antiqua" w:hAnsi="Book Antiqua"/>
        </w:rPr>
        <w:t xml:space="preserve"> ya otorga al </w:t>
      </w:r>
      <w:proofErr w:type="gramStart"/>
      <w:r w:rsidRPr="00D86496">
        <w:rPr>
          <w:rFonts w:ascii="Book Antiqua" w:hAnsi="Book Antiqua"/>
        </w:rPr>
        <w:t>Alcalde</w:t>
      </w:r>
      <w:proofErr w:type="gramEnd"/>
      <w:r w:rsidRPr="00D86496">
        <w:rPr>
          <w:rFonts w:ascii="Book Antiqua" w:hAnsi="Book Antiqua"/>
        </w:rPr>
        <w:t xml:space="preserve"> las facultades necesarias para estructurar su administración y designar personal de confianza mediante ordenanza municipal. </w:t>
      </w:r>
      <w:r w:rsidRPr="00591739">
        <w:rPr>
          <w:rFonts w:ascii="Book Antiqua" w:hAnsi="Book Antiqua"/>
        </w:rPr>
        <w:t>El</w:t>
      </w:r>
      <w:r w:rsidRPr="00D86496">
        <w:rPr>
          <w:rFonts w:ascii="Book Antiqua" w:hAnsi="Book Antiqua"/>
        </w:rPr>
        <w:t xml:space="preserve"> </w:t>
      </w:r>
      <w:r w:rsidRPr="00710A96">
        <w:rPr>
          <w:rStyle w:val="Strong"/>
          <w:rFonts w:ascii="Book Antiqua" w:hAnsi="Book Antiqua"/>
          <w:i/>
          <w:iCs/>
        </w:rPr>
        <w:t>Artículo 2.003</w:t>
      </w:r>
      <w:r w:rsidRPr="00D86496">
        <w:rPr>
          <w:rFonts w:ascii="Book Antiqua" w:hAnsi="Book Antiqua"/>
        </w:rPr>
        <w:t xml:space="preserve"> del Código Municipal establece de forma clara que cada </w:t>
      </w:r>
      <w:proofErr w:type="gramStart"/>
      <w:r w:rsidRPr="00D86496">
        <w:rPr>
          <w:rFonts w:ascii="Book Antiqua" w:hAnsi="Book Antiqua"/>
        </w:rPr>
        <w:t>Alcalde</w:t>
      </w:r>
      <w:proofErr w:type="gramEnd"/>
      <w:r w:rsidRPr="00D86496">
        <w:rPr>
          <w:rFonts w:ascii="Book Antiqua" w:hAnsi="Book Antiqua"/>
        </w:rPr>
        <w:t xml:space="preserve"> puede crear las unidades administrativas que entienda necesarias, según las necesidades de su municipio, lo que incluye la creación de una </w:t>
      </w:r>
      <w:r w:rsidRPr="00710A96">
        <w:rPr>
          <w:rStyle w:val="Strong"/>
          <w:rFonts w:ascii="Book Antiqua" w:hAnsi="Book Antiqua"/>
          <w:b w:val="0"/>
          <w:bCs w:val="0"/>
        </w:rPr>
        <w:t>Oficina de Base de Fe</w:t>
      </w:r>
      <w:r w:rsidRPr="00D86496">
        <w:rPr>
          <w:rFonts w:ascii="Book Antiqua" w:hAnsi="Book Antiqua"/>
        </w:rPr>
        <w:t>, práctica que ya se implementa en varios municipios sin necesidad de legislación adicional.</w:t>
      </w:r>
    </w:p>
    <w:p w14:paraId="066EDEE8" w14:textId="060E6F00" w:rsidR="0071164C" w:rsidRDefault="0071164C" w:rsidP="0071164C">
      <w:pPr>
        <w:pStyle w:val="NormalWeb"/>
        <w:jc w:val="both"/>
        <w:rPr>
          <w:rFonts w:ascii="Book Antiqua" w:hAnsi="Book Antiqua"/>
        </w:rPr>
      </w:pPr>
      <w:r>
        <w:rPr>
          <w:rFonts w:ascii="Book Antiqua" w:hAnsi="Book Antiqua"/>
        </w:rPr>
        <w:t>Destacan</w:t>
      </w:r>
      <w:r w:rsidRPr="00D86496">
        <w:rPr>
          <w:rFonts w:ascii="Book Antiqua" w:hAnsi="Book Antiqua"/>
        </w:rPr>
        <w:t xml:space="preserve"> que en aquellos municipios donde existe dicha oficina o estructura similar, el personal designado ya brinda asesoría tanto a la Rama Ejecutiva como a la Rama Legislativa </w:t>
      </w:r>
      <w:r w:rsidR="00591739">
        <w:rPr>
          <w:rFonts w:ascii="Book Antiqua" w:hAnsi="Book Antiqua"/>
        </w:rPr>
        <w:t>M</w:t>
      </w:r>
      <w:r w:rsidRPr="00D86496">
        <w:rPr>
          <w:rFonts w:ascii="Book Antiqua" w:hAnsi="Book Antiqua"/>
        </w:rPr>
        <w:t xml:space="preserve">unicipal en temas relacionados con valores, ética, moral, organizaciones sin fines de lucro y asuntos sociales. Por ello, imponer por vía legislativa el nombramiento de un consejero específico en la Legislatura Municipal, como propone esta medida, </w:t>
      </w:r>
      <w:r w:rsidRPr="00591739">
        <w:rPr>
          <w:rStyle w:val="Strong"/>
          <w:rFonts w:ascii="Book Antiqua" w:hAnsi="Book Antiqua"/>
          <w:i/>
          <w:iCs/>
        </w:rPr>
        <w:t>podría redundar en una limitación innecesaria a la autonomía municipal</w:t>
      </w:r>
      <w:r w:rsidRPr="00591739">
        <w:rPr>
          <w:rFonts w:ascii="Book Antiqua" w:hAnsi="Book Antiqua"/>
          <w:i/>
          <w:iCs/>
        </w:rPr>
        <w:t>,</w:t>
      </w:r>
      <w:r w:rsidRPr="00D86496">
        <w:rPr>
          <w:rFonts w:ascii="Book Antiqua" w:hAnsi="Book Antiqua"/>
        </w:rPr>
        <w:t xml:space="preserve"> principio fundamental consagrado en la Ley 107. En consecuencia, </w:t>
      </w:r>
      <w:r>
        <w:rPr>
          <w:rFonts w:ascii="Book Antiqua" w:hAnsi="Book Antiqua"/>
        </w:rPr>
        <w:t xml:space="preserve">menciona </w:t>
      </w:r>
      <w:r w:rsidRPr="00591739">
        <w:rPr>
          <w:rStyle w:val="Strong"/>
          <w:rFonts w:ascii="Book Antiqua" w:hAnsi="Book Antiqua"/>
          <w:i/>
          <w:iCs/>
        </w:rPr>
        <w:t xml:space="preserve">la Federación de </w:t>
      </w:r>
      <w:proofErr w:type="gramStart"/>
      <w:r w:rsidRPr="00591739">
        <w:rPr>
          <w:rStyle w:val="Strong"/>
          <w:rFonts w:ascii="Book Antiqua" w:hAnsi="Book Antiqua"/>
          <w:i/>
          <w:iCs/>
        </w:rPr>
        <w:t>Alcaldes</w:t>
      </w:r>
      <w:proofErr w:type="gramEnd"/>
      <w:r w:rsidRPr="00591739">
        <w:rPr>
          <w:rStyle w:val="Strong"/>
          <w:rFonts w:ascii="Book Antiqua" w:hAnsi="Book Antiqua"/>
          <w:i/>
          <w:iCs/>
        </w:rPr>
        <w:t xml:space="preserve"> de Puerto Rico</w:t>
      </w:r>
      <w:r w:rsidR="00B168B2">
        <w:rPr>
          <w:rStyle w:val="Strong"/>
          <w:rFonts w:ascii="Book Antiqua" w:hAnsi="Book Antiqua"/>
          <w:i/>
          <w:iCs/>
        </w:rPr>
        <w:t xml:space="preserve"> que</w:t>
      </w:r>
      <w:r w:rsidRPr="00591739">
        <w:rPr>
          <w:rStyle w:val="Strong"/>
          <w:rFonts w:ascii="Book Antiqua" w:hAnsi="Book Antiqua"/>
          <w:i/>
          <w:iCs/>
        </w:rPr>
        <w:t xml:space="preserve"> no endosa el Proyecto de la Cámara 237</w:t>
      </w:r>
      <w:r w:rsidRPr="00591739">
        <w:rPr>
          <w:rFonts w:ascii="Book Antiqua" w:hAnsi="Book Antiqua"/>
          <w:i/>
          <w:iCs/>
        </w:rPr>
        <w:t xml:space="preserve">, </w:t>
      </w:r>
      <w:r w:rsidRPr="00D86496">
        <w:rPr>
          <w:rFonts w:ascii="Book Antiqua" w:hAnsi="Book Antiqua"/>
        </w:rPr>
        <w:t>por entender que los municipios ya cuentan con las herramientas legales y administrativas para atender adecuadamente las funciones propuestas, sin requerir una nueva disposición legal al respecto.</w:t>
      </w:r>
    </w:p>
    <w:p w14:paraId="666A2D31" w14:textId="77777777" w:rsidR="0071164C" w:rsidRPr="00D86496" w:rsidRDefault="0071164C" w:rsidP="0071164C">
      <w:pPr>
        <w:pStyle w:val="NormalWeb"/>
        <w:jc w:val="both"/>
        <w:rPr>
          <w:rFonts w:ascii="Book Antiqua" w:hAnsi="Book Antiqua"/>
        </w:rPr>
      </w:pPr>
      <w:r w:rsidRPr="000C66D1">
        <w:rPr>
          <w:rFonts w:ascii="Book Antiqua" w:hAnsi="Book Antiqua"/>
        </w:rPr>
        <w:t>Tras la discusión generada en la vista pública y la presentación de diversas interrogantes a la</w:t>
      </w:r>
      <w:r w:rsidRPr="000C66D1">
        <w:rPr>
          <w:rFonts w:ascii="Book Antiqua" w:hAnsi="Book Antiqua"/>
          <w:b/>
          <w:bCs/>
          <w:i/>
          <w:iCs/>
        </w:rPr>
        <w:t xml:space="preserve"> Federación de Alcaldes de Puerto Rico,</w:t>
      </w:r>
      <w:r w:rsidRPr="000C66D1">
        <w:rPr>
          <w:rFonts w:ascii="Book Antiqua" w:hAnsi="Book Antiqua"/>
        </w:rPr>
        <w:t xml:space="preserve"> se promovió un análisis más amplio sobre la propuesta contenida en el Proyecto de la Cámara 237. Como resultado, la Federación reconoció el valor del Tercer Sector en la gestión municipal y concurrió con las enmiendas sugeridas para ampliar la redacción del proyecto. Estas enmiendas garantizan que la medida preserve la autonomía municipal y establezca una participación más inclusiva y equitativa dentro de la estructura legislativa municipal. En ese sentido, se entiende que </w:t>
      </w:r>
      <w:r w:rsidRPr="000C66D1">
        <w:rPr>
          <w:rFonts w:ascii="Book Antiqua" w:hAnsi="Book Antiqua"/>
        </w:rPr>
        <w:lastRenderedPageBreak/>
        <w:t>la propuesta legislativa puede ser viable mediante las modificaciones presentadas, asegurando un marco normativo que fomente la colaboración con el Tercer Sector sin imponer obligaciones adicionales a los municipios.</w:t>
      </w:r>
    </w:p>
    <w:p w14:paraId="0ABB5BEC" w14:textId="72803BD4" w:rsidR="00214189" w:rsidRPr="002D4B38" w:rsidRDefault="00214189" w:rsidP="00214189">
      <w:pPr>
        <w:spacing w:before="100" w:beforeAutospacing="1" w:after="100" w:afterAutospacing="1"/>
        <w:contextualSpacing/>
        <w:jc w:val="center"/>
        <w:rPr>
          <w:rFonts w:ascii="Book Antiqua" w:hAnsi="Book Antiqua"/>
          <w:szCs w:val="24"/>
          <w:lang w:val="es-ES"/>
        </w:rPr>
      </w:pPr>
      <w:bookmarkStart w:id="1" w:name="_Hlk193349736"/>
      <w:r>
        <w:rPr>
          <w:rFonts w:ascii="Book Antiqua" w:hAnsi="Book Antiqua"/>
          <w:b/>
          <w:i/>
          <w:smallCaps/>
          <w:szCs w:val="24"/>
          <w:lang w:val="es-ES_tradnl"/>
        </w:rPr>
        <w:t xml:space="preserve">MEMORIALES Y COMPARECENCIAS </w:t>
      </w:r>
    </w:p>
    <w:bookmarkEnd w:id="1"/>
    <w:p w14:paraId="64BE14A2" w14:textId="792331DA" w:rsidR="00D86496" w:rsidRPr="00D86496" w:rsidRDefault="00D86496" w:rsidP="00D86496">
      <w:pPr>
        <w:pStyle w:val="NormalWeb"/>
        <w:jc w:val="both"/>
        <w:rPr>
          <w:rFonts w:ascii="Book Antiqua" w:hAnsi="Book Antiqua"/>
        </w:rPr>
      </w:pPr>
      <w:r w:rsidRPr="00D86496">
        <w:rPr>
          <w:rFonts w:ascii="Book Antiqua" w:hAnsi="Book Antiqua"/>
        </w:rPr>
        <w:t xml:space="preserve">La </w:t>
      </w:r>
      <w:r w:rsidRPr="002335EA">
        <w:rPr>
          <w:rStyle w:val="Strong"/>
          <w:rFonts w:ascii="Book Antiqua" w:hAnsi="Book Antiqua"/>
          <w:i/>
          <w:iCs/>
        </w:rPr>
        <w:t>Asociación de Alcaldes de Puerto Rico</w:t>
      </w:r>
      <w:r w:rsidRPr="00D86496">
        <w:rPr>
          <w:rFonts w:ascii="Book Antiqua" w:hAnsi="Book Antiqua"/>
        </w:rPr>
        <w:t xml:space="preserve"> reconoce la intención loable del Proyecto de la Cámara 237 de incorporar un consejero proveniente de la comunidad de fe en la Legislatura Municipal. No obstante, </w:t>
      </w:r>
      <w:r w:rsidR="0071164C">
        <w:rPr>
          <w:rFonts w:ascii="Book Antiqua" w:hAnsi="Book Antiqua"/>
        </w:rPr>
        <w:t>menciona</w:t>
      </w:r>
      <w:r w:rsidRPr="00D86496">
        <w:rPr>
          <w:rFonts w:ascii="Book Antiqua" w:hAnsi="Book Antiqua"/>
        </w:rPr>
        <w:t xml:space="preserve"> que el </w:t>
      </w:r>
      <w:r w:rsidRPr="00B168B2">
        <w:rPr>
          <w:rStyle w:val="Strong"/>
          <w:rFonts w:ascii="Book Antiqua" w:hAnsi="Book Antiqua"/>
          <w:i/>
          <w:iCs/>
        </w:rPr>
        <w:t>Código Municipal de Puerto Rico ya provee herramientas legales suficientes</w:t>
      </w:r>
      <w:r w:rsidRPr="00D86496">
        <w:rPr>
          <w:rFonts w:ascii="Book Antiqua" w:hAnsi="Book Antiqua"/>
        </w:rPr>
        <w:t xml:space="preserve"> para que los </w:t>
      </w:r>
      <w:proofErr w:type="gramStart"/>
      <w:r w:rsidRPr="00D86496">
        <w:rPr>
          <w:rFonts w:ascii="Book Antiqua" w:hAnsi="Book Antiqua"/>
        </w:rPr>
        <w:t>Alcaldes</w:t>
      </w:r>
      <w:proofErr w:type="gramEnd"/>
      <w:r w:rsidRPr="00D86496">
        <w:rPr>
          <w:rFonts w:ascii="Book Antiqua" w:hAnsi="Book Antiqua"/>
        </w:rPr>
        <w:t xml:space="preserve"> puedan designar, conforme a su discreción, personal de confianza que les asista en funciones de asesoría en temas sociales, éticos y comunitarios. El </w:t>
      </w:r>
      <w:r w:rsidRPr="00B168B2">
        <w:rPr>
          <w:rStyle w:val="Strong"/>
          <w:rFonts w:ascii="Book Antiqua" w:hAnsi="Book Antiqua"/>
          <w:i/>
          <w:iCs/>
        </w:rPr>
        <w:t>Artículo 1.018 del Código Municipal</w:t>
      </w:r>
      <w:r w:rsidRPr="00D86496">
        <w:rPr>
          <w:rFonts w:ascii="Book Antiqua" w:hAnsi="Book Antiqua"/>
        </w:rPr>
        <w:t xml:space="preserve"> es claro al conferir al </w:t>
      </w:r>
      <w:proofErr w:type="gramStart"/>
      <w:r w:rsidRPr="00D86496">
        <w:rPr>
          <w:rFonts w:ascii="Book Antiqua" w:hAnsi="Book Antiqua"/>
        </w:rPr>
        <w:t>Alcalde</w:t>
      </w:r>
      <w:proofErr w:type="gramEnd"/>
      <w:r w:rsidRPr="00D86496">
        <w:rPr>
          <w:rFonts w:ascii="Book Antiqua" w:hAnsi="Book Antiqua"/>
        </w:rPr>
        <w:t xml:space="preserve"> la autoridad para nombrar sus funcionarios y coordinar servicios municipales, y el </w:t>
      </w:r>
      <w:r w:rsidRPr="00B168B2">
        <w:rPr>
          <w:rStyle w:val="Strong"/>
          <w:rFonts w:ascii="Book Antiqua" w:hAnsi="Book Antiqua"/>
          <w:i/>
          <w:iCs/>
        </w:rPr>
        <w:t>Artículo 2.003</w:t>
      </w:r>
      <w:r w:rsidRPr="00D86496">
        <w:rPr>
          <w:rFonts w:ascii="Book Antiqua" w:hAnsi="Book Antiqua"/>
        </w:rPr>
        <w:t xml:space="preserve"> le faculta a crear las unidades administrativas que estime necesarias mediante ordenanza, sin requerir legislación adicional.</w:t>
      </w:r>
    </w:p>
    <w:p w14:paraId="6B2A7BC4" w14:textId="1354F239" w:rsidR="00D86496" w:rsidRDefault="00D86496" w:rsidP="00D86496">
      <w:pPr>
        <w:pStyle w:val="NormalWeb"/>
        <w:jc w:val="both"/>
        <w:rPr>
          <w:rFonts w:ascii="Book Antiqua" w:hAnsi="Book Antiqua"/>
        </w:rPr>
      </w:pPr>
      <w:r w:rsidRPr="00D86496">
        <w:rPr>
          <w:rFonts w:ascii="Book Antiqua" w:hAnsi="Book Antiqua"/>
        </w:rPr>
        <w:t xml:space="preserve">Además, mencionan </w:t>
      </w:r>
      <w:r w:rsidR="002335EA">
        <w:rPr>
          <w:rFonts w:ascii="Book Antiqua" w:hAnsi="Book Antiqua"/>
        </w:rPr>
        <w:t xml:space="preserve">que </w:t>
      </w:r>
      <w:r w:rsidRPr="00D86496">
        <w:rPr>
          <w:rFonts w:ascii="Book Antiqua" w:hAnsi="Book Antiqua"/>
        </w:rPr>
        <w:t xml:space="preserve">el </w:t>
      </w:r>
      <w:r w:rsidRPr="00B168B2">
        <w:rPr>
          <w:rStyle w:val="Strong"/>
          <w:rFonts w:ascii="Book Antiqua" w:hAnsi="Book Antiqua"/>
          <w:i/>
          <w:iCs/>
        </w:rPr>
        <w:t>Artículo 1.036(k)</w:t>
      </w:r>
      <w:r w:rsidRPr="00D86496">
        <w:rPr>
          <w:rFonts w:ascii="Book Antiqua" w:hAnsi="Book Antiqua"/>
        </w:rPr>
        <w:t xml:space="preserve"> permite al </w:t>
      </w:r>
      <w:proofErr w:type="gramStart"/>
      <w:r w:rsidRPr="00D86496">
        <w:rPr>
          <w:rFonts w:ascii="Book Antiqua" w:hAnsi="Book Antiqua"/>
        </w:rPr>
        <w:t>Presidente</w:t>
      </w:r>
      <w:proofErr w:type="gramEnd"/>
      <w:r w:rsidRPr="00D86496">
        <w:rPr>
          <w:rFonts w:ascii="Book Antiqua" w:hAnsi="Book Antiqua"/>
        </w:rPr>
        <w:t xml:space="preserve"> de la Legislatura Municipal designar el personal de confianza que estime pertinente, lo que refuerza aún más la flexibilidad que ya existe dentro del marco legal vigente. Por tanto, la Asociación entiende que cualquier nombramiento de un consejero de base de fe o del Tercer Sector puede realizarse sin necesidad de establecerlo de forma obligatoria mediante enmienda legislativa. En consecuencia, la Asociación de </w:t>
      </w:r>
      <w:proofErr w:type="gramStart"/>
      <w:r w:rsidRPr="00D86496">
        <w:rPr>
          <w:rFonts w:ascii="Book Antiqua" w:hAnsi="Book Antiqua"/>
        </w:rPr>
        <w:t>Alcaldes</w:t>
      </w:r>
      <w:proofErr w:type="gramEnd"/>
      <w:r w:rsidR="00B168B2">
        <w:rPr>
          <w:rFonts w:ascii="Book Antiqua" w:hAnsi="Book Antiqua"/>
        </w:rPr>
        <w:t xml:space="preserve"> de Puerto Rico</w:t>
      </w:r>
      <w:r w:rsidRPr="00D86496">
        <w:rPr>
          <w:rFonts w:ascii="Book Antiqua" w:hAnsi="Book Antiqua"/>
        </w:rPr>
        <w:t xml:space="preserve"> aboga por respetar la </w:t>
      </w:r>
      <w:r w:rsidRPr="00B168B2">
        <w:rPr>
          <w:rStyle w:val="Strong"/>
          <w:rFonts w:ascii="Book Antiqua" w:hAnsi="Book Antiqua"/>
          <w:i/>
          <w:iCs/>
        </w:rPr>
        <w:t>autonomía administrativa y ejecutiva de los Alcaldes</w:t>
      </w:r>
      <w:r w:rsidRPr="00B168B2">
        <w:rPr>
          <w:rFonts w:ascii="Book Antiqua" w:hAnsi="Book Antiqua"/>
          <w:i/>
          <w:iCs/>
        </w:rPr>
        <w:t>,</w:t>
      </w:r>
      <w:r w:rsidRPr="00D86496">
        <w:rPr>
          <w:rFonts w:ascii="Book Antiqua" w:hAnsi="Book Antiqua"/>
        </w:rPr>
        <w:t xml:space="preserve"> reconociendo que cada municipio debe tener la libertad de estructurar sus equipos de trabajo conforme a sus realidades locales y necesidades particulares.</w:t>
      </w:r>
    </w:p>
    <w:p w14:paraId="40C89082" w14:textId="0CDF734A" w:rsidR="005F57EA" w:rsidRPr="005F57EA" w:rsidRDefault="005F57EA" w:rsidP="005F57EA">
      <w:pPr>
        <w:pStyle w:val="NormalWeb"/>
        <w:jc w:val="both"/>
        <w:rPr>
          <w:rFonts w:ascii="Book Antiqua" w:hAnsi="Book Antiqua"/>
          <w:lang w:val="es-DO"/>
        </w:rPr>
      </w:pPr>
      <w:r w:rsidRPr="005F57EA">
        <w:rPr>
          <w:rFonts w:ascii="Book Antiqua" w:hAnsi="Book Antiqua"/>
          <w:lang w:val="es-DO"/>
        </w:rPr>
        <w:t xml:space="preserve">El </w:t>
      </w:r>
      <w:r w:rsidRPr="005F57EA">
        <w:rPr>
          <w:rFonts w:ascii="Book Antiqua" w:hAnsi="Book Antiqua"/>
          <w:b/>
          <w:bCs/>
          <w:i/>
          <w:iCs/>
          <w:lang w:val="es-DO"/>
        </w:rPr>
        <w:t>Departamento de Justicia</w:t>
      </w:r>
      <w:r w:rsidRPr="005F57EA">
        <w:rPr>
          <w:rFonts w:ascii="Book Antiqua" w:hAnsi="Book Antiqua"/>
          <w:lang w:val="es-DO"/>
        </w:rPr>
        <w:t xml:space="preserve"> </w:t>
      </w:r>
      <w:r w:rsidR="00A107E2">
        <w:rPr>
          <w:rFonts w:ascii="Book Antiqua" w:hAnsi="Book Antiqua"/>
          <w:lang w:val="es-DO"/>
        </w:rPr>
        <w:t>menciona que e</w:t>
      </w:r>
      <w:r w:rsidRPr="005F57EA">
        <w:rPr>
          <w:rFonts w:ascii="Book Antiqua" w:hAnsi="Book Antiqua"/>
          <w:lang w:val="es-DO"/>
        </w:rPr>
        <w:t>l proyecto de ley presenta un asunto delicado en cuanto a la separación de poderes entre el Ejecutivo y la Legislatura Municipal. El principio de separación de poderes está consagrado en la Constitución del Estado Libre Asociado de Puerto Rico y en diversas normativas legales. La Exposición de Motivos del Proyecto menciona que el propósito de esta medida es autorizar al Alcalde a nombrar a un consejero de la comunidad de fe. Este tipo de intervención en una rama del gobierno, que podría tener un impacto en la Legislatura Municipal, plantea una posible colisión con el principio fundamental de la separación de poderes.</w:t>
      </w:r>
    </w:p>
    <w:p w14:paraId="695C9627" w14:textId="77777777" w:rsidR="005F57EA" w:rsidRPr="005F57EA" w:rsidRDefault="005F57EA" w:rsidP="005F57EA">
      <w:pPr>
        <w:pStyle w:val="NormalWeb"/>
        <w:jc w:val="both"/>
        <w:rPr>
          <w:rFonts w:ascii="Book Antiqua" w:hAnsi="Book Antiqua"/>
          <w:lang w:val="es-DO"/>
        </w:rPr>
      </w:pPr>
      <w:r w:rsidRPr="005F57EA">
        <w:rPr>
          <w:rFonts w:ascii="Book Antiqua" w:hAnsi="Book Antiqua"/>
          <w:lang w:val="es-DO"/>
        </w:rPr>
        <w:t>La separación de poderes busca evitar la concentración de poder en una sola rama, protegiendo así la libertad de los ciudadanos. En este caso, la intervención de la Rama Ejecutiva en funciones propias de la Legislatura Municipal podría ser vista como un atentado contra la autonomía de dicha Legislatura, que dispone de su propio ámbito de acción dentro de la Constitución.</w:t>
      </w:r>
    </w:p>
    <w:p w14:paraId="396263FB" w14:textId="598A55CE" w:rsidR="005F57EA" w:rsidRPr="005F57EA" w:rsidRDefault="005F57EA" w:rsidP="005F57EA">
      <w:pPr>
        <w:pStyle w:val="NormalWeb"/>
        <w:jc w:val="both"/>
        <w:rPr>
          <w:rFonts w:ascii="Book Antiqua" w:hAnsi="Book Antiqua"/>
          <w:lang w:val="es-DO"/>
        </w:rPr>
      </w:pPr>
      <w:r w:rsidRPr="005F57EA">
        <w:rPr>
          <w:rFonts w:ascii="Book Antiqua" w:hAnsi="Book Antiqua"/>
          <w:lang w:val="es-DO"/>
        </w:rPr>
        <w:t xml:space="preserve">El proyecto de ley también </w:t>
      </w:r>
      <w:r>
        <w:rPr>
          <w:rFonts w:ascii="Book Antiqua" w:hAnsi="Book Antiqua"/>
          <w:lang w:val="es-DO"/>
        </w:rPr>
        <w:t xml:space="preserve">podría </w:t>
      </w:r>
      <w:r w:rsidRPr="005F57EA">
        <w:rPr>
          <w:rFonts w:ascii="Book Antiqua" w:hAnsi="Book Antiqua"/>
          <w:lang w:val="es-DO"/>
        </w:rPr>
        <w:t>afecta</w:t>
      </w:r>
      <w:r>
        <w:rPr>
          <w:rFonts w:ascii="Book Antiqua" w:hAnsi="Book Antiqua"/>
          <w:lang w:val="es-DO"/>
        </w:rPr>
        <w:t>r</w:t>
      </w:r>
      <w:r w:rsidRPr="005F57EA">
        <w:rPr>
          <w:rFonts w:ascii="Book Antiqua" w:hAnsi="Book Antiqua"/>
          <w:lang w:val="es-DO"/>
        </w:rPr>
        <w:t xml:space="preserve"> la autonomía de la Legislatura Municipal, pues le otorga una función que históricamente ha estado en manos de los propios legisladores </w:t>
      </w:r>
      <w:r w:rsidRPr="005F57EA">
        <w:rPr>
          <w:rFonts w:ascii="Book Antiqua" w:hAnsi="Book Antiqua"/>
          <w:lang w:val="es-DO"/>
        </w:rPr>
        <w:lastRenderedPageBreak/>
        <w:t>municipales. De acuerdo con el Código Municipal, la facultad de tomar decisiones dentro de la Legislatura Municipal debe estar protegida de intervenciones externas que puedan poner en peligro la independencia de esta rama. Si se permite que el Alcalde designe un consejero de la comunidad de fe dentro de la Legislatura, esto podría interferir con el poder de los legisladores para tomar decisiones sin la influencia del poder ejecutivo.</w:t>
      </w:r>
    </w:p>
    <w:p w14:paraId="06F97E27" w14:textId="77777777" w:rsidR="005F57EA" w:rsidRPr="005F57EA" w:rsidRDefault="005F57EA" w:rsidP="005F57EA">
      <w:pPr>
        <w:pStyle w:val="NormalWeb"/>
        <w:jc w:val="both"/>
        <w:rPr>
          <w:rFonts w:ascii="Book Antiqua" w:hAnsi="Book Antiqua"/>
          <w:lang w:val="es-DO"/>
        </w:rPr>
      </w:pPr>
      <w:r w:rsidRPr="005F57EA">
        <w:rPr>
          <w:rFonts w:ascii="Book Antiqua" w:hAnsi="Book Antiqua"/>
          <w:lang w:val="es-DO"/>
        </w:rPr>
        <w:t>Otro aspecto importante de la propuesta es el impacto sobre la libertad religiosa. Según la doctrina establecida por el Tribunal Supremo de Puerto Rico y el Tribunal Supremo Federal, las acciones gubernamentales que involucran el establecimiento de una “comunidad de fe” dentro de una estructura gubernamental deben evaluarse cuidadosamente para garantizar que no violen la cláusula de establecimiento de religión, tal como se establece en la Primera Enmienda de la Constitución de los Estados Unidos y la Sección 3 de la Constitución del Estado Libre Asociado de Puerto Rico.</w:t>
      </w:r>
    </w:p>
    <w:p w14:paraId="2C693F5D" w14:textId="77777777" w:rsidR="005F57EA" w:rsidRPr="005F57EA" w:rsidRDefault="005F57EA" w:rsidP="005F57EA">
      <w:pPr>
        <w:pStyle w:val="NormalWeb"/>
        <w:jc w:val="both"/>
        <w:rPr>
          <w:rFonts w:ascii="Book Antiqua" w:hAnsi="Book Antiqua"/>
          <w:lang w:val="es-DO"/>
        </w:rPr>
      </w:pPr>
      <w:r w:rsidRPr="005F57EA">
        <w:rPr>
          <w:rFonts w:ascii="Book Antiqua" w:hAnsi="Book Antiqua"/>
          <w:lang w:val="es-DO"/>
        </w:rPr>
        <w:t>El Tribunal Supremo de Puerto Rico ha señalado en casos previos que el gobierno no debe favorecer una religión sobre otras, y cualquier intento de designar un consejero con base en una creencia religiosa podría constituir una violación de este principio constitucional. En el contexto del Proyecto de la Cámara 237, si el Alcalde nombra a un consejero de una "comunidad de fe", podría interpretarse como una acción que favorece una religión específica, lo cual es inconstitucional bajo las normativas establecidas.</w:t>
      </w:r>
    </w:p>
    <w:p w14:paraId="7DCA8B19" w14:textId="4EA40E74" w:rsidR="005F57EA" w:rsidRPr="005F57EA" w:rsidRDefault="005F57EA" w:rsidP="005F57EA">
      <w:pPr>
        <w:pStyle w:val="NormalWeb"/>
        <w:jc w:val="both"/>
        <w:rPr>
          <w:rFonts w:ascii="Book Antiqua" w:hAnsi="Book Antiqua"/>
          <w:lang w:val="es-DO"/>
        </w:rPr>
      </w:pPr>
      <w:r w:rsidRPr="005F57EA">
        <w:rPr>
          <w:rFonts w:ascii="Book Antiqua" w:hAnsi="Book Antiqua"/>
          <w:lang w:val="es-DO"/>
        </w:rPr>
        <w:t xml:space="preserve">Aunque el Departamento de Justicia </w:t>
      </w:r>
      <w:r w:rsidR="00D820B0" w:rsidRPr="005F57EA">
        <w:rPr>
          <w:rFonts w:ascii="Book Antiqua" w:hAnsi="Book Antiqua"/>
          <w:lang w:val="es-DO"/>
        </w:rPr>
        <w:t>reconoc</w:t>
      </w:r>
      <w:r w:rsidR="00D820B0">
        <w:rPr>
          <w:rFonts w:ascii="Book Antiqua" w:hAnsi="Book Antiqua"/>
          <w:lang w:val="es-DO"/>
        </w:rPr>
        <w:t>ió</w:t>
      </w:r>
      <w:r w:rsidRPr="005F57EA">
        <w:rPr>
          <w:rFonts w:ascii="Book Antiqua" w:hAnsi="Book Antiqua"/>
          <w:lang w:val="es-DO"/>
        </w:rPr>
        <w:t xml:space="preserve"> la intención del proyecto de ley de promover el bienestar y la inclusión social a través de la designación de un consejero de la comunidad de fe, se debe considerar que la propuesta podría tener implicaciones legales de gran envergadura. La intervención del Alcalde en el nombramiento de dicho consejero, así como la posible introducción de elementos religiosos dentro de la estructura gubernamental, podría violar el principio de separación de poderes, así como los derechos establecidos bajo la cláusula de libertad religiosa.</w:t>
      </w:r>
    </w:p>
    <w:p w14:paraId="5E474A59" w14:textId="77777777" w:rsidR="005F57EA" w:rsidRPr="005F57EA" w:rsidRDefault="005F57EA" w:rsidP="005F57EA">
      <w:pPr>
        <w:pStyle w:val="NormalWeb"/>
        <w:jc w:val="both"/>
        <w:rPr>
          <w:rFonts w:ascii="Book Antiqua" w:hAnsi="Book Antiqua"/>
          <w:lang w:val="es-DO"/>
        </w:rPr>
      </w:pPr>
      <w:r w:rsidRPr="005F57EA">
        <w:rPr>
          <w:rFonts w:ascii="Book Antiqua" w:hAnsi="Book Antiqua"/>
          <w:lang w:val="es-DO"/>
        </w:rPr>
        <w:t>Por lo tanto, el Departamento de Justicia recomienda que, en caso de continuar con el proceso de evaluación del proyecto, se considere revisar el alcance de la intervención ejecutiva en la Legislatura Municipal y se evalúe cuidadosamente la constitucionalidad de la inclusión de componentes religiosos dentro de la estructura del gobierno municipal.</w:t>
      </w:r>
    </w:p>
    <w:p w14:paraId="347FF197" w14:textId="1F76D904" w:rsidR="005F57EA" w:rsidRPr="005F57EA" w:rsidRDefault="005F57EA" w:rsidP="005F57EA">
      <w:pPr>
        <w:pStyle w:val="NormalWeb"/>
        <w:jc w:val="both"/>
        <w:rPr>
          <w:rFonts w:ascii="Book Antiqua" w:hAnsi="Book Antiqua"/>
          <w:lang w:val="es-DO"/>
        </w:rPr>
      </w:pPr>
      <w:r w:rsidRPr="005F57EA">
        <w:rPr>
          <w:rFonts w:ascii="Book Antiqua" w:hAnsi="Book Antiqua"/>
          <w:lang w:val="es-DO"/>
        </w:rPr>
        <w:t xml:space="preserve">El Departamento de Justicia no se opone de manera </w:t>
      </w:r>
      <w:r>
        <w:rPr>
          <w:rFonts w:ascii="Book Antiqua" w:hAnsi="Book Antiqua"/>
          <w:lang w:val="es-DO"/>
        </w:rPr>
        <w:t xml:space="preserve">conclusiva </w:t>
      </w:r>
      <w:r w:rsidRPr="005F57EA">
        <w:rPr>
          <w:rFonts w:ascii="Book Antiqua" w:hAnsi="Book Antiqua"/>
          <w:lang w:val="es-DO"/>
        </w:rPr>
        <w:t>a la medida propuesta, pero sugiere que se haga una revisión exhaustiva de los aspectos legales que puedan contravenir la Constitución del Estado Libre Asociado de Puerto Rico y las garantías fundamentales de libertad religiosa y autonomía de la Legislatura Municipal. El cumplimiento de estos principios es esencial para asegurar que el proyecto no infrinja derechos constitucionales, mientras se persigue el propósito de fortalecer las instituciones y promover el bienestar de la comunidad.</w:t>
      </w:r>
    </w:p>
    <w:p w14:paraId="2B58D7BE" w14:textId="77777777" w:rsidR="005F57EA" w:rsidRPr="00D86496" w:rsidRDefault="005F57EA" w:rsidP="00D86496">
      <w:pPr>
        <w:pStyle w:val="NormalWeb"/>
        <w:jc w:val="both"/>
        <w:rPr>
          <w:rFonts w:ascii="Book Antiqua" w:hAnsi="Book Antiqua"/>
        </w:rPr>
      </w:pPr>
    </w:p>
    <w:p w14:paraId="7037728A" w14:textId="77777777" w:rsidR="007150D0" w:rsidRDefault="007150D0" w:rsidP="00D820B0">
      <w:pPr>
        <w:jc w:val="center"/>
        <w:rPr>
          <w:rFonts w:ascii="Book Antiqua" w:hAnsi="Book Antiqua"/>
          <w:b/>
          <w:i/>
          <w:smallCaps/>
          <w:szCs w:val="24"/>
          <w:lang w:val="es-ES_tradnl"/>
        </w:rPr>
      </w:pPr>
    </w:p>
    <w:p w14:paraId="4CB7848C" w14:textId="36D04D6F" w:rsidR="00214189" w:rsidRDefault="00214189" w:rsidP="00D820B0">
      <w:pPr>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085B6EAF" w14:textId="77777777" w:rsidR="00553376" w:rsidRDefault="00553376" w:rsidP="00D820B0">
      <w:pPr>
        <w:jc w:val="both"/>
        <w:rPr>
          <w:rFonts w:ascii="Book Antiqua" w:hAnsi="Book Antiqua"/>
          <w:lang w:val="es-ES"/>
        </w:rPr>
      </w:pPr>
    </w:p>
    <w:p w14:paraId="52AFD5BB" w14:textId="77777777" w:rsidR="000C66D1" w:rsidRDefault="000C66D1" w:rsidP="00D820B0">
      <w:pPr>
        <w:jc w:val="both"/>
        <w:rPr>
          <w:rFonts w:ascii="Book Antiqua" w:hAnsi="Book Antiqua"/>
          <w:lang w:val="es-ES"/>
        </w:rPr>
      </w:pPr>
      <w:r w:rsidRPr="00553376">
        <w:rPr>
          <w:rFonts w:ascii="Book Antiqua" w:hAnsi="Book Antiqua"/>
          <w:lang w:val="es-ES"/>
        </w:rPr>
        <w:t>La Comisión de Asuntos Municipales realizó enmiendas al Proyecto de la Cámara 237 con el propósito de corregir el Título y el Decrétese de la medida, aclarando que lo aplicable es el Artículo 1.018 del Código Municipal de Puerto Rico, y no una “</w:t>
      </w:r>
      <w:r>
        <w:rPr>
          <w:rFonts w:ascii="Book Antiqua" w:hAnsi="Book Antiqua"/>
          <w:lang w:val="es-ES"/>
        </w:rPr>
        <w:t>S</w:t>
      </w:r>
      <w:r w:rsidRPr="00553376">
        <w:rPr>
          <w:rFonts w:ascii="Book Antiqua" w:hAnsi="Book Antiqua"/>
          <w:lang w:val="es-ES"/>
        </w:rPr>
        <w:t xml:space="preserve">ección”, como  se había consignado en el texto original. </w:t>
      </w:r>
    </w:p>
    <w:p w14:paraId="3EA7462B" w14:textId="77777777" w:rsidR="000C66D1" w:rsidRDefault="000C66D1" w:rsidP="000C66D1">
      <w:pPr>
        <w:jc w:val="both"/>
        <w:rPr>
          <w:rFonts w:ascii="Book Antiqua" w:hAnsi="Book Antiqua"/>
          <w:lang w:val="es-ES"/>
        </w:rPr>
      </w:pPr>
    </w:p>
    <w:p w14:paraId="323BB44B" w14:textId="660A4CF1" w:rsidR="000C66D1" w:rsidRDefault="000C66D1" w:rsidP="000C66D1">
      <w:pPr>
        <w:jc w:val="both"/>
        <w:rPr>
          <w:rFonts w:ascii="Book Antiqua" w:hAnsi="Book Antiqua"/>
          <w:lang w:val="es-ES"/>
        </w:rPr>
      </w:pPr>
      <w:r w:rsidRPr="004231E9">
        <w:rPr>
          <w:rFonts w:ascii="Book Antiqua" w:hAnsi="Book Antiqua"/>
          <w:lang w:val="es-ES"/>
        </w:rPr>
        <w:t xml:space="preserve">En ese sentido, se incorpora un lenguaje claro y preciso para dejar establecido que la disposición relacionada con el nombramiento de representantes del </w:t>
      </w:r>
      <w:r w:rsidR="00A6340D">
        <w:rPr>
          <w:rFonts w:ascii="Book Antiqua" w:hAnsi="Book Antiqua"/>
          <w:lang w:val="es-ES"/>
        </w:rPr>
        <w:t>T</w:t>
      </w:r>
      <w:r w:rsidRPr="004231E9">
        <w:rPr>
          <w:rFonts w:ascii="Book Antiqua" w:hAnsi="Book Antiqua"/>
          <w:lang w:val="es-ES"/>
        </w:rPr>
        <w:t xml:space="preserve">ercer </w:t>
      </w:r>
      <w:r w:rsidR="00A6340D">
        <w:rPr>
          <w:rFonts w:ascii="Book Antiqua" w:hAnsi="Book Antiqua"/>
          <w:lang w:val="es-ES"/>
        </w:rPr>
        <w:t>S</w:t>
      </w:r>
      <w:r w:rsidRPr="004231E9">
        <w:rPr>
          <w:rFonts w:ascii="Book Antiqua" w:hAnsi="Book Antiqua"/>
          <w:lang w:val="es-ES"/>
        </w:rPr>
        <w:t xml:space="preserve">ector constituirá una facultad de carácter discrecional del alcalde. Esta facultad no será de cumplimiento obligatorio, sino una prerrogativa que podrá ejercer el ejecutivo municipal conforme a su juicio, necesidades particulares del municipio y las prioridades de política pública local. El propósito de esta redacción es asegurar que los </w:t>
      </w:r>
      <w:proofErr w:type="gramStart"/>
      <w:r w:rsidR="00A6340D">
        <w:rPr>
          <w:rFonts w:ascii="Book Antiqua" w:hAnsi="Book Antiqua"/>
          <w:lang w:val="es-ES"/>
        </w:rPr>
        <w:t>A</w:t>
      </w:r>
      <w:r w:rsidRPr="004231E9">
        <w:rPr>
          <w:rFonts w:ascii="Book Antiqua" w:hAnsi="Book Antiqua"/>
          <w:lang w:val="es-ES"/>
        </w:rPr>
        <w:t>lcaldes</w:t>
      </w:r>
      <w:proofErr w:type="gramEnd"/>
      <w:r w:rsidRPr="004231E9">
        <w:rPr>
          <w:rFonts w:ascii="Book Antiqua" w:hAnsi="Book Antiqua"/>
          <w:lang w:val="es-ES"/>
        </w:rPr>
        <w:t xml:space="preserve"> cuenten con la flexibilidad necesaria para determinar, según las circunstancias de su jurisdicción, si resulta conveniente y oportuno designar personas provenientes de organizaciones sin fines de lucro, entidades comunitarias o cualquier otro componente del </w:t>
      </w:r>
      <w:r w:rsidR="00A6340D">
        <w:rPr>
          <w:rFonts w:ascii="Book Antiqua" w:hAnsi="Book Antiqua"/>
          <w:lang w:val="es-ES"/>
        </w:rPr>
        <w:t>T</w:t>
      </w:r>
      <w:r w:rsidRPr="004231E9">
        <w:rPr>
          <w:rFonts w:ascii="Book Antiqua" w:hAnsi="Book Antiqua"/>
          <w:lang w:val="es-ES"/>
        </w:rPr>
        <w:t xml:space="preserve">ercer </w:t>
      </w:r>
      <w:r w:rsidR="00A6340D">
        <w:rPr>
          <w:rFonts w:ascii="Book Antiqua" w:hAnsi="Book Antiqua"/>
          <w:lang w:val="es-ES"/>
        </w:rPr>
        <w:t>S</w:t>
      </w:r>
      <w:r w:rsidRPr="004231E9">
        <w:rPr>
          <w:rFonts w:ascii="Book Antiqua" w:hAnsi="Book Antiqua"/>
          <w:lang w:val="es-ES"/>
        </w:rPr>
        <w:t>ector, como parte de los esfuerzos colaborativos del gobierno municipal. De este modo, se reconoce la autonomía municipal en la implementación de mecanismos de participación ciudadana e inclusión multisectorial, sin imponer mandatos inflexibles que pudieran interferir con la estructura organizativa y operacional de cada municipio.</w:t>
      </w:r>
    </w:p>
    <w:p w14:paraId="37805E77" w14:textId="77777777" w:rsidR="000C66D1" w:rsidRDefault="000C66D1" w:rsidP="000C66D1">
      <w:pPr>
        <w:jc w:val="both"/>
        <w:rPr>
          <w:rFonts w:ascii="Book Antiqua" w:hAnsi="Book Antiqua"/>
          <w:lang w:val="es-ES"/>
        </w:rPr>
      </w:pPr>
    </w:p>
    <w:p w14:paraId="52B4BE11" w14:textId="77777777" w:rsidR="000C66D1" w:rsidRPr="00553376" w:rsidRDefault="000C66D1" w:rsidP="000C66D1">
      <w:pPr>
        <w:jc w:val="both"/>
        <w:rPr>
          <w:rFonts w:ascii="Book Antiqua" w:hAnsi="Book Antiqua"/>
          <w:lang w:val="es-ES"/>
        </w:rPr>
      </w:pPr>
      <w:r w:rsidRPr="00553376">
        <w:rPr>
          <w:rFonts w:ascii="Book Antiqua" w:hAnsi="Book Antiqua"/>
          <w:lang w:val="es-ES"/>
        </w:rPr>
        <w:t xml:space="preserve">Asimismo, se procedió a ampliar y precisar la definición y el alcance del concepto de Tercer Sector, reconociendo que este no se limita exclusivamente a las organizaciones de base de fe, sino que abarca un espectro más amplio de entidades, incluyendo las organizaciones sin fines de lucro, comunitarias, cívicas, educativas, culturales, ambientales, deportivas, artísticas y de protección animal, entre otras. Esta ampliación permite recoger con mayor fidelidad el marco conceptual establecido en la Carta Circular Núm. OSG-2021-012 del 9 de junio de 2021, y reafirma el objetivo de fomentar la </w:t>
      </w:r>
      <w:proofErr w:type="gramStart"/>
      <w:r w:rsidRPr="00553376">
        <w:rPr>
          <w:rFonts w:ascii="Book Antiqua" w:hAnsi="Book Antiqua"/>
          <w:lang w:val="es-ES"/>
        </w:rPr>
        <w:t>participación activa</w:t>
      </w:r>
      <w:proofErr w:type="gramEnd"/>
      <w:r w:rsidRPr="00553376">
        <w:rPr>
          <w:rFonts w:ascii="Book Antiqua" w:hAnsi="Book Antiqua"/>
          <w:lang w:val="es-ES"/>
        </w:rPr>
        <w:t xml:space="preserve"> del Tercer Sector en los procesos de gobernanza municipal, como aliados estratégicos del desarrollo socioeconómico y comunitario </w:t>
      </w:r>
      <w:r>
        <w:rPr>
          <w:rFonts w:ascii="Book Antiqua" w:hAnsi="Book Antiqua"/>
          <w:lang w:val="es-ES"/>
        </w:rPr>
        <w:t>en la Isla</w:t>
      </w:r>
      <w:r w:rsidRPr="00553376">
        <w:rPr>
          <w:rFonts w:ascii="Book Antiqua" w:hAnsi="Book Antiqua"/>
          <w:lang w:val="es-ES"/>
        </w:rPr>
        <w:t>.</w:t>
      </w:r>
    </w:p>
    <w:p w14:paraId="62BEEB9D" w14:textId="77777777" w:rsidR="00553376" w:rsidRPr="000C66D1" w:rsidRDefault="00553376" w:rsidP="004000AE">
      <w:pPr>
        <w:jc w:val="center"/>
        <w:rPr>
          <w:rFonts w:ascii="Book Antiqua" w:hAnsi="Book Antiqua"/>
          <w:b/>
          <w:i/>
          <w:smallCaps/>
          <w:szCs w:val="24"/>
          <w:lang w:val="es-ES"/>
        </w:rPr>
      </w:pPr>
    </w:p>
    <w:p w14:paraId="121D381D" w14:textId="36B1EC31"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Análisis Legal</w:t>
      </w:r>
    </w:p>
    <w:p w14:paraId="1476E3EB" w14:textId="5BF7CE4E" w:rsidR="009866B1" w:rsidRDefault="009866B1" w:rsidP="000C66D1">
      <w:pPr>
        <w:pStyle w:val="NormalWeb"/>
        <w:jc w:val="both"/>
        <w:rPr>
          <w:rFonts w:ascii="Book Antiqua" w:hAnsi="Book Antiqua"/>
        </w:rPr>
      </w:pPr>
      <w:r w:rsidRPr="009866B1">
        <w:rPr>
          <w:rFonts w:ascii="Book Antiqua" w:hAnsi="Book Antiqua"/>
        </w:rPr>
        <w:t xml:space="preserve">Uno de los principios fundamentales en los sistemas constitucionales estadounidense y puertorriqueño es la </w:t>
      </w:r>
      <w:r w:rsidRPr="00D820B0">
        <w:rPr>
          <w:rStyle w:val="Strong"/>
          <w:rFonts w:ascii="Book Antiqua" w:hAnsi="Book Antiqua"/>
          <w:i/>
          <w:iCs/>
        </w:rPr>
        <w:t>separación de Iglesia y Estado</w:t>
      </w:r>
      <w:r w:rsidRPr="00D820B0">
        <w:rPr>
          <w:rFonts w:ascii="Book Antiqua" w:hAnsi="Book Antiqua"/>
          <w:i/>
          <w:iCs/>
        </w:rPr>
        <w:t>,</w:t>
      </w:r>
      <w:r w:rsidRPr="009866B1">
        <w:rPr>
          <w:rFonts w:ascii="Book Antiqua" w:hAnsi="Book Antiqua"/>
        </w:rPr>
        <w:t xml:space="preserve"> así como la </w:t>
      </w:r>
      <w:r w:rsidRPr="00D820B0">
        <w:rPr>
          <w:rStyle w:val="Strong"/>
          <w:rFonts w:ascii="Book Antiqua" w:hAnsi="Book Antiqua"/>
          <w:i/>
          <w:iCs/>
        </w:rPr>
        <w:t>libertad de culto</w:t>
      </w:r>
      <w:r w:rsidRPr="00D820B0">
        <w:rPr>
          <w:rFonts w:ascii="Book Antiqua" w:hAnsi="Book Antiqua"/>
          <w:i/>
          <w:iCs/>
        </w:rPr>
        <w:t>,</w:t>
      </w:r>
      <w:r w:rsidRPr="009866B1">
        <w:rPr>
          <w:rFonts w:ascii="Book Antiqua" w:hAnsi="Book Antiqua"/>
        </w:rPr>
        <w:t xml:space="preserve"> conforme a lo dispuesto en la </w:t>
      </w:r>
      <w:r w:rsidRPr="00D820B0">
        <w:rPr>
          <w:rStyle w:val="Strong"/>
          <w:rFonts w:ascii="Book Antiqua" w:hAnsi="Book Antiqua"/>
          <w:i/>
          <w:iCs/>
        </w:rPr>
        <w:t>Primera Enmienda de la Constitución de los Estados Unidos</w:t>
      </w:r>
      <w:r w:rsidRPr="009866B1">
        <w:rPr>
          <w:rFonts w:ascii="Book Antiqua" w:hAnsi="Book Antiqua"/>
        </w:rPr>
        <w:t xml:space="preserve"> y en el </w:t>
      </w:r>
      <w:r w:rsidRPr="00D820B0">
        <w:rPr>
          <w:rStyle w:val="Strong"/>
          <w:rFonts w:ascii="Book Antiqua" w:hAnsi="Book Antiqua"/>
          <w:i/>
          <w:iCs/>
        </w:rPr>
        <w:t>Artículo II, Sección 3 de la Constitución del Estado Libre Asociado de Puerto Rico</w:t>
      </w:r>
      <w:r w:rsidRPr="00D820B0">
        <w:rPr>
          <w:rFonts w:ascii="Book Antiqua" w:hAnsi="Book Antiqua"/>
          <w:i/>
          <w:iCs/>
        </w:rPr>
        <w:t>.</w:t>
      </w:r>
      <w:r w:rsidRPr="009866B1">
        <w:rPr>
          <w:rFonts w:ascii="Book Antiqua" w:hAnsi="Book Antiqua"/>
        </w:rPr>
        <w:t xml:space="preserve"> Este último establece claramente que no se establecerá religión alguna ni se prohibirá la libre expresión y práctica religiosa. Sobre este precepto, el jurista Trías Monge explicó en la Convención Constituyente que dicho artículo incorpora en esencia los mismos principios interpretativos desarrollados por el </w:t>
      </w:r>
      <w:r w:rsidRPr="00D820B0">
        <w:rPr>
          <w:rStyle w:val="Strong"/>
          <w:rFonts w:ascii="Book Antiqua" w:hAnsi="Book Antiqua"/>
          <w:i/>
          <w:iCs/>
        </w:rPr>
        <w:t>Tribunal Supremo de los Estados Unidos</w:t>
      </w:r>
      <w:r w:rsidRPr="00D820B0">
        <w:rPr>
          <w:rFonts w:ascii="Book Antiqua" w:hAnsi="Book Antiqua"/>
          <w:i/>
          <w:iCs/>
        </w:rPr>
        <w:t>,</w:t>
      </w:r>
      <w:r w:rsidRPr="009866B1">
        <w:rPr>
          <w:rFonts w:ascii="Book Antiqua" w:hAnsi="Book Antiqua"/>
        </w:rPr>
        <w:t xml:space="preserve"> lo que asegura que Puerto Rico se rige por el mismo marco jurisprudencial en lo </w:t>
      </w:r>
      <w:r w:rsidRPr="009866B1">
        <w:rPr>
          <w:rFonts w:ascii="Book Antiqua" w:hAnsi="Book Antiqua"/>
        </w:rPr>
        <w:lastRenderedPageBreak/>
        <w:t>relativo a la libertad religiosa y a la separación entre el Estado y las instituciones religiosas.</w:t>
      </w:r>
    </w:p>
    <w:p w14:paraId="30125DBA" w14:textId="7740DC93" w:rsidR="009866B1" w:rsidRPr="009866B1" w:rsidRDefault="009866B1" w:rsidP="009866B1">
      <w:pPr>
        <w:pStyle w:val="NormalWeb"/>
        <w:jc w:val="both"/>
        <w:rPr>
          <w:rFonts w:ascii="Book Antiqua" w:hAnsi="Book Antiqua"/>
        </w:rPr>
      </w:pPr>
      <w:r w:rsidRPr="009866B1">
        <w:rPr>
          <w:rFonts w:ascii="Book Antiqua" w:hAnsi="Book Antiqua"/>
        </w:rPr>
        <w:t xml:space="preserve">No obstante, tanto los tribunales federales como los puertorriqueños han reconocido que </w:t>
      </w:r>
      <w:r w:rsidRPr="00D820B0">
        <w:rPr>
          <w:rStyle w:val="Strong"/>
          <w:rFonts w:ascii="Book Antiqua" w:hAnsi="Book Antiqua"/>
          <w:i/>
          <w:iCs/>
        </w:rPr>
        <w:t>la interacción entre el Estado y sectores religiosos no es per se inconstitucional</w:t>
      </w:r>
      <w:r w:rsidRPr="00D820B0">
        <w:rPr>
          <w:rFonts w:ascii="Book Antiqua" w:hAnsi="Book Antiqua"/>
          <w:i/>
          <w:iCs/>
        </w:rPr>
        <w:t>,</w:t>
      </w:r>
      <w:r w:rsidRPr="009866B1">
        <w:rPr>
          <w:rFonts w:ascii="Book Antiqua" w:hAnsi="Book Antiqua"/>
        </w:rPr>
        <w:t xml:space="preserve"> siempre y cuando las actuaciones gubernamentales </w:t>
      </w:r>
      <w:r w:rsidRPr="00D820B0">
        <w:rPr>
          <w:rStyle w:val="Strong"/>
          <w:rFonts w:ascii="Book Antiqua" w:hAnsi="Book Antiqua"/>
          <w:i/>
          <w:iCs/>
        </w:rPr>
        <w:t>tengan un propósito secular, no favorezcan ni inhiban ninguna religión en particular y no impliquen una excesiva intromisión del gobierno en los asuntos religiosos</w:t>
      </w:r>
      <w:r w:rsidRPr="00D820B0">
        <w:rPr>
          <w:rFonts w:ascii="Book Antiqua" w:hAnsi="Book Antiqua"/>
          <w:i/>
          <w:iCs/>
        </w:rPr>
        <w:t xml:space="preserve">, </w:t>
      </w:r>
      <w:r w:rsidRPr="009866B1">
        <w:rPr>
          <w:rFonts w:ascii="Book Antiqua" w:hAnsi="Book Antiqua"/>
        </w:rPr>
        <w:t xml:space="preserve">conforme al análisis doctrinal establecido en el caso </w:t>
      </w:r>
      <w:r w:rsidRPr="00D820B0">
        <w:rPr>
          <w:rStyle w:val="Strong"/>
          <w:rFonts w:ascii="Book Antiqua" w:hAnsi="Book Antiqua"/>
          <w:i/>
          <w:iCs/>
        </w:rPr>
        <w:t>Lemon v. Kurtzman</w:t>
      </w:r>
      <w:r w:rsidRPr="00D820B0">
        <w:rPr>
          <w:rFonts w:ascii="Book Antiqua" w:hAnsi="Book Antiqua"/>
          <w:i/>
          <w:iCs/>
        </w:rPr>
        <w:t>,</w:t>
      </w:r>
      <w:r w:rsidRPr="009866B1">
        <w:rPr>
          <w:rFonts w:ascii="Book Antiqua" w:hAnsi="Book Antiqua"/>
        </w:rPr>
        <w:t xml:space="preserve"> y reafirmado por el </w:t>
      </w:r>
      <w:r w:rsidRPr="00D820B0">
        <w:rPr>
          <w:rStyle w:val="Strong"/>
          <w:rFonts w:ascii="Book Antiqua" w:hAnsi="Book Antiqua"/>
          <w:i/>
          <w:iCs/>
        </w:rPr>
        <w:t xml:space="preserve">Tribunal Supremo de Puerto Rico en </w:t>
      </w:r>
      <w:r w:rsidR="00D820B0">
        <w:rPr>
          <w:rStyle w:val="Strong"/>
          <w:rFonts w:ascii="Book Antiqua" w:hAnsi="Book Antiqua"/>
          <w:i/>
          <w:iCs/>
        </w:rPr>
        <w:t xml:space="preserve">                    </w:t>
      </w:r>
      <w:r w:rsidRPr="00D820B0">
        <w:rPr>
          <w:rStyle w:val="Strong"/>
          <w:rFonts w:ascii="Book Antiqua" w:hAnsi="Book Antiqua"/>
          <w:i/>
          <w:iCs/>
        </w:rPr>
        <w:t>Díaz Hernández v. Colegio Nuestra Señora del Pilar</w:t>
      </w:r>
      <w:r w:rsidRPr="00D820B0">
        <w:rPr>
          <w:rFonts w:ascii="Book Antiqua" w:hAnsi="Book Antiqua"/>
          <w:i/>
          <w:iCs/>
        </w:rPr>
        <w:t>.</w:t>
      </w:r>
    </w:p>
    <w:p w14:paraId="4BA27A9E" w14:textId="6E9317E7" w:rsidR="009866B1" w:rsidRPr="009866B1" w:rsidRDefault="009866B1" w:rsidP="009866B1">
      <w:pPr>
        <w:pStyle w:val="NormalWeb"/>
        <w:jc w:val="both"/>
        <w:rPr>
          <w:rFonts w:ascii="Book Antiqua" w:hAnsi="Book Antiqua"/>
        </w:rPr>
      </w:pPr>
      <w:r w:rsidRPr="009866B1">
        <w:rPr>
          <w:rFonts w:ascii="Book Antiqua" w:hAnsi="Book Antiqua"/>
        </w:rPr>
        <w:t xml:space="preserve">A la luz de este marco constitucional y jurisprudencial, el </w:t>
      </w:r>
      <w:r w:rsidRPr="00D820B0">
        <w:rPr>
          <w:rStyle w:val="Strong"/>
          <w:rFonts w:ascii="Book Antiqua" w:hAnsi="Book Antiqua"/>
          <w:i/>
          <w:iCs/>
        </w:rPr>
        <w:t>Proyecto de la Cámara 237</w:t>
      </w:r>
      <w:r w:rsidRPr="009866B1">
        <w:rPr>
          <w:rFonts w:ascii="Book Antiqua" w:hAnsi="Book Antiqua"/>
        </w:rPr>
        <w:t xml:space="preserve"> no debe interpretarse como una violación al principio de separación de Iglesia y Estado. El proyecto no busca establecer una religión oficial ni imponer dogmas religiosos, sino </w:t>
      </w:r>
      <w:r w:rsidRPr="00D820B0">
        <w:rPr>
          <w:rStyle w:val="Strong"/>
          <w:rFonts w:ascii="Book Antiqua" w:hAnsi="Book Antiqua"/>
          <w:i/>
          <w:iCs/>
        </w:rPr>
        <w:t xml:space="preserve">permitir que el </w:t>
      </w:r>
      <w:proofErr w:type="gramStart"/>
      <w:r w:rsidRPr="00D820B0">
        <w:rPr>
          <w:rStyle w:val="Strong"/>
          <w:rFonts w:ascii="Book Antiqua" w:hAnsi="Book Antiqua"/>
          <w:i/>
          <w:iCs/>
        </w:rPr>
        <w:t>Alcalde</w:t>
      </w:r>
      <w:proofErr w:type="gramEnd"/>
      <w:r w:rsidRPr="00D820B0">
        <w:rPr>
          <w:rStyle w:val="Strong"/>
          <w:rFonts w:ascii="Book Antiqua" w:hAnsi="Book Antiqua"/>
          <w:i/>
          <w:iCs/>
        </w:rPr>
        <w:t xml:space="preserve"> pueda nombrar, de manera discrecional, un consejero proveniente del </w:t>
      </w:r>
      <w:r w:rsidR="00D820B0">
        <w:rPr>
          <w:rStyle w:val="Strong"/>
          <w:rFonts w:ascii="Book Antiqua" w:hAnsi="Book Antiqua"/>
          <w:i/>
          <w:iCs/>
        </w:rPr>
        <w:t>T</w:t>
      </w:r>
      <w:r w:rsidRPr="00D820B0">
        <w:rPr>
          <w:rStyle w:val="Strong"/>
          <w:rFonts w:ascii="Book Antiqua" w:hAnsi="Book Antiqua"/>
          <w:i/>
          <w:iCs/>
        </w:rPr>
        <w:t xml:space="preserve">ercer </w:t>
      </w:r>
      <w:r w:rsidR="00D820B0">
        <w:rPr>
          <w:rStyle w:val="Strong"/>
          <w:rFonts w:ascii="Book Antiqua" w:hAnsi="Book Antiqua"/>
          <w:i/>
          <w:iCs/>
        </w:rPr>
        <w:t>S</w:t>
      </w:r>
      <w:r w:rsidRPr="00D820B0">
        <w:rPr>
          <w:rStyle w:val="Strong"/>
          <w:rFonts w:ascii="Book Antiqua" w:hAnsi="Book Antiqua"/>
          <w:i/>
          <w:iCs/>
        </w:rPr>
        <w:t>ector</w:t>
      </w:r>
      <w:r w:rsidRPr="00D820B0">
        <w:rPr>
          <w:rFonts w:ascii="Book Antiqua" w:hAnsi="Book Antiqua"/>
          <w:i/>
          <w:iCs/>
        </w:rPr>
        <w:t>,</w:t>
      </w:r>
      <w:r w:rsidRPr="009866B1">
        <w:rPr>
          <w:rFonts w:ascii="Book Antiqua" w:hAnsi="Book Antiqua"/>
        </w:rPr>
        <w:t xml:space="preserve"> en calidad de </w:t>
      </w:r>
      <w:r w:rsidRPr="00D820B0">
        <w:rPr>
          <w:rStyle w:val="Strong"/>
          <w:rFonts w:ascii="Book Antiqua" w:hAnsi="Book Antiqua"/>
          <w:i/>
          <w:iCs/>
        </w:rPr>
        <w:t>asesor en temas de interés social, ético, moral y comunitario</w:t>
      </w:r>
      <w:r w:rsidRPr="00D820B0">
        <w:rPr>
          <w:rFonts w:ascii="Book Antiqua" w:hAnsi="Book Antiqua"/>
          <w:i/>
          <w:iCs/>
        </w:rPr>
        <w:t>,</w:t>
      </w:r>
      <w:r w:rsidRPr="009866B1">
        <w:rPr>
          <w:rFonts w:ascii="Book Antiqua" w:hAnsi="Book Antiqua"/>
        </w:rPr>
        <w:t xml:space="preserve"> sin conferirle poderes legislativos ni autoridad institucional formal dentro de la Legislatura Municipal.</w:t>
      </w:r>
    </w:p>
    <w:p w14:paraId="3346D544" w14:textId="77777777" w:rsidR="009866B1" w:rsidRPr="009866B1" w:rsidRDefault="009866B1" w:rsidP="009866B1">
      <w:pPr>
        <w:pStyle w:val="NormalWeb"/>
        <w:jc w:val="both"/>
        <w:rPr>
          <w:rFonts w:ascii="Book Antiqua" w:hAnsi="Book Antiqua"/>
        </w:rPr>
      </w:pPr>
      <w:r w:rsidRPr="009866B1">
        <w:rPr>
          <w:rFonts w:ascii="Book Antiqua" w:hAnsi="Book Antiqua"/>
        </w:rPr>
        <w:t xml:space="preserve">El rol propuesto tiene un </w:t>
      </w:r>
      <w:r w:rsidRPr="00D820B0">
        <w:rPr>
          <w:rStyle w:val="Strong"/>
          <w:rFonts w:ascii="Book Antiqua" w:hAnsi="Book Antiqua"/>
          <w:i/>
          <w:iCs/>
        </w:rPr>
        <w:t>propósito netamente secular</w:t>
      </w:r>
      <w:r w:rsidRPr="00D820B0">
        <w:rPr>
          <w:rFonts w:ascii="Book Antiqua" w:hAnsi="Book Antiqua"/>
          <w:i/>
          <w:iCs/>
        </w:rPr>
        <w:t>,</w:t>
      </w:r>
      <w:r w:rsidRPr="009866B1">
        <w:rPr>
          <w:rFonts w:ascii="Book Antiqua" w:hAnsi="Book Antiqua"/>
        </w:rPr>
        <w:t xml:space="preserve"> dirigido a canalizar la perspectiva y experiencia comunitaria de un sector que históricamente ha contribuido al desarrollo social de Puerto Rico, y cuyo valor ha sido reconocido incluso en documentos de política pública como la </w:t>
      </w:r>
      <w:r w:rsidRPr="00D820B0">
        <w:rPr>
          <w:rStyle w:val="Strong"/>
          <w:rFonts w:ascii="Book Antiqua" w:hAnsi="Book Antiqua"/>
          <w:i/>
          <w:iCs/>
        </w:rPr>
        <w:t>Carta Circular Núm. OSG-2021-012 del 9 de junio de 2021</w:t>
      </w:r>
      <w:r w:rsidRPr="009866B1">
        <w:rPr>
          <w:rFonts w:ascii="Book Antiqua" w:hAnsi="Book Antiqua"/>
        </w:rPr>
        <w:t>, que destaca la importancia del Tercer Sector, incluyendo las organizaciones de base de fe, en la prestación de servicios a las poblaciones vulnerables.</w:t>
      </w:r>
    </w:p>
    <w:p w14:paraId="3F7071B0" w14:textId="77777777" w:rsidR="009866B1" w:rsidRPr="009866B1" w:rsidRDefault="009866B1" w:rsidP="009866B1">
      <w:pPr>
        <w:pStyle w:val="NormalWeb"/>
        <w:jc w:val="both"/>
        <w:rPr>
          <w:rFonts w:ascii="Book Antiqua" w:hAnsi="Book Antiqua"/>
        </w:rPr>
      </w:pPr>
      <w:r w:rsidRPr="009866B1">
        <w:rPr>
          <w:rFonts w:ascii="Book Antiqua" w:hAnsi="Book Antiqua"/>
        </w:rPr>
        <w:t xml:space="preserve">En resumen, mientras el nombramiento se mantenga </w:t>
      </w:r>
      <w:r w:rsidRPr="00A6340D">
        <w:rPr>
          <w:rStyle w:val="Strong"/>
          <w:rFonts w:ascii="Book Antiqua" w:hAnsi="Book Antiqua"/>
          <w:i/>
          <w:iCs/>
        </w:rPr>
        <w:t>como una función consultiva y no se utilice como mecanismo para promover o imponer contenidos doctrinales religiosos</w:t>
      </w:r>
      <w:r w:rsidRPr="00A6340D">
        <w:rPr>
          <w:rFonts w:ascii="Book Antiqua" w:hAnsi="Book Antiqua"/>
          <w:i/>
          <w:iCs/>
        </w:rPr>
        <w:t>,</w:t>
      </w:r>
      <w:r w:rsidRPr="009866B1">
        <w:rPr>
          <w:rFonts w:ascii="Book Antiqua" w:hAnsi="Book Antiqua"/>
        </w:rPr>
        <w:t xml:space="preserve"> la medida es perfectamente compatible con los principios constitucionales de libertad de culto y separación entre Iglesia y Estado. Así lo ha permitido la doctrina vigente, siempre que se cumpla el análisis del caso </w:t>
      </w:r>
      <w:r w:rsidRPr="00A6340D">
        <w:rPr>
          <w:rStyle w:val="Strong"/>
          <w:rFonts w:ascii="Book Antiqua" w:hAnsi="Book Antiqua"/>
          <w:i/>
          <w:iCs/>
        </w:rPr>
        <w:t>Lemon</w:t>
      </w:r>
      <w:r w:rsidRPr="00A6340D">
        <w:rPr>
          <w:rFonts w:ascii="Book Antiqua" w:hAnsi="Book Antiqua"/>
          <w:i/>
          <w:iCs/>
        </w:rPr>
        <w:t>,</w:t>
      </w:r>
      <w:r w:rsidRPr="009866B1">
        <w:rPr>
          <w:rFonts w:ascii="Book Antiqua" w:hAnsi="Book Antiqua"/>
        </w:rPr>
        <w:t xml:space="preserve"> y se evidencie un </w:t>
      </w:r>
      <w:r w:rsidRPr="00A6340D">
        <w:rPr>
          <w:rStyle w:val="Strong"/>
          <w:rFonts w:ascii="Book Antiqua" w:hAnsi="Book Antiqua"/>
          <w:i/>
          <w:iCs/>
        </w:rPr>
        <w:t>objetivo secular legítimo</w:t>
      </w:r>
      <w:r w:rsidRPr="00A6340D">
        <w:rPr>
          <w:rFonts w:ascii="Book Antiqua" w:hAnsi="Book Antiqua"/>
          <w:i/>
          <w:iCs/>
        </w:rPr>
        <w:t>,</w:t>
      </w:r>
      <w:r w:rsidRPr="009866B1">
        <w:rPr>
          <w:rFonts w:ascii="Book Antiqua" w:hAnsi="Book Antiqua"/>
        </w:rPr>
        <w:t xml:space="preserve"> como es el caso del proyecto en referencia.</w:t>
      </w:r>
    </w:p>
    <w:p w14:paraId="438702D5" w14:textId="2269ADD3" w:rsidR="00040D4F" w:rsidRDefault="00F04A9A" w:rsidP="004000AE">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47249005" w14:textId="77777777" w:rsidR="00F04A9A" w:rsidRDefault="00F04A9A" w:rsidP="00F04A9A">
      <w:pPr>
        <w:rPr>
          <w:rFonts w:ascii="Book Antiqua" w:hAnsi="Book Antiqua"/>
          <w:b/>
          <w:i/>
          <w:smallCaps/>
          <w:szCs w:val="24"/>
          <w:lang w:val="es-ES_tradnl"/>
        </w:rPr>
      </w:pPr>
    </w:p>
    <w:p w14:paraId="2C426DEB" w14:textId="284B854F" w:rsidR="00F04A9A" w:rsidRPr="00F04A9A" w:rsidRDefault="00F04A9A" w:rsidP="00F04A9A">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sidR="001D0ABB">
        <w:rPr>
          <w:rFonts w:ascii="Book Antiqua" w:hAnsi="Book Antiqua"/>
          <w:lang w:val="es-ES_tradnl"/>
        </w:rPr>
        <w:t xml:space="preserve"> </w:t>
      </w:r>
      <w:r w:rsidR="001D0ABB" w:rsidRPr="001D0ABB">
        <w:rPr>
          <w:rFonts w:ascii="Book Antiqua" w:hAnsi="Book Antiqua"/>
          <w:lang w:val="es-ES_tradnl"/>
        </w:rPr>
        <w:t xml:space="preserve">(21 L.P.R.A. § 7012) </w:t>
      </w:r>
      <w:r w:rsidRPr="00F04A9A">
        <w:rPr>
          <w:rFonts w:ascii="Book Antiqua" w:hAnsi="Book Antiqua"/>
          <w:lang w:val="es-ES_tradnl"/>
        </w:rPr>
        <w:t xml:space="preserve"> supra, conocida como “Código Municipal de Puerto Rico, la Comisión de Asuntos Municipales certifica que la pieza legislativa bajo analisis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44D252C4" w14:textId="77777777" w:rsidR="00F04A9A" w:rsidRPr="00F04A9A" w:rsidRDefault="00F04A9A" w:rsidP="00F04A9A">
      <w:pPr>
        <w:rPr>
          <w:lang w:val="es-ES_tradnl"/>
        </w:rPr>
      </w:pPr>
    </w:p>
    <w:p w14:paraId="5FEE94C4" w14:textId="77777777" w:rsidR="00573AAB" w:rsidRDefault="00573AAB" w:rsidP="004000AE">
      <w:pPr>
        <w:jc w:val="center"/>
        <w:rPr>
          <w:rFonts w:ascii="Book Antiqua" w:hAnsi="Book Antiqua"/>
          <w:b/>
          <w:i/>
          <w:smallCaps/>
          <w:szCs w:val="24"/>
          <w:lang w:val="es-ES_tradnl"/>
        </w:rPr>
      </w:pPr>
    </w:p>
    <w:p w14:paraId="23D82DF9" w14:textId="77777777" w:rsidR="00573AAB" w:rsidRDefault="00573AAB" w:rsidP="004000AE">
      <w:pPr>
        <w:jc w:val="center"/>
        <w:rPr>
          <w:rFonts w:ascii="Book Antiqua" w:hAnsi="Book Antiqua"/>
          <w:b/>
          <w:i/>
          <w:smallCaps/>
          <w:szCs w:val="24"/>
          <w:lang w:val="es-ES_tradnl"/>
        </w:rPr>
      </w:pPr>
    </w:p>
    <w:p w14:paraId="0CF3BF84" w14:textId="77777777" w:rsidR="00573AAB" w:rsidRDefault="00573AAB" w:rsidP="004000AE">
      <w:pPr>
        <w:jc w:val="center"/>
        <w:rPr>
          <w:rFonts w:ascii="Book Antiqua" w:hAnsi="Book Antiqua"/>
          <w:b/>
          <w:i/>
          <w:smallCaps/>
          <w:szCs w:val="24"/>
          <w:lang w:val="es-ES_tradnl"/>
        </w:rPr>
      </w:pPr>
    </w:p>
    <w:p w14:paraId="64E4266F" w14:textId="3C791A53" w:rsidR="004000AE" w:rsidRPr="00760D4D"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lastRenderedPageBreak/>
        <w:t>Conclusión</w:t>
      </w:r>
    </w:p>
    <w:p w14:paraId="52DD4F81" w14:textId="77777777" w:rsidR="001C6904" w:rsidRDefault="001C6904" w:rsidP="004000AE">
      <w:pPr>
        <w:jc w:val="both"/>
        <w:rPr>
          <w:rFonts w:ascii="Book Antiqua" w:hAnsi="Book Antiqua" w:cs="Arial"/>
          <w:lang w:val="es-ES"/>
        </w:rPr>
      </w:pPr>
    </w:p>
    <w:p w14:paraId="2C7FD5F8" w14:textId="29D2E4E4" w:rsidR="009866B1" w:rsidRDefault="009866B1" w:rsidP="004000AE">
      <w:pPr>
        <w:jc w:val="both"/>
        <w:rPr>
          <w:rFonts w:ascii="Book Antiqua" w:hAnsi="Book Antiqua" w:cs="Arial"/>
          <w:lang w:val="es-ES"/>
        </w:rPr>
      </w:pPr>
      <w:r w:rsidRPr="009866B1">
        <w:rPr>
          <w:rFonts w:ascii="Book Antiqua" w:hAnsi="Book Antiqua" w:cs="Arial"/>
          <w:lang w:val="es-ES"/>
        </w:rPr>
        <w:t>En conclusión, reconocemos la valiosa aportación del Tercer Sector, incluyendo las organizaciones sin fines de lucro, comunitarias y de base de fe, en el fortalecimiento del tejido social y el desarrollo comunitario en Puerto Rico. La medida propuesta busca destacar esa importancia mediante la posibilidad de que el Alcalde designe un consejero con funciones consultivas en la Legislatura Municipal.</w:t>
      </w:r>
      <w:r w:rsidR="00573AAB">
        <w:rPr>
          <w:rFonts w:ascii="Book Antiqua" w:hAnsi="Book Antiqua" w:cs="Arial"/>
          <w:lang w:val="es-ES"/>
        </w:rPr>
        <w:t xml:space="preserve"> </w:t>
      </w:r>
      <w:r>
        <w:rPr>
          <w:rFonts w:ascii="Book Antiqua" w:hAnsi="Book Antiqua" w:cs="Arial"/>
          <w:lang w:val="es-ES"/>
        </w:rPr>
        <w:t>C</w:t>
      </w:r>
      <w:r w:rsidRPr="009866B1">
        <w:rPr>
          <w:rFonts w:ascii="Book Antiqua" w:hAnsi="Book Antiqua" w:cs="Arial"/>
          <w:lang w:val="es-ES"/>
        </w:rPr>
        <w:t xml:space="preserve">omo bien señalaron los deponentes, dichas </w:t>
      </w:r>
      <w:r w:rsidR="00E05AD7" w:rsidRPr="009866B1">
        <w:rPr>
          <w:rFonts w:ascii="Book Antiqua" w:hAnsi="Book Antiqua" w:cs="Arial"/>
          <w:lang w:val="es-ES"/>
        </w:rPr>
        <w:t xml:space="preserve">funciones </w:t>
      </w:r>
      <w:r w:rsidR="00E05AD7">
        <w:rPr>
          <w:rFonts w:ascii="Book Antiqua" w:hAnsi="Book Antiqua" w:cs="Arial"/>
          <w:lang w:val="es-ES"/>
        </w:rPr>
        <w:t>se</w:t>
      </w:r>
      <w:r>
        <w:rPr>
          <w:rFonts w:ascii="Book Antiqua" w:hAnsi="Book Antiqua" w:cs="Arial"/>
          <w:lang w:val="es-ES"/>
        </w:rPr>
        <w:t xml:space="preserve"> encuentran de una manera u otra, </w:t>
      </w:r>
      <w:r w:rsidRPr="009866B1">
        <w:rPr>
          <w:rFonts w:ascii="Book Antiqua" w:hAnsi="Book Antiqua" w:cs="Arial"/>
          <w:lang w:val="es-ES"/>
        </w:rPr>
        <w:t>contempladas dentro de las facultades legales que posee el Alcalde bajo el Código Municipal, por lo que su implantación no alteraría la realidad jurídica ni operacional de los municipios</w:t>
      </w:r>
      <w:r>
        <w:rPr>
          <w:rFonts w:ascii="Book Antiqua" w:hAnsi="Book Antiqua" w:cs="Arial"/>
          <w:lang w:val="es-ES"/>
        </w:rPr>
        <w:t>, sino que</w:t>
      </w:r>
      <w:r w:rsidR="000C66D1">
        <w:rPr>
          <w:rFonts w:ascii="Book Antiqua" w:hAnsi="Book Antiqua" w:cs="Arial"/>
          <w:lang w:val="es-ES"/>
        </w:rPr>
        <w:t xml:space="preserve"> por el contrario</w:t>
      </w:r>
      <w:r>
        <w:rPr>
          <w:rFonts w:ascii="Book Antiqua" w:hAnsi="Book Antiqua" w:cs="Arial"/>
          <w:lang w:val="es-ES"/>
        </w:rPr>
        <w:t xml:space="preserve"> expande la aportación del Tercer Sector</w:t>
      </w:r>
      <w:r w:rsidR="000C66D1">
        <w:rPr>
          <w:rFonts w:ascii="Book Antiqua" w:hAnsi="Book Antiqua" w:cs="Arial"/>
          <w:lang w:val="es-ES"/>
        </w:rPr>
        <w:t xml:space="preserve"> y permite a los municipios utilizar al máximo los recursos que estas entidades pueden ofrecer</w:t>
      </w:r>
      <w:r>
        <w:rPr>
          <w:rFonts w:ascii="Book Antiqua" w:hAnsi="Book Antiqua" w:cs="Arial"/>
          <w:lang w:val="es-ES"/>
        </w:rPr>
        <w:t xml:space="preserve">. </w:t>
      </w:r>
    </w:p>
    <w:p w14:paraId="485ADAD8" w14:textId="77777777" w:rsidR="009866B1" w:rsidRDefault="009866B1" w:rsidP="004000AE">
      <w:pPr>
        <w:jc w:val="both"/>
        <w:rPr>
          <w:rFonts w:ascii="Book Antiqua" w:hAnsi="Book Antiqua" w:cs="Arial"/>
          <w:lang w:val="es-ES"/>
        </w:rPr>
      </w:pPr>
    </w:p>
    <w:p w14:paraId="693ABEB6" w14:textId="213A2771"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573AA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553376">
        <w:rPr>
          <w:rFonts w:ascii="Book Antiqua" w:hAnsi="Book Antiqua" w:cs="Arial"/>
          <w:lang w:val="es-ES"/>
        </w:rPr>
        <w:t>237</w:t>
      </w:r>
      <w:r>
        <w:rPr>
          <w:rFonts w:ascii="Book Antiqua" w:hAnsi="Book Antiqua" w:cs="Arial"/>
          <w:lang w:val="es-ES"/>
        </w:rPr>
        <w:t>, con las enmiendas que se incluyen en el entirillado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Default="00AC0B45" w:rsidP="00AC0B45">
      <w:pPr>
        <w:rPr>
          <w:lang w:val="es-ES"/>
        </w:rPr>
      </w:pPr>
    </w:p>
    <w:p w14:paraId="4A3B8568" w14:textId="77777777" w:rsidR="00573AAB" w:rsidRPr="00AC0B45" w:rsidRDefault="00573AAB" w:rsidP="00AC0B45">
      <w:pPr>
        <w:rPr>
          <w:lang w:val="es-ES"/>
        </w:rPr>
      </w:pPr>
    </w:p>
    <w:p w14:paraId="3EC4B2F2" w14:textId="1B18A392"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w:t>
      </w:r>
      <w:r w:rsidR="00E05AD7">
        <w:rPr>
          <w:rFonts w:ascii="Book Antiqua" w:hAnsi="Book Antiqua"/>
          <w:b/>
          <w:i/>
          <w:szCs w:val="24"/>
          <w:lang w:val="es-ES_tradnl"/>
        </w:rPr>
        <w:t xml:space="preserve"> (Junior)</w:t>
      </w:r>
      <w:r w:rsidRPr="00760D4D">
        <w:rPr>
          <w:rFonts w:ascii="Book Antiqua" w:hAnsi="Book Antiqua"/>
          <w:b/>
          <w:i/>
          <w:szCs w:val="24"/>
          <w:lang w:val="es-ES_tradnl"/>
        </w:rPr>
        <w:t xml:space="preserve">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4CB624F1"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 xml:space="preserve">Comisión de Asuntos Municipales   </w:t>
      </w:r>
    </w:p>
    <w:p w14:paraId="3D9F1629" w14:textId="77777777" w:rsidR="00AC0B45" w:rsidRPr="00084B35" w:rsidRDefault="00AC0B45" w:rsidP="005E345A">
      <w:pPr>
        <w:jc w:val="both"/>
        <w:rPr>
          <w:rFonts w:ascii="Book Antiqua" w:hAnsi="Book Antiqua"/>
          <w:szCs w:val="24"/>
          <w:lang w:val="es-PR"/>
        </w:rPr>
      </w:pPr>
    </w:p>
    <w:sectPr w:rsidR="00AC0B45" w:rsidRPr="00084B35" w:rsidSect="006705DD">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A15A" w14:textId="77777777" w:rsidR="00F5568C" w:rsidRDefault="00F5568C" w:rsidP="006705DD">
      <w:r>
        <w:separator/>
      </w:r>
    </w:p>
  </w:endnote>
  <w:endnote w:type="continuationSeparator" w:id="0">
    <w:p w14:paraId="0995140C" w14:textId="77777777" w:rsidR="00F5568C" w:rsidRDefault="00F5568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NewRomanPSMT">
    <w:altName w:val="Times New Roman"/>
    <w:charset w:val="00"/>
    <w:family w:val="roman"/>
    <w:pitch w:val="variable"/>
    <w:sig w:usb0="E0002AE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2635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4608" w14:textId="77777777" w:rsidR="00F5568C" w:rsidRDefault="00F5568C" w:rsidP="006705DD">
      <w:r>
        <w:separator/>
      </w:r>
    </w:p>
  </w:footnote>
  <w:footnote w:type="continuationSeparator" w:id="0">
    <w:p w14:paraId="121550F9" w14:textId="77777777" w:rsidR="00F5568C" w:rsidRDefault="00F5568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73E9724F"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549DE"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Pr>
        <w:rStyle w:val="PageNumber"/>
        <w:rFonts w:ascii="Book Antiqua" w:hAnsi="Book Antiqua"/>
        <w:i/>
        <w:sz w:val="22"/>
        <w:szCs w:val="22"/>
        <w:lang w:val="es-PR"/>
      </w:rPr>
      <w:t>2</w:t>
    </w:r>
    <w:r w:rsidR="00553376">
      <w:rPr>
        <w:rStyle w:val="PageNumber"/>
        <w:rFonts w:ascii="Book Antiqua" w:hAnsi="Book Antiqua"/>
        <w:i/>
        <w:sz w:val="22"/>
        <w:szCs w:val="22"/>
        <w:lang w:val="es-PR"/>
      </w:rPr>
      <w:t>37</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0"/>
  </w:num>
  <w:num w:numId="2" w16cid:durableId="12457928">
    <w:abstractNumId w:val="7"/>
  </w:num>
  <w:num w:numId="3" w16cid:durableId="150217024">
    <w:abstractNumId w:val="8"/>
  </w:num>
  <w:num w:numId="4" w16cid:durableId="1144077218">
    <w:abstractNumId w:val="4"/>
  </w:num>
  <w:num w:numId="5" w16cid:durableId="1391071492">
    <w:abstractNumId w:val="10"/>
  </w:num>
  <w:num w:numId="6" w16cid:durableId="1887521205">
    <w:abstractNumId w:val="9"/>
  </w:num>
  <w:num w:numId="7" w16cid:durableId="17200089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6"/>
  </w:num>
  <w:num w:numId="9" w16cid:durableId="978419079">
    <w:abstractNumId w:val="3"/>
  </w:num>
  <w:num w:numId="10" w16cid:durableId="1920630375">
    <w:abstractNumId w:val="2"/>
  </w:num>
  <w:num w:numId="11" w16cid:durableId="1876967153">
    <w:abstractNumId w:val="1"/>
  </w:num>
  <w:num w:numId="12" w16cid:durableId="10309556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549AC"/>
    <w:rsid w:val="0006657A"/>
    <w:rsid w:val="00084B35"/>
    <w:rsid w:val="00093070"/>
    <w:rsid w:val="00093599"/>
    <w:rsid w:val="000A0DD0"/>
    <w:rsid w:val="000A36B0"/>
    <w:rsid w:val="000A3926"/>
    <w:rsid w:val="000A55EE"/>
    <w:rsid w:val="000C66D1"/>
    <w:rsid w:val="000D4ACC"/>
    <w:rsid w:val="000E328C"/>
    <w:rsid w:val="00103081"/>
    <w:rsid w:val="00104793"/>
    <w:rsid w:val="00105310"/>
    <w:rsid w:val="00115CCE"/>
    <w:rsid w:val="00126B90"/>
    <w:rsid w:val="001319DA"/>
    <w:rsid w:val="0014633D"/>
    <w:rsid w:val="00147634"/>
    <w:rsid w:val="00163B5C"/>
    <w:rsid w:val="00165840"/>
    <w:rsid w:val="00170953"/>
    <w:rsid w:val="0017614C"/>
    <w:rsid w:val="001B2971"/>
    <w:rsid w:val="001C6904"/>
    <w:rsid w:val="001D0ABB"/>
    <w:rsid w:val="001E0629"/>
    <w:rsid w:val="001E2BBC"/>
    <w:rsid w:val="001E58FE"/>
    <w:rsid w:val="00214189"/>
    <w:rsid w:val="002169FB"/>
    <w:rsid w:val="0023264E"/>
    <w:rsid w:val="002335EA"/>
    <w:rsid w:val="00235393"/>
    <w:rsid w:val="002360B5"/>
    <w:rsid w:val="002370D3"/>
    <w:rsid w:val="00241A00"/>
    <w:rsid w:val="00244C04"/>
    <w:rsid w:val="00245609"/>
    <w:rsid w:val="00276BDD"/>
    <w:rsid w:val="002808F0"/>
    <w:rsid w:val="00281A3B"/>
    <w:rsid w:val="00290C4B"/>
    <w:rsid w:val="00296D3F"/>
    <w:rsid w:val="002B3B61"/>
    <w:rsid w:val="002D4B38"/>
    <w:rsid w:val="002F2860"/>
    <w:rsid w:val="002F58EB"/>
    <w:rsid w:val="002F60E4"/>
    <w:rsid w:val="00304C16"/>
    <w:rsid w:val="00327EDE"/>
    <w:rsid w:val="00330D59"/>
    <w:rsid w:val="00352C61"/>
    <w:rsid w:val="00361144"/>
    <w:rsid w:val="00364DCF"/>
    <w:rsid w:val="003700E9"/>
    <w:rsid w:val="00397AC7"/>
    <w:rsid w:val="003A69EF"/>
    <w:rsid w:val="003B644B"/>
    <w:rsid w:val="003D07D2"/>
    <w:rsid w:val="003F0372"/>
    <w:rsid w:val="003F2DE1"/>
    <w:rsid w:val="003F7352"/>
    <w:rsid w:val="003F7F49"/>
    <w:rsid w:val="004000AE"/>
    <w:rsid w:val="0042474F"/>
    <w:rsid w:val="00437BDC"/>
    <w:rsid w:val="00440C62"/>
    <w:rsid w:val="00441AE7"/>
    <w:rsid w:val="004448B9"/>
    <w:rsid w:val="004538A3"/>
    <w:rsid w:val="004641B9"/>
    <w:rsid w:val="00465358"/>
    <w:rsid w:val="004663D5"/>
    <w:rsid w:val="004719B8"/>
    <w:rsid w:val="004733FF"/>
    <w:rsid w:val="004C0E27"/>
    <w:rsid w:val="004D66E8"/>
    <w:rsid w:val="0050015A"/>
    <w:rsid w:val="0050357A"/>
    <w:rsid w:val="0052307A"/>
    <w:rsid w:val="00531976"/>
    <w:rsid w:val="00540C4E"/>
    <w:rsid w:val="00553376"/>
    <w:rsid w:val="005670CC"/>
    <w:rsid w:val="00573AAB"/>
    <w:rsid w:val="00575591"/>
    <w:rsid w:val="00584F82"/>
    <w:rsid w:val="005852B6"/>
    <w:rsid w:val="005865D6"/>
    <w:rsid w:val="00591739"/>
    <w:rsid w:val="00592912"/>
    <w:rsid w:val="00597725"/>
    <w:rsid w:val="005D4247"/>
    <w:rsid w:val="005E345A"/>
    <w:rsid w:val="005F2117"/>
    <w:rsid w:val="005F57EA"/>
    <w:rsid w:val="00610D55"/>
    <w:rsid w:val="00624B6C"/>
    <w:rsid w:val="00625848"/>
    <w:rsid w:val="00627101"/>
    <w:rsid w:val="00651F6C"/>
    <w:rsid w:val="00663552"/>
    <w:rsid w:val="006705DD"/>
    <w:rsid w:val="00677ADE"/>
    <w:rsid w:val="006A2E89"/>
    <w:rsid w:val="006A627D"/>
    <w:rsid w:val="006B0E23"/>
    <w:rsid w:val="006C6F08"/>
    <w:rsid w:val="006D2DAD"/>
    <w:rsid w:val="006E01C3"/>
    <w:rsid w:val="00710A96"/>
    <w:rsid w:val="0071164C"/>
    <w:rsid w:val="007150D0"/>
    <w:rsid w:val="00716D4F"/>
    <w:rsid w:val="00726C66"/>
    <w:rsid w:val="00744889"/>
    <w:rsid w:val="007526B6"/>
    <w:rsid w:val="00757B0E"/>
    <w:rsid w:val="0076466B"/>
    <w:rsid w:val="0076672E"/>
    <w:rsid w:val="007767FD"/>
    <w:rsid w:val="00787CC3"/>
    <w:rsid w:val="00796D86"/>
    <w:rsid w:val="007A3330"/>
    <w:rsid w:val="007A52BD"/>
    <w:rsid w:val="007B1F4C"/>
    <w:rsid w:val="007B737C"/>
    <w:rsid w:val="007C1FB4"/>
    <w:rsid w:val="007C5402"/>
    <w:rsid w:val="007D483B"/>
    <w:rsid w:val="007D502B"/>
    <w:rsid w:val="007E56F0"/>
    <w:rsid w:val="0080494A"/>
    <w:rsid w:val="0083160D"/>
    <w:rsid w:val="00835666"/>
    <w:rsid w:val="00855DDC"/>
    <w:rsid w:val="00866623"/>
    <w:rsid w:val="00873014"/>
    <w:rsid w:val="0087700A"/>
    <w:rsid w:val="008945B2"/>
    <w:rsid w:val="008B5837"/>
    <w:rsid w:val="008C4E1E"/>
    <w:rsid w:val="008D0652"/>
    <w:rsid w:val="008D3AED"/>
    <w:rsid w:val="008E3FE1"/>
    <w:rsid w:val="008F3240"/>
    <w:rsid w:val="00916851"/>
    <w:rsid w:val="0091696B"/>
    <w:rsid w:val="00944B6E"/>
    <w:rsid w:val="00950543"/>
    <w:rsid w:val="0098155A"/>
    <w:rsid w:val="00986544"/>
    <w:rsid w:val="009866B1"/>
    <w:rsid w:val="00986838"/>
    <w:rsid w:val="009912EA"/>
    <w:rsid w:val="00995340"/>
    <w:rsid w:val="009A0D8D"/>
    <w:rsid w:val="009A24F9"/>
    <w:rsid w:val="009D7AE4"/>
    <w:rsid w:val="009E097D"/>
    <w:rsid w:val="009F1CEE"/>
    <w:rsid w:val="00A00B79"/>
    <w:rsid w:val="00A06D24"/>
    <w:rsid w:val="00A107E2"/>
    <w:rsid w:val="00A2744F"/>
    <w:rsid w:val="00A338D0"/>
    <w:rsid w:val="00A42BD2"/>
    <w:rsid w:val="00A51AED"/>
    <w:rsid w:val="00A56BC5"/>
    <w:rsid w:val="00A608EE"/>
    <w:rsid w:val="00A6340D"/>
    <w:rsid w:val="00A6590F"/>
    <w:rsid w:val="00AC0B45"/>
    <w:rsid w:val="00AE53C7"/>
    <w:rsid w:val="00B11907"/>
    <w:rsid w:val="00B168B2"/>
    <w:rsid w:val="00B34FF4"/>
    <w:rsid w:val="00B41EA0"/>
    <w:rsid w:val="00B42919"/>
    <w:rsid w:val="00B64DBC"/>
    <w:rsid w:val="00B656A1"/>
    <w:rsid w:val="00B75683"/>
    <w:rsid w:val="00B76FC7"/>
    <w:rsid w:val="00B95434"/>
    <w:rsid w:val="00B958BB"/>
    <w:rsid w:val="00B97282"/>
    <w:rsid w:val="00BB04FE"/>
    <w:rsid w:val="00BC4AEA"/>
    <w:rsid w:val="00BD3CEB"/>
    <w:rsid w:val="00BE62B2"/>
    <w:rsid w:val="00BF2933"/>
    <w:rsid w:val="00C0097E"/>
    <w:rsid w:val="00C0489D"/>
    <w:rsid w:val="00C04CC4"/>
    <w:rsid w:val="00C05074"/>
    <w:rsid w:val="00C20727"/>
    <w:rsid w:val="00C215E7"/>
    <w:rsid w:val="00C23448"/>
    <w:rsid w:val="00C31BB0"/>
    <w:rsid w:val="00C445E0"/>
    <w:rsid w:val="00C54F93"/>
    <w:rsid w:val="00C55349"/>
    <w:rsid w:val="00C70147"/>
    <w:rsid w:val="00C72BDF"/>
    <w:rsid w:val="00C746E5"/>
    <w:rsid w:val="00CA25B9"/>
    <w:rsid w:val="00CA25DD"/>
    <w:rsid w:val="00CC0AC2"/>
    <w:rsid w:val="00CD7998"/>
    <w:rsid w:val="00CE50B0"/>
    <w:rsid w:val="00CE6859"/>
    <w:rsid w:val="00CE7FD0"/>
    <w:rsid w:val="00CF3279"/>
    <w:rsid w:val="00CF59F5"/>
    <w:rsid w:val="00D10164"/>
    <w:rsid w:val="00D36F4D"/>
    <w:rsid w:val="00D75329"/>
    <w:rsid w:val="00D820B0"/>
    <w:rsid w:val="00D86496"/>
    <w:rsid w:val="00D905F2"/>
    <w:rsid w:val="00DA02ED"/>
    <w:rsid w:val="00DA09E1"/>
    <w:rsid w:val="00DA7015"/>
    <w:rsid w:val="00E05AD7"/>
    <w:rsid w:val="00E227DF"/>
    <w:rsid w:val="00E27A93"/>
    <w:rsid w:val="00E3239A"/>
    <w:rsid w:val="00E429D0"/>
    <w:rsid w:val="00E46361"/>
    <w:rsid w:val="00E47CDB"/>
    <w:rsid w:val="00E54D41"/>
    <w:rsid w:val="00E61D3F"/>
    <w:rsid w:val="00E662B1"/>
    <w:rsid w:val="00E66D25"/>
    <w:rsid w:val="00E70E1E"/>
    <w:rsid w:val="00E8150B"/>
    <w:rsid w:val="00E87DFC"/>
    <w:rsid w:val="00EA1A07"/>
    <w:rsid w:val="00EB166E"/>
    <w:rsid w:val="00EB1E3E"/>
    <w:rsid w:val="00EC6777"/>
    <w:rsid w:val="00ED6D04"/>
    <w:rsid w:val="00EE5D67"/>
    <w:rsid w:val="00F043A8"/>
    <w:rsid w:val="00F04A9A"/>
    <w:rsid w:val="00F11058"/>
    <w:rsid w:val="00F173C8"/>
    <w:rsid w:val="00F179C6"/>
    <w:rsid w:val="00F21142"/>
    <w:rsid w:val="00F4737F"/>
    <w:rsid w:val="00F5568C"/>
    <w:rsid w:val="00F664B4"/>
    <w:rsid w:val="00FC11CC"/>
    <w:rsid w:val="00FC7A0C"/>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f9fee1eaa4a7c98029cd6c14367aaa1e">
  <xsd:schema xmlns:xsd="http://www.w3.org/2001/XMLSchema" xmlns:xs="http://www.w3.org/2001/XMLSchema" xmlns:p="http://schemas.microsoft.com/office/2006/metadata/properties" xmlns:ns3="92f57704-3039-4ebf-ac81-f8b12810bd0e" targetNamespace="http://schemas.microsoft.com/office/2006/metadata/properties" ma:root="true" ma:fieldsID="90eff814ddbe723fdfb9b5117540fa91"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9D1940-EC7B-49E2-AE36-0B8695B1D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6ADBC2-A84E-4550-ABAA-DA667AE4CC36}">
  <ds:schemaRefs>
    <ds:schemaRef ds:uri="http://schemas.microsoft.com/sharepoint/v3/contenttype/forms"/>
  </ds:schemaRefs>
</ds:datastoreItem>
</file>

<file path=customXml/itemProps3.xml><?xml version="1.0" encoding="utf-8"?>
<ds:datastoreItem xmlns:ds="http://schemas.openxmlformats.org/officeDocument/2006/customXml" ds:itemID="{601FC2FB-2B98-4EA3-B214-283B2C57E9A6}">
  <ds:schemaRefs>
    <ds:schemaRef ds:uri="http://purl.org/dc/elements/1.1/"/>
    <ds:schemaRef ds:uri="92f57704-3039-4ebf-ac81-f8b12810bd0e"/>
    <ds:schemaRef ds:uri="http://purl.org/dc/dcmitype/"/>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2632</Words>
  <Characters>14677</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2025-03-25T19:40:00Z</dcterms:created>
  <dcterms:modified xsi:type="dcterms:W3CDTF">2025-03-25T19:40:00Z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y fmtid="{D5CDD505-2E9C-101B-9397-08002B2CF9AE}" pid="3" name="ContentTypeId">
    <vt:lpwstr>0x01010066EC4548D9B7A147ACBF4A48EC93BABF</vt:lpwstr>
  </property>
</Properties>
</file>