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EBA92" w14:textId="77777777" w:rsidR="00C6128F" w:rsidRPr="00AE4F7A" w:rsidRDefault="00C6128F" w:rsidP="00C6128F">
      <w:pPr>
        <w:spacing w:after="200" w:line="276" w:lineRule="auto"/>
        <w:jc w:val="center"/>
        <w:rPr>
          <w:rFonts w:ascii="Book Antiqua" w:eastAsia="Calibri" w:hAnsi="Book Antiqua"/>
          <w:sz w:val="28"/>
          <w:szCs w:val="28"/>
          <w:lang w:val="es-PR"/>
        </w:rPr>
      </w:pPr>
      <w:r w:rsidRPr="00AE4F7A">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C6128F" w:rsidRPr="00AE4F7A" w14:paraId="2A7DED68" w14:textId="77777777" w:rsidTr="00D75135">
        <w:tc>
          <w:tcPr>
            <w:tcW w:w="2243" w:type="dxa"/>
            <w:shd w:val="clear" w:color="auto" w:fill="auto"/>
          </w:tcPr>
          <w:p w14:paraId="65F85DF6" w14:textId="77777777" w:rsidR="00C6128F" w:rsidRPr="00AE4F7A" w:rsidRDefault="00C6128F" w:rsidP="00D75135">
            <w:pPr>
              <w:rPr>
                <w:rFonts w:ascii="Book Antiqua" w:eastAsia="Calibri" w:hAnsi="Book Antiqua"/>
                <w:sz w:val="22"/>
                <w:szCs w:val="22"/>
                <w:lang w:val="es-PR"/>
              </w:rPr>
            </w:pPr>
            <w:r w:rsidRPr="00AE4F7A">
              <w:rPr>
                <w:rFonts w:ascii="Book Antiqua" w:eastAsia="Calibri" w:hAnsi="Book Antiqua"/>
                <w:sz w:val="22"/>
                <w:szCs w:val="22"/>
                <w:lang w:val="es-PR"/>
              </w:rPr>
              <w:t xml:space="preserve">20 </w:t>
            </w:r>
            <w:r w:rsidRPr="00AE4F7A">
              <w:rPr>
                <w:rFonts w:ascii="Book Antiqua" w:eastAsia="Calibri" w:hAnsi="Book Antiqua"/>
                <w:sz w:val="22"/>
                <w:szCs w:val="22"/>
                <w:vertAlign w:val="superscript"/>
                <w:lang w:val="es-PR"/>
              </w:rPr>
              <w:t xml:space="preserve">ma.  </w:t>
            </w:r>
            <w:r w:rsidRPr="00AE4F7A">
              <w:rPr>
                <w:rFonts w:ascii="Book Antiqua" w:eastAsia="Calibri" w:hAnsi="Book Antiqua"/>
                <w:sz w:val="22"/>
                <w:szCs w:val="22"/>
                <w:lang w:val="es-PR"/>
              </w:rPr>
              <w:t xml:space="preserve">Asamblea </w:t>
            </w:r>
          </w:p>
          <w:p w14:paraId="043987EE" w14:textId="77777777" w:rsidR="00C6128F" w:rsidRPr="00AE4F7A" w:rsidRDefault="00C6128F" w:rsidP="00D75135">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Legislativa</w:t>
            </w:r>
          </w:p>
        </w:tc>
        <w:tc>
          <w:tcPr>
            <w:tcW w:w="4098" w:type="dxa"/>
            <w:shd w:val="clear" w:color="auto" w:fill="auto"/>
          </w:tcPr>
          <w:p w14:paraId="2E20559B" w14:textId="77777777" w:rsidR="00C6128F" w:rsidRPr="00AE4F7A" w:rsidRDefault="00C6128F" w:rsidP="00D75135">
            <w:pPr>
              <w:jc w:val="center"/>
              <w:rPr>
                <w:rFonts w:ascii="Book Antiqua" w:eastAsia="Calibri" w:hAnsi="Book Antiqua"/>
                <w:sz w:val="22"/>
                <w:szCs w:val="22"/>
                <w:lang w:val="es-PR"/>
              </w:rPr>
            </w:pPr>
          </w:p>
          <w:p w14:paraId="2980F23A" w14:textId="77777777" w:rsidR="00C6128F" w:rsidRPr="00AE4F7A" w:rsidRDefault="00C6128F" w:rsidP="00D75135">
            <w:pPr>
              <w:jc w:val="center"/>
              <w:rPr>
                <w:rFonts w:ascii="Book Antiqua" w:eastAsia="Calibri" w:hAnsi="Book Antiqua"/>
                <w:sz w:val="22"/>
                <w:szCs w:val="22"/>
                <w:lang w:val="es-PR"/>
              </w:rPr>
            </w:pPr>
          </w:p>
          <w:p w14:paraId="52D96985" w14:textId="77777777" w:rsidR="00C6128F" w:rsidRPr="00AE4F7A" w:rsidRDefault="00C6128F" w:rsidP="00D75135">
            <w:pPr>
              <w:jc w:val="center"/>
              <w:rPr>
                <w:rFonts w:ascii="Book Antiqua" w:eastAsia="Calibri" w:hAnsi="Book Antiqua"/>
                <w:sz w:val="22"/>
                <w:szCs w:val="22"/>
                <w:lang w:val="es-PR"/>
              </w:rPr>
            </w:pPr>
          </w:p>
        </w:tc>
        <w:tc>
          <w:tcPr>
            <w:tcW w:w="3199" w:type="dxa"/>
            <w:shd w:val="clear" w:color="auto" w:fill="auto"/>
          </w:tcPr>
          <w:p w14:paraId="79B1F3F9" w14:textId="77777777" w:rsidR="00C6128F" w:rsidRPr="00AE4F7A" w:rsidRDefault="00C6128F" w:rsidP="00D75135">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1</w:t>
            </w:r>
            <w:r w:rsidRPr="00AE4F7A">
              <w:rPr>
                <w:rFonts w:ascii="Book Antiqua" w:eastAsia="Calibri" w:hAnsi="Book Antiqua"/>
                <w:sz w:val="22"/>
                <w:szCs w:val="22"/>
                <w:vertAlign w:val="superscript"/>
                <w:lang w:val="es-PR"/>
              </w:rPr>
              <w:t xml:space="preserve">ra. </w:t>
            </w:r>
            <w:r w:rsidRPr="00AE4F7A">
              <w:rPr>
                <w:rFonts w:ascii="Book Antiqua" w:eastAsia="Calibri" w:hAnsi="Book Antiqua"/>
                <w:sz w:val="22"/>
                <w:szCs w:val="22"/>
                <w:lang w:val="es-PR"/>
              </w:rPr>
              <w:t>Sesión</w:t>
            </w:r>
          </w:p>
          <w:p w14:paraId="3AE97D6F" w14:textId="77777777" w:rsidR="00C6128F" w:rsidRPr="00AE4F7A" w:rsidRDefault="00C6128F" w:rsidP="00D75135">
            <w:pPr>
              <w:ind w:left="1440"/>
              <w:jc w:val="center"/>
              <w:rPr>
                <w:rFonts w:ascii="Book Antiqua" w:eastAsia="Calibri" w:hAnsi="Book Antiqua"/>
                <w:sz w:val="22"/>
                <w:szCs w:val="22"/>
                <w:lang w:val="es-PR"/>
              </w:rPr>
            </w:pPr>
            <w:r w:rsidRPr="00AE4F7A">
              <w:rPr>
                <w:rFonts w:ascii="Book Antiqua" w:eastAsia="Calibri" w:hAnsi="Book Antiqua"/>
                <w:sz w:val="22"/>
                <w:szCs w:val="22"/>
                <w:lang w:val="es-PR"/>
              </w:rPr>
              <w:t>Ordinaria</w:t>
            </w:r>
          </w:p>
        </w:tc>
      </w:tr>
    </w:tbl>
    <w:p w14:paraId="3C097FB4" w14:textId="77777777" w:rsidR="00C6128F" w:rsidRPr="00AE4F7A" w:rsidRDefault="00C6128F" w:rsidP="00C6128F">
      <w:pPr>
        <w:spacing w:after="200" w:line="276" w:lineRule="auto"/>
        <w:jc w:val="center"/>
        <w:rPr>
          <w:rFonts w:ascii="Book Antiqua" w:eastAsia="Calibri" w:hAnsi="Book Antiqua"/>
          <w:b/>
          <w:bCs/>
          <w:sz w:val="36"/>
          <w:szCs w:val="36"/>
          <w:lang w:val="es-PR"/>
        </w:rPr>
      </w:pPr>
      <w:r w:rsidRPr="00AE4F7A">
        <w:rPr>
          <w:rFonts w:ascii="Book Antiqua" w:eastAsia="Calibri" w:hAnsi="Book Antiqua"/>
          <w:b/>
          <w:bCs/>
          <w:sz w:val="36"/>
          <w:szCs w:val="36"/>
          <w:lang w:val="es-PR"/>
        </w:rPr>
        <w:t>CÁMARA DE REPRESENTANTES</w:t>
      </w:r>
    </w:p>
    <w:p w14:paraId="5374FCD3" w14:textId="245DD9F2" w:rsidR="00C6128F" w:rsidRPr="00AE4F7A" w:rsidRDefault="00C6128F" w:rsidP="00C6128F">
      <w:pPr>
        <w:spacing w:after="200" w:line="276" w:lineRule="auto"/>
        <w:jc w:val="center"/>
        <w:rPr>
          <w:rFonts w:ascii="Book Antiqua" w:eastAsia="Calibri" w:hAnsi="Book Antiqua"/>
          <w:b/>
          <w:sz w:val="52"/>
          <w:szCs w:val="22"/>
          <w:lang w:val="es-PR"/>
        </w:rPr>
      </w:pPr>
      <w:r w:rsidRPr="00AE4F7A">
        <w:rPr>
          <w:rFonts w:ascii="Book Antiqua" w:eastAsia="Calibri" w:hAnsi="Book Antiqua"/>
          <w:b/>
          <w:sz w:val="52"/>
          <w:szCs w:val="22"/>
          <w:lang w:val="es-PR"/>
        </w:rPr>
        <w:t xml:space="preserve">P. de la C. </w:t>
      </w:r>
      <w:r w:rsidR="00827100">
        <w:rPr>
          <w:rFonts w:ascii="Book Antiqua" w:eastAsia="Calibri" w:hAnsi="Book Antiqua"/>
          <w:b/>
          <w:sz w:val="52"/>
          <w:szCs w:val="22"/>
          <w:lang w:val="es-PR"/>
        </w:rPr>
        <w:t>239</w:t>
      </w:r>
    </w:p>
    <w:p w14:paraId="4A13FBB9" w14:textId="0236DEAE" w:rsidR="00C6128F" w:rsidRPr="00AE4F7A" w:rsidRDefault="00C6128F" w:rsidP="00C6128F">
      <w:pPr>
        <w:spacing w:after="200" w:line="276" w:lineRule="auto"/>
        <w:jc w:val="center"/>
        <w:rPr>
          <w:rFonts w:ascii="Book Antiqua" w:eastAsia="Calibri" w:hAnsi="Book Antiqua"/>
          <w:szCs w:val="24"/>
          <w:lang w:val="es-PR"/>
        </w:rPr>
      </w:pPr>
      <w:r>
        <w:rPr>
          <w:rFonts w:ascii="Book Antiqua" w:eastAsia="Calibri" w:hAnsi="Book Antiqua"/>
          <w:szCs w:val="24"/>
          <w:lang w:val="es-PR"/>
        </w:rPr>
        <w:t>1</w:t>
      </w:r>
      <w:r w:rsidR="00827100">
        <w:rPr>
          <w:rFonts w:ascii="Book Antiqua" w:eastAsia="Calibri" w:hAnsi="Book Antiqua"/>
          <w:szCs w:val="24"/>
          <w:lang w:val="es-PR"/>
        </w:rPr>
        <w:t>4</w:t>
      </w:r>
      <w:r w:rsidRPr="00AE4F7A">
        <w:rPr>
          <w:rFonts w:ascii="Book Antiqua" w:eastAsia="Calibri" w:hAnsi="Book Antiqua"/>
          <w:szCs w:val="24"/>
          <w:lang w:val="es-PR"/>
        </w:rPr>
        <w:t xml:space="preserve"> DE ENERO DE 2025</w:t>
      </w:r>
    </w:p>
    <w:p w14:paraId="7BACD693" w14:textId="77777777" w:rsidR="00C6128F" w:rsidRPr="00AE4F7A" w:rsidRDefault="00C6128F" w:rsidP="00C6128F">
      <w:pPr>
        <w:spacing w:after="200" w:line="276" w:lineRule="auto"/>
        <w:ind w:left="450" w:hanging="360"/>
        <w:jc w:val="center"/>
        <w:rPr>
          <w:rFonts w:ascii="Book Antiqua" w:eastAsia="Calibri" w:hAnsi="Book Antiqua"/>
          <w:szCs w:val="24"/>
          <w:lang w:val="es-PR"/>
        </w:rPr>
      </w:pPr>
      <w:r w:rsidRPr="00AE4F7A">
        <w:rPr>
          <w:rFonts w:ascii="Book Antiqua" w:eastAsia="Calibri" w:hAnsi="Book Antiqua"/>
          <w:color w:val="000000"/>
          <w:szCs w:val="24"/>
          <w:lang w:val="es-PR"/>
        </w:rPr>
        <w:t>Presentado por el representante</w:t>
      </w:r>
      <w:r>
        <w:rPr>
          <w:rFonts w:ascii="Book Antiqua" w:eastAsia="Calibri" w:hAnsi="Book Antiqua"/>
          <w:color w:val="000000"/>
          <w:szCs w:val="24"/>
          <w:lang w:val="es-PR"/>
        </w:rPr>
        <w:t xml:space="preserve"> </w:t>
      </w:r>
      <w:r>
        <w:rPr>
          <w:rFonts w:ascii="Book Antiqua" w:eastAsia="Calibri" w:hAnsi="Book Antiqua"/>
          <w:i/>
          <w:iCs/>
          <w:color w:val="000000"/>
          <w:szCs w:val="24"/>
          <w:lang w:val="es-PR"/>
        </w:rPr>
        <w:t>Román López</w:t>
      </w:r>
    </w:p>
    <w:p w14:paraId="30B0B499" w14:textId="03551164" w:rsidR="00C6128F" w:rsidRPr="00AE4F7A" w:rsidRDefault="00C6128F" w:rsidP="00C6128F">
      <w:pPr>
        <w:spacing w:after="200" w:line="276" w:lineRule="auto"/>
        <w:jc w:val="center"/>
        <w:rPr>
          <w:rFonts w:ascii="Book Antiqua" w:eastAsia="Calibri" w:hAnsi="Book Antiqua" w:cs="CG Times (W1)"/>
          <w:szCs w:val="24"/>
          <w:lang w:val="es-PR"/>
        </w:rPr>
      </w:pPr>
      <w:r w:rsidRPr="00AE4F7A">
        <w:rPr>
          <w:rFonts w:ascii="Book Antiqua" w:eastAsia="Calibri" w:hAnsi="Book Antiqua" w:cs="CG Times (W1)"/>
          <w:szCs w:val="24"/>
          <w:lang w:val="es-PR"/>
        </w:rPr>
        <w:t xml:space="preserve">Referido a </w:t>
      </w:r>
      <w:r w:rsidR="00B20B39">
        <w:rPr>
          <w:rFonts w:ascii="Book Antiqua" w:eastAsia="Calibri" w:hAnsi="Book Antiqua" w:cs="CG Times (W1)"/>
          <w:szCs w:val="24"/>
          <w:lang w:val="es-PR"/>
        </w:rPr>
        <w:t xml:space="preserve">las Comisiones del Sistema de Retiro; y de Hacienda </w:t>
      </w:r>
    </w:p>
    <w:p w14:paraId="060D1A57" w14:textId="77777777" w:rsidR="00C6128F" w:rsidRDefault="00C6128F" w:rsidP="00C6128F">
      <w:pPr>
        <w:jc w:val="center"/>
        <w:rPr>
          <w:rFonts w:ascii="Book Antiqua" w:hAnsi="Book Antiqua"/>
          <w:b/>
          <w:sz w:val="28"/>
          <w:lang w:val="es-ES_tradnl"/>
        </w:rPr>
      </w:pPr>
      <w:r>
        <w:rPr>
          <w:rFonts w:ascii="Book Antiqua" w:hAnsi="Book Antiqua"/>
          <w:b/>
          <w:sz w:val="28"/>
          <w:lang w:val="es-ES_tradnl"/>
        </w:rPr>
        <w:t>LEY</w:t>
      </w:r>
    </w:p>
    <w:p w14:paraId="73178943" w14:textId="77777777" w:rsidR="00810E6D" w:rsidRDefault="00810E6D" w:rsidP="004D2623">
      <w:pPr>
        <w:jc w:val="both"/>
        <w:rPr>
          <w:rFonts w:ascii="Book Antiqua" w:hAnsi="Book Antiqua"/>
          <w:lang w:val="es-ES_tradnl"/>
        </w:rPr>
      </w:pPr>
    </w:p>
    <w:p w14:paraId="2E243342" w14:textId="014219B6" w:rsidR="00D20941" w:rsidRPr="00D20941" w:rsidRDefault="00810E6D" w:rsidP="00D20941">
      <w:pPr>
        <w:ind w:left="720" w:hanging="720"/>
        <w:jc w:val="both"/>
        <w:rPr>
          <w:rFonts w:ascii="Book Antiqua" w:hAnsi="Book Antiqua"/>
          <w:lang w:val="es-ES_tradnl"/>
        </w:rPr>
      </w:pPr>
      <w:r>
        <w:rPr>
          <w:rFonts w:ascii="Book Antiqua" w:hAnsi="Book Antiqua"/>
          <w:lang w:val="es-ES_tradnl"/>
        </w:rPr>
        <w:t>Para</w:t>
      </w:r>
      <w:r w:rsidR="00D20941" w:rsidRPr="00D20941">
        <w:rPr>
          <w:rFonts w:ascii="TimesNewRomanPSMT" w:hAnsi="TimesNewRomanPSMT"/>
          <w:szCs w:val="24"/>
          <w:lang w:val="es-ES_tradnl"/>
        </w:rPr>
        <w:t xml:space="preserve"> </w:t>
      </w:r>
      <w:r w:rsidR="00D20941" w:rsidRPr="00D20941">
        <w:rPr>
          <w:rFonts w:ascii="Book Antiqua" w:hAnsi="Book Antiqua"/>
          <w:lang w:val="es-ES_tradnl"/>
        </w:rPr>
        <w:t xml:space="preserve">crear </w:t>
      </w:r>
      <w:r w:rsidR="00D111FD">
        <w:rPr>
          <w:rFonts w:ascii="Book Antiqua" w:hAnsi="Book Antiqua"/>
          <w:lang w:val="es-ES_tradnl"/>
        </w:rPr>
        <w:t>la</w:t>
      </w:r>
      <w:r w:rsidR="00D20941" w:rsidRPr="00D20941">
        <w:rPr>
          <w:rFonts w:ascii="Book Antiqua" w:hAnsi="Book Antiqua"/>
          <w:lang w:val="es-ES_tradnl"/>
        </w:rPr>
        <w:t xml:space="preserve"> Ley del Bono por A</w:t>
      </w:r>
      <w:r w:rsidR="00D20941">
        <w:rPr>
          <w:rFonts w:ascii="Book Antiqua" w:hAnsi="Book Antiqua"/>
          <w:lang w:val="es-ES_tradnl"/>
        </w:rPr>
        <w:t>umento</w:t>
      </w:r>
      <w:r w:rsidR="00D20941" w:rsidRPr="00D20941">
        <w:rPr>
          <w:rFonts w:ascii="Book Antiqua" w:hAnsi="Book Antiqua"/>
          <w:lang w:val="es-ES_tradnl"/>
        </w:rPr>
        <w:t xml:space="preserve"> del Costo de Vida para los pensionados del Sistema de Retiro de los Empleados del Gobierno</w:t>
      </w:r>
      <w:r w:rsidR="00D20941">
        <w:rPr>
          <w:rFonts w:ascii="Book Antiqua" w:hAnsi="Book Antiqua"/>
          <w:lang w:val="es-ES_tradnl"/>
        </w:rPr>
        <w:t xml:space="preserve">, </w:t>
      </w:r>
      <w:r w:rsidR="00D20941" w:rsidRPr="00D20941">
        <w:rPr>
          <w:rFonts w:ascii="Book Antiqua" w:hAnsi="Book Antiqua"/>
          <w:lang w:val="es-ES_tradnl"/>
        </w:rPr>
        <w:t xml:space="preserve">a fin de que los pensionados de dicho sistema reciban </w:t>
      </w:r>
      <w:r w:rsidR="00D20941">
        <w:rPr>
          <w:rFonts w:ascii="Book Antiqua" w:hAnsi="Book Antiqua"/>
          <w:lang w:val="es-ES_tradnl"/>
        </w:rPr>
        <w:t xml:space="preserve">una bonificación anual por concepto de </w:t>
      </w:r>
      <w:r w:rsidR="00D20941" w:rsidRPr="00D20941">
        <w:rPr>
          <w:rFonts w:ascii="Book Antiqua" w:hAnsi="Book Antiqua"/>
          <w:lang w:val="es-ES_tradnl"/>
        </w:rPr>
        <w:t xml:space="preserve">Ajuste por Costo de Vida, exento del pago de contribuciones; establecer excepciones; y proveer para su financiamiento. </w:t>
      </w:r>
    </w:p>
    <w:p w14:paraId="536ACFEE" w14:textId="77777777" w:rsidR="00867C76" w:rsidRDefault="00867C76" w:rsidP="004D2623">
      <w:pPr>
        <w:ind w:left="360" w:hanging="360"/>
        <w:jc w:val="both"/>
        <w:rPr>
          <w:rFonts w:ascii="Book Antiqua" w:hAnsi="Book Antiqua"/>
          <w:lang w:val="es-ES_tradnl"/>
        </w:rPr>
      </w:pPr>
    </w:p>
    <w:p w14:paraId="43B7C802" w14:textId="5EA5E139" w:rsidR="00810E6D" w:rsidRDefault="00810E6D" w:rsidP="00A81FFD">
      <w:pPr>
        <w:jc w:val="center"/>
        <w:rPr>
          <w:rFonts w:ascii="Book Antiqua" w:hAnsi="Book Antiqua"/>
          <w:lang w:val="es-ES_tradnl"/>
        </w:rPr>
      </w:pPr>
      <w:r>
        <w:rPr>
          <w:rFonts w:ascii="Book Antiqua" w:hAnsi="Book Antiqua"/>
          <w:lang w:val="es-ES_tradnl"/>
        </w:rPr>
        <w:t>EXPOSICIÓN DE MOTIVOS</w:t>
      </w:r>
    </w:p>
    <w:p w14:paraId="1CBE3FE5" w14:textId="56FC0406" w:rsidR="00366E20" w:rsidRDefault="00366E20" w:rsidP="00A81FFD">
      <w:pPr>
        <w:jc w:val="center"/>
        <w:rPr>
          <w:rFonts w:ascii="Book Antiqua" w:hAnsi="Book Antiqua"/>
          <w:lang w:val="es-ES_tradnl"/>
        </w:rPr>
      </w:pPr>
    </w:p>
    <w:p w14:paraId="26749B55" w14:textId="77777777" w:rsidR="00F02262" w:rsidRDefault="00366E20" w:rsidP="00F02262">
      <w:pPr>
        <w:jc w:val="both"/>
        <w:rPr>
          <w:rFonts w:ascii="Book Antiqua" w:hAnsi="Book Antiqua"/>
          <w:lang w:val="es-ES_tradnl"/>
        </w:rPr>
      </w:pPr>
      <w:r>
        <w:rPr>
          <w:rFonts w:ascii="Book Antiqua" w:hAnsi="Book Antiqua"/>
          <w:lang w:val="es-ES_tradnl"/>
        </w:rPr>
        <w:t xml:space="preserve">     </w:t>
      </w:r>
      <w:r w:rsidR="00F02262" w:rsidRPr="00F02262">
        <w:rPr>
          <w:rFonts w:ascii="Book Antiqua" w:hAnsi="Book Antiqua"/>
          <w:lang w:val="es-ES_tradnl"/>
        </w:rPr>
        <w:t>El ajuste por el aumento de costo de vida, también conocido por el acrónimo “COLA” (</w:t>
      </w:r>
      <w:proofErr w:type="spellStart"/>
      <w:r w:rsidR="00F02262" w:rsidRPr="00F02262">
        <w:rPr>
          <w:rFonts w:ascii="Book Antiqua" w:hAnsi="Book Antiqua"/>
          <w:lang w:val="es-ES_tradnl"/>
        </w:rPr>
        <w:t>cost</w:t>
      </w:r>
      <w:proofErr w:type="spellEnd"/>
      <w:r w:rsidR="00F02262" w:rsidRPr="00F02262">
        <w:rPr>
          <w:rFonts w:ascii="Book Antiqua" w:hAnsi="Book Antiqua"/>
          <w:lang w:val="es-ES_tradnl"/>
        </w:rPr>
        <w:t xml:space="preserve"> </w:t>
      </w:r>
      <w:proofErr w:type="spellStart"/>
      <w:r w:rsidR="00F02262" w:rsidRPr="00F02262">
        <w:rPr>
          <w:rFonts w:ascii="Book Antiqua" w:hAnsi="Book Antiqua"/>
          <w:lang w:val="es-ES_tradnl"/>
        </w:rPr>
        <w:t>of</w:t>
      </w:r>
      <w:proofErr w:type="spellEnd"/>
      <w:r w:rsidR="00F02262" w:rsidRPr="00F02262">
        <w:rPr>
          <w:rFonts w:ascii="Book Antiqua" w:hAnsi="Book Antiqua"/>
          <w:lang w:val="es-ES_tradnl"/>
        </w:rPr>
        <w:t xml:space="preserve"> living </w:t>
      </w:r>
      <w:proofErr w:type="spellStart"/>
      <w:r w:rsidR="00F02262" w:rsidRPr="00F02262">
        <w:rPr>
          <w:rFonts w:ascii="Book Antiqua" w:hAnsi="Book Antiqua"/>
          <w:lang w:val="es-ES_tradnl"/>
        </w:rPr>
        <w:t>allowance</w:t>
      </w:r>
      <w:proofErr w:type="spellEnd"/>
      <w:r w:rsidR="00F02262" w:rsidRPr="00F02262">
        <w:rPr>
          <w:rFonts w:ascii="Book Antiqua" w:hAnsi="Book Antiqua"/>
          <w:lang w:val="es-ES_tradnl"/>
        </w:rPr>
        <w:t xml:space="preserve">), puede definirse como un aumento a la compensación o beneficios de los asalariados y/o retirados; que tiene en cuenta el incremento en los precios de los productos y servicios. El COLA, no es una figura ajena a la sociedad puertorriqueña, cientos de miles de beneficiarios del seguro social y empleados del gobierno federal son receptores de incrementos por aumentos del costo de vida. Sobre el particular, la administración del seguro social nos dice que el propósito del COLA es asegurar que no reduzca el poder adquisitivo de los beneficios de Seguro Social y Seguridad de Ingreso Suplementario (SSI) debido a la inflación. </w:t>
      </w:r>
    </w:p>
    <w:p w14:paraId="2C10BCE4" w14:textId="77777777" w:rsidR="00F02262" w:rsidRDefault="00F02262" w:rsidP="00F02262">
      <w:pPr>
        <w:jc w:val="both"/>
        <w:rPr>
          <w:rFonts w:ascii="Book Antiqua" w:hAnsi="Book Antiqua"/>
          <w:lang w:val="es-ES_tradnl"/>
        </w:rPr>
      </w:pPr>
    </w:p>
    <w:p w14:paraId="4C49A7FB" w14:textId="45272E69" w:rsidR="00F02262" w:rsidRPr="00F02262" w:rsidRDefault="00F02262" w:rsidP="00F02262">
      <w:pPr>
        <w:jc w:val="both"/>
        <w:rPr>
          <w:rFonts w:ascii="Book Antiqua" w:hAnsi="Book Antiqua"/>
          <w:lang w:val="es-ES_tradnl"/>
        </w:rPr>
      </w:pPr>
      <w:r>
        <w:rPr>
          <w:rFonts w:ascii="Book Antiqua" w:hAnsi="Book Antiqua"/>
          <w:lang w:val="es-ES_tradnl"/>
        </w:rPr>
        <w:t xml:space="preserve">     </w:t>
      </w:r>
      <w:r w:rsidRPr="00F02262">
        <w:rPr>
          <w:rFonts w:ascii="Book Antiqua" w:hAnsi="Book Antiqua"/>
          <w:lang w:val="es-ES_tradnl"/>
        </w:rPr>
        <w:t>El COLA se basa en el aumento en el porcentaje del Índice de Precios al Consumidor para Trabajadores Asalariados en Zonas Urbanas y Trabajadores Administrativos (CPI-W, por sus siglas en inglés), desde el tercer trimestre del último año que se determinó un COLA hasta el tercer trimestre del año en curso. Si no hay un aumento, no puede haber un COLA. La prensa reporta que para el próximo año 2023, se estima un aumento cercano al diez por ciento (10%).</w:t>
      </w:r>
    </w:p>
    <w:p w14:paraId="40BE191B" w14:textId="77777777" w:rsidR="00F02262" w:rsidRPr="00F02262" w:rsidRDefault="00F02262" w:rsidP="00F02262">
      <w:pPr>
        <w:jc w:val="both"/>
        <w:rPr>
          <w:rFonts w:ascii="Book Antiqua" w:hAnsi="Book Antiqua"/>
          <w:lang w:val="es-ES_tradnl"/>
        </w:rPr>
      </w:pPr>
      <w:r w:rsidRPr="00F02262">
        <w:rPr>
          <w:rFonts w:ascii="Book Antiqua" w:hAnsi="Book Antiqua"/>
          <w:lang w:val="es-ES_tradnl"/>
        </w:rPr>
        <w:t> </w:t>
      </w:r>
    </w:p>
    <w:p w14:paraId="57D6013D" w14:textId="02B323DE" w:rsidR="00F02262" w:rsidRPr="00F02262" w:rsidRDefault="00F02262" w:rsidP="00F02262">
      <w:pPr>
        <w:jc w:val="both"/>
        <w:rPr>
          <w:rFonts w:ascii="Book Antiqua" w:hAnsi="Book Antiqua"/>
          <w:lang w:val="es-ES_tradnl"/>
        </w:rPr>
      </w:pPr>
      <w:r w:rsidRPr="00F02262">
        <w:rPr>
          <w:rFonts w:ascii="Book Antiqua" w:hAnsi="Book Antiqua"/>
          <w:lang w:val="es-ES_tradnl"/>
        </w:rPr>
        <w:lastRenderedPageBreak/>
        <w:t xml:space="preserve">     En Puerto Rico el aumento del costo de vida no da tregua. Reportes de prensa dan cuenta que la isla es una de las jurisdicciones más caras para vivir. El costo de vida en la zona metropolitana de San Juan, supera al de otras 204 áreas comparables de Estados Unidos, al ocupar la posición 93 entre 297 jurisdicciones, según el Índice del Costo de Vida que elabora el Instituto de Estadísticas. Ante este panorama, la </w:t>
      </w:r>
      <w:r w:rsidR="0051037E">
        <w:rPr>
          <w:rFonts w:ascii="Book Antiqua" w:hAnsi="Book Antiqua"/>
          <w:lang w:val="es-ES_tradnl"/>
        </w:rPr>
        <w:t>L</w:t>
      </w:r>
      <w:r w:rsidRPr="00F02262">
        <w:rPr>
          <w:rFonts w:ascii="Book Antiqua" w:hAnsi="Book Antiqua"/>
          <w:lang w:val="es-ES_tradnl"/>
        </w:rPr>
        <w:t xml:space="preserve">egislatura y el </w:t>
      </w:r>
      <w:r w:rsidR="0051037E">
        <w:rPr>
          <w:rFonts w:ascii="Book Antiqua" w:hAnsi="Book Antiqua"/>
          <w:lang w:val="es-ES_tradnl"/>
        </w:rPr>
        <w:t>E</w:t>
      </w:r>
      <w:r w:rsidRPr="00F02262">
        <w:rPr>
          <w:rFonts w:ascii="Book Antiqua" w:hAnsi="Book Antiqua"/>
          <w:lang w:val="es-ES_tradnl"/>
        </w:rPr>
        <w:t xml:space="preserve">jecutivo han tomado iniciativas para atender los diversos sectores económicos. El pasado año 2021, se promulgó una nueva ley de salario mínimo y se han aprobado aumentos de sueldo históricos para maestros y agentes del orden público. No obstante, los beneficiarios del </w:t>
      </w:r>
      <w:r w:rsidR="00B4123B">
        <w:rPr>
          <w:rFonts w:ascii="Book Antiqua" w:hAnsi="Book Antiqua"/>
          <w:lang w:val="es-ES_tradnl"/>
        </w:rPr>
        <w:t>S</w:t>
      </w:r>
      <w:r w:rsidRPr="00F02262">
        <w:rPr>
          <w:rFonts w:ascii="Book Antiqua" w:hAnsi="Book Antiqua"/>
          <w:lang w:val="es-ES_tradnl"/>
        </w:rPr>
        <w:t xml:space="preserve">istema de </w:t>
      </w:r>
      <w:r w:rsidR="00B4123B">
        <w:rPr>
          <w:rFonts w:ascii="Book Antiqua" w:hAnsi="Book Antiqua"/>
          <w:lang w:val="es-ES_tradnl"/>
        </w:rPr>
        <w:t>R</w:t>
      </w:r>
      <w:r w:rsidRPr="00F02262">
        <w:rPr>
          <w:rFonts w:ascii="Book Antiqua" w:hAnsi="Book Antiqua"/>
          <w:lang w:val="es-ES_tradnl"/>
        </w:rPr>
        <w:t xml:space="preserve">etiro </w:t>
      </w:r>
      <w:r w:rsidR="0051037E">
        <w:rPr>
          <w:rFonts w:ascii="Book Antiqua" w:hAnsi="Book Antiqua"/>
          <w:lang w:val="es-ES_tradnl"/>
        </w:rPr>
        <w:t xml:space="preserve">no </w:t>
      </w:r>
      <w:r w:rsidRPr="00F02262">
        <w:rPr>
          <w:rFonts w:ascii="Book Antiqua" w:hAnsi="Book Antiqua"/>
          <w:lang w:val="es-ES_tradnl"/>
        </w:rPr>
        <w:t>han sido considerados. Año</w:t>
      </w:r>
      <w:r w:rsidR="0051037E">
        <w:rPr>
          <w:rFonts w:ascii="Book Antiqua" w:hAnsi="Book Antiqua"/>
          <w:lang w:val="es-ES_tradnl"/>
        </w:rPr>
        <w:t>s</w:t>
      </w:r>
      <w:r w:rsidRPr="00F02262">
        <w:rPr>
          <w:rFonts w:ascii="Book Antiqua" w:hAnsi="Book Antiqua"/>
          <w:lang w:val="es-ES_tradnl"/>
        </w:rPr>
        <w:t xml:space="preserve"> de malos manejos del fondo de pensiones y la amenaza de recortes, han dejado a los beneficiarios en un estado de vulnerabilidad extrema. </w:t>
      </w:r>
    </w:p>
    <w:p w14:paraId="47FA7898" w14:textId="77777777" w:rsidR="00F02262" w:rsidRPr="00F02262" w:rsidRDefault="00F02262" w:rsidP="00F02262">
      <w:pPr>
        <w:jc w:val="both"/>
        <w:rPr>
          <w:rFonts w:ascii="Book Antiqua" w:hAnsi="Book Antiqua"/>
          <w:lang w:val="es-ES_tradnl"/>
        </w:rPr>
      </w:pPr>
      <w:r w:rsidRPr="00F02262">
        <w:rPr>
          <w:rFonts w:ascii="Book Antiqua" w:hAnsi="Book Antiqua"/>
          <w:lang w:val="es-ES_tradnl"/>
        </w:rPr>
        <w:t> </w:t>
      </w:r>
    </w:p>
    <w:p w14:paraId="6EF14D96" w14:textId="1F234A5B" w:rsidR="00F02262" w:rsidRPr="00F02262" w:rsidRDefault="00F02262" w:rsidP="00F02262">
      <w:pPr>
        <w:jc w:val="both"/>
        <w:rPr>
          <w:rFonts w:ascii="Book Antiqua" w:hAnsi="Book Antiqua"/>
          <w:lang w:val="es-ES_tradnl"/>
        </w:rPr>
      </w:pPr>
      <w:r w:rsidRPr="00F02262">
        <w:rPr>
          <w:rFonts w:ascii="Book Antiqua" w:hAnsi="Book Antiqua"/>
          <w:lang w:val="es-ES_tradnl"/>
        </w:rPr>
        <w:t>     Si bien es cierto que reconocemos que</w:t>
      </w:r>
      <w:r w:rsidR="0051037E">
        <w:rPr>
          <w:rFonts w:ascii="Book Antiqua" w:hAnsi="Book Antiqua"/>
          <w:lang w:val="es-ES_tradnl"/>
        </w:rPr>
        <w:t>,</w:t>
      </w:r>
      <w:r w:rsidRPr="00F02262">
        <w:rPr>
          <w:rFonts w:ascii="Book Antiqua" w:hAnsi="Book Antiqua"/>
          <w:lang w:val="es-ES_tradnl"/>
        </w:rPr>
        <w:t xml:space="preserve"> el Estado logró evitar los recortes a los beneficios, queda mucho camino para poder hacerle justicia a nuestros retirados. Las presiones inflacionarias socavan la calidad de vida de quienes dejaron sus mejores años al servicio de Puerto Rico. Aumentos en todos los sectores significa que lo que se recibe cada quincena rinde menos. Esto último</w:t>
      </w:r>
      <w:r w:rsidR="0051037E">
        <w:rPr>
          <w:rFonts w:ascii="Book Antiqua" w:hAnsi="Book Antiqua"/>
          <w:lang w:val="es-ES_tradnl"/>
        </w:rPr>
        <w:t>,</w:t>
      </w:r>
      <w:r w:rsidRPr="00F02262">
        <w:rPr>
          <w:rFonts w:ascii="Book Antiqua" w:hAnsi="Book Antiqua"/>
          <w:lang w:val="es-ES_tradnl"/>
        </w:rPr>
        <w:t xml:space="preserve"> contrasta con los recaudos del Departamento de Hacienda. En el año fiscal 2022 se levantaron recaudos por $12,801 millones, ósea unos $1,132.9 millones más, (un aumento de 9.7%) cuando se compara con el año 2021. Es el segundo aumento consecutivo y una cifra de recaudos histórica. Ciertamente</w:t>
      </w:r>
      <w:r w:rsidR="0051037E">
        <w:rPr>
          <w:rFonts w:ascii="Book Antiqua" w:hAnsi="Book Antiqua"/>
          <w:lang w:val="es-ES_tradnl"/>
        </w:rPr>
        <w:t>,</w:t>
      </w:r>
      <w:r w:rsidRPr="00F02262">
        <w:rPr>
          <w:rFonts w:ascii="Book Antiqua" w:hAnsi="Book Antiqua"/>
          <w:lang w:val="es-ES_tradnl"/>
        </w:rPr>
        <w:t xml:space="preserve"> el aumento de actividad económica, medidas de fiscalización y el propio aumento de precios ha permitido un alza sin precedentes en los ingresos </w:t>
      </w:r>
      <w:r w:rsidR="0051037E">
        <w:rPr>
          <w:rFonts w:ascii="Book Antiqua" w:hAnsi="Book Antiqua"/>
          <w:lang w:val="es-ES_tradnl"/>
        </w:rPr>
        <w:t>del</w:t>
      </w:r>
      <w:r w:rsidRPr="00F02262">
        <w:rPr>
          <w:rFonts w:ascii="Book Antiqua" w:hAnsi="Book Antiqua"/>
          <w:lang w:val="es-ES_tradnl"/>
        </w:rPr>
        <w:t xml:space="preserve"> tesoro público. Lo anterior nos permite asignar recursos en las manos de la gente.  </w:t>
      </w:r>
    </w:p>
    <w:p w14:paraId="3A3A62B0" w14:textId="77777777" w:rsidR="00F02262" w:rsidRPr="00F02262" w:rsidRDefault="00F02262" w:rsidP="00F02262">
      <w:pPr>
        <w:jc w:val="both"/>
        <w:rPr>
          <w:rFonts w:ascii="Book Antiqua" w:hAnsi="Book Antiqua"/>
          <w:lang w:val="es-ES_tradnl"/>
        </w:rPr>
      </w:pPr>
      <w:r w:rsidRPr="00F02262">
        <w:rPr>
          <w:rFonts w:ascii="Book Antiqua" w:hAnsi="Book Antiqua"/>
          <w:lang w:val="es-ES_tradnl"/>
        </w:rPr>
        <w:t> </w:t>
      </w:r>
    </w:p>
    <w:p w14:paraId="7E733AC8" w14:textId="59DC225E" w:rsidR="00E37E22" w:rsidRDefault="00F02262" w:rsidP="00F02262">
      <w:pPr>
        <w:jc w:val="both"/>
        <w:rPr>
          <w:rFonts w:ascii="Book Antiqua" w:hAnsi="Book Antiqua"/>
          <w:lang w:val="es-ES_tradnl"/>
        </w:rPr>
      </w:pPr>
      <w:r w:rsidRPr="00F02262">
        <w:rPr>
          <w:rFonts w:ascii="Book Antiqua" w:hAnsi="Book Antiqua"/>
          <w:lang w:val="es-ES_tradnl"/>
        </w:rPr>
        <w:t>     Desde la Asamblea Legislativa entendemos que los beneficiarios de</w:t>
      </w:r>
      <w:r w:rsidR="00B4123B">
        <w:rPr>
          <w:rFonts w:ascii="Book Antiqua" w:hAnsi="Book Antiqua"/>
          <w:lang w:val="es-ES_tradnl"/>
        </w:rPr>
        <w:t>l</w:t>
      </w:r>
      <w:r w:rsidRPr="00F02262">
        <w:rPr>
          <w:rFonts w:ascii="Book Antiqua" w:hAnsi="Book Antiqua"/>
          <w:lang w:val="es-ES_tradnl"/>
        </w:rPr>
        <w:t xml:space="preserve"> </w:t>
      </w:r>
      <w:r w:rsidR="00B4123B">
        <w:rPr>
          <w:rFonts w:ascii="Book Antiqua" w:hAnsi="Book Antiqua"/>
          <w:lang w:val="es-ES_tradnl"/>
        </w:rPr>
        <w:t>S</w:t>
      </w:r>
      <w:r w:rsidRPr="00F02262">
        <w:rPr>
          <w:rFonts w:ascii="Book Antiqua" w:hAnsi="Book Antiqua"/>
          <w:lang w:val="es-ES_tradnl"/>
        </w:rPr>
        <w:t xml:space="preserve">istema de </w:t>
      </w:r>
      <w:r w:rsidR="00B4123B">
        <w:rPr>
          <w:rFonts w:ascii="Book Antiqua" w:hAnsi="Book Antiqua"/>
          <w:lang w:val="es-ES_tradnl"/>
        </w:rPr>
        <w:t>R</w:t>
      </w:r>
      <w:r w:rsidRPr="00F02262">
        <w:rPr>
          <w:rFonts w:ascii="Book Antiqua" w:hAnsi="Book Antiqua"/>
          <w:lang w:val="es-ES_tradnl"/>
        </w:rPr>
        <w:t xml:space="preserve">etiro no pueden seguir esperando. La creación de un </w:t>
      </w:r>
      <w:r w:rsidR="0051037E">
        <w:rPr>
          <w:rFonts w:ascii="Book Antiqua" w:hAnsi="Book Antiqua"/>
          <w:lang w:val="es-ES_tradnl"/>
        </w:rPr>
        <w:t>b</w:t>
      </w:r>
      <w:r w:rsidRPr="00F02262">
        <w:rPr>
          <w:rFonts w:ascii="Book Antiqua" w:hAnsi="Book Antiqua"/>
          <w:lang w:val="es-ES_tradnl"/>
        </w:rPr>
        <w:t>ono por aumento del costo de vida es una medida responsable que busca atender de una manera prudente y responsable las condiciones de pasados servidores públicos, muchos de ellos en edad avanzada y sin posibilidad de generar ingresos adicionales. Con este bono nos aseguramos de que los retirados reciban lo que por derecho les corresponde. </w:t>
      </w:r>
      <w:r w:rsidR="004D2623">
        <w:rPr>
          <w:rFonts w:ascii="Book Antiqua" w:hAnsi="Book Antiqua"/>
          <w:lang w:val="es-ES_tradnl"/>
        </w:rPr>
        <w:tab/>
      </w:r>
    </w:p>
    <w:p w14:paraId="3A7B42BB" w14:textId="04764C35" w:rsidR="002B5818" w:rsidRDefault="002B5818" w:rsidP="004D2623">
      <w:pPr>
        <w:ind w:firstLine="360"/>
        <w:jc w:val="both"/>
        <w:rPr>
          <w:rFonts w:ascii="Book Antiqua" w:hAnsi="Book Antiqua"/>
          <w:lang w:val="es-ES_tradnl"/>
        </w:rPr>
      </w:pPr>
    </w:p>
    <w:p w14:paraId="53900822" w14:textId="77777777" w:rsidR="00810E6D" w:rsidRDefault="00810E6D" w:rsidP="004D2623">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794EE45" w14:textId="77777777" w:rsidR="00810E6D" w:rsidRDefault="00810E6D" w:rsidP="00867C76">
      <w:pPr>
        <w:spacing w:line="480" w:lineRule="auto"/>
        <w:jc w:val="both"/>
        <w:rPr>
          <w:rFonts w:ascii="Book Antiqua" w:hAnsi="Book Antiqua"/>
          <w:lang w:val="es-ES_tradnl"/>
        </w:rPr>
        <w:sectPr w:rsidR="00810E6D">
          <w:headerReference w:type="default" r:id="rId8"/>
          <w:type w:val="continuous"/>
          <w:pgSz w:w="12240" w:h="15840" w:code="1"/>
          <w:pgMar w:top="1440" w:right="1440" w:bottom="1440" w:left="1440" w:header="720" w:footer="720" w:gutter="0"/>
          <w:cols w:space="720"/>
          <w:titlePg/>
        </w:sectPr>
      </w:pPr>
    </w:p>
    <w:p w14:paraId="3C70DCA4"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Artículo 1.-Título</w:t>
      </w:r>
    </w:p>
    <w:p w14:paraId="50CD6495" w14:textId="16E36CF4"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Esta Ley se conocerá como la “</w:t>
      </w:r>
      <w:r>
        <w:rPr>
          <w:rFonts w:ascii="Book Antiqua" w:hAnsi="Book Antiqua"/>
          <w:lang w:val="es-ES_tradnl"/>
        </w:rPr>
        <w:t xml:space="preserve">Ley del </w:t>
      </w:r>
      <w:r w:rsidRPr="00D20941">
        <w:rPr>
          <w:rFonts w:ascii="Book Antiqua" w:hAnsi="Book Antiqua"/>
          <w:lang w:val="es-ES_tradnl"/>
        </w:rPr>
        <w:t xml:space="preserve">Bono </w:t>
      </w:r>
      <w:r>
        <w:rPr>
          <w:rFonts w:ascii="Book Antiqua" w:hAnsi="Book Antiqua"/>
          <w:lang w:val="es-ES_tradnl"/>
        </w:rPr>
        <w:t xml:space="preserve">por </w:t>
      </w:r>
      <w:r w:rsidRPr="00D20941">
        <w:rPr>
          <w:rFonts w:ascii="Book Antiqua" w:hAnsi="Book Antiqua"/>
          <w:lang w:val="es-ES_tradnl"/>
        </w:rPr>
        <w:t>A</w:t>
      </w:r>
      <w:r>
        <w:rPr>
          <w:rFonts w:ascii="Book Antiqua" w:hAnsi="Book Antiqua"/>
          <w:lang w:val="es-ES_tradnl"/>
        </w:rPr>
        <w:t>umento</w:t>
      </w:r>
      <w:r w:rsidRPr="00D20941">
        <w:rPr>
          <w:rFonts w:ascii="Book Antiqua" w:hAnsi="Book Antiqua"/>
          <w:lang w:val="es-ES_tradnl"/>
        </w:rPr>
        <w:t xml:space="preserve"> </w:t>
      </w:r>
      <w:r>
        <w:rPr>
          <w:rFonts w:ascii="Book Antiqua" w:hAnsi="Book Antiqua"/>
          <w:lang w:val="es-ES_tradnl"/>
        </w:rPr>
        <w:t>del</w:t>
      </w:r>
      <w:r w:rsidRPr="00D20941">
        <w:rPr>
          <w:rFonts w:ascii="Book Antiqua" w:hAnsi="Book Antiqua"/>
          <w:lang w:val="es-ES_tradnl"/>
        </w:rPr>
        <w:t xml:space="preserve"> Costo de Vida”. </w:t>
      </w:r>
    </w:p>
    <w:p w14:paraId="72987C45" w14:textId="691284A6"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 xml:space="preserve">Artículo 2.- </w:t>
      </w:r>
      <w:r>
        <w:rPr>
          <w:rFonts w:ascii="Book Antiqua" w:hAnsi="Book Antiqua"/>
          <w:lang w:val="es-ES_tradnl"/>
        </w:rPr>
        <w:t>Elegibilidad</w:t>
      </w:r>
    </w:p>
    <w:p w14:paraId="7D7775C6" w14:textId="0401AD33" w:rsidR="00D20941" w:rsidRPr="00D20941" w:rsidRDefault="00D20941" w:rsidP="00D20941">
      <w:pPr>
        <w:spacing w:line="480" w:lineRule="auto"/>
        <w:ind w:firstLine="360"/>
        <w:jc w:val="both"/>
        <w:rPr>
          <w:rFonts w:ascii="Book Antiqua" w:hAnsi="Book Antiqua"/>
          <w:lang w:val="es-ES_tradnl"/>
        </w:rPr>
      </w:pPr>
      <w:r>
        <w:rPr>
          <w:rFonts w:ascii="Book Antiqua" w:hAnsi="Book Antiqua"/>
          <w:lang w:val="es-ES_tradnl"/>
        </w:rPr>
        <w:t>T</w:t>
      </w:r>
      <w:r w:rsidRPr="00D20941">
        <w:rPr>
          <w:rFonts w:ascii="Book Antiqua" w:hAnsi="Book Antiqua"/>
          <w:lang w:val="es-ES_tradnl"/>
        </w:rPr>
        <w:t xml:space="preserve">oda persona que reciba cualquier pensión o beneficio </w:t>
      </w:r>
      <w:r>
        <w:rPr>
          <w:rFonts w:ascii="Book Antiqua" w:hAnsi="Book Antiqua"/>
          <w:lang w:val="es-ES_tradnl"/>
        </w:rPr>
        <w:t xml:space="preserve">al </w:t>
      </w:r>
      <w:r w:rsidRPr="00D20941">
        <w:rPr>
          <w:rFonts w:ascii="Book Antiqua" w:hAnsi="Book Antiqua"/>
          <w:lang w:val="es-ES_tradnl"/>
        </w:rPr>
        <w:t xml:space="preserve">amparo de la Ley Núm. </w:t>
      </w:r>
      <w:r>
        <w:rPr>
          <w:rFonts w:ascii="Book Antiqua" w:hAnsi="Book Antiqua"/>
          <w:lang w:val="es-ES_tradnl"/>
        </w:rPr>
        <w:t>447</w:t>
      </w:r>
      <w:r w:rsidRPr="00D20941">
        <w:rPr>
          <w:rFonts w:ascii="Book Antiqua" w:hAnsi="Book Antiqua"/>
          <w:lang w:val="es-ES_tradnl"/>
        </w:rPr>
        <w:t xml:space="preserve"> del 1</w:t>
      </w:r>
      <w:r>
        <w:rPr>
          <w:rFonts w:ascii="Book Antiqua" w:hAnsi="Book Antiqua"/>
          <w:lang w:val="es-ES_tradnl"/>
        </w:rPr>
        <w:t>5</w:t>
      </w:r>
      <w:r w:rsidRPr="00D20941">
        <w:rPr>
          <w:rFonts w:ascii="Book Antiqua" w:hAnsi="Book Antiqua"/>
          <w:lang w:val="es-ES_tradnl"/>
        </w:rPr>
        <w:t xml:space="preserve"> de </w:t>
      </w:r>
      <w:r>
        <w:rPr>
          <w:rFonts w:ascii="Book Antiqua" w:hAnsi="Book Antiqua"/>
          <w:lang w:val="es-ES_tradnl"/>
        </w:rPr>
        <w:t>mayo</w:t>
      </w:r>
      <w:r w:rsidRPr="00D20941">
        <w:rPr>
          <w:rFonts w:ascii="Book Antiqua" w:hAnsi="Book Antiqua"/>
          <w:lang w:val="es-ES_tradnl"/>
        </w:rPr>
        <w:t xml:space="preserve"> de 195</w:t>
      </w:r>
      <w:r>
        <w:rPr>
          <w:rFonts w:ascii="Book Antiqua" w:hAnsi="Book Antiqua"/>
          <w:lang w:val="es-ES_tradnl"/>
        </w:rPr>
        <w:t>1</w:t>
      </w:r>
      <w:r w:rsidRPr="00D20941">
        <w:rPr>
          <w:rFonts w:ascii="Book Antiqua" w:hAnsi="Book Antiqua"/>
          <w:lang w:val="es-ES_tradnl"/>
        </w:rPr>
        <w:t xml:space="preserve">, según enmendada, tendrá́ derecho a recibir un Bono por </w:t>
      </w:r>
      <w:r w:rsidRPr="00D20941">
        <w:rPr>
          <w:rFonts w:ascii="Book Antiqua" w:hAnsi="Book Antiqua"/>
          <w:lang w:val="es-ES_tradnl"/>
        </w:rPr>
        <w:lastRenderedPageBreak/>
        <w:t xml:space="preserve">Aumento del Costo de Vida, cuyo pago se efectuará no más tarde del 1 de </w:t>
      </w:r>
      <w:r>
        <w:rPr>
          <w:rFonts w:ascii="Book Antiqua" w:hAnsi="Book Antiqua"/>
          <w:lang w:val="es-ES_tradnl"/>
        </w:rPr>
        <w:t>enero</w:t>
      </w:r>
      <w:r w:rsidRPr="00D20941">
        <w:rPr>
          <w:rFonts w:ascii="Book Antiqua" w:hAnsi="Book Antiqua"/>
          <w:lang w:val="es-ES_tradnl"/>
        </w:rPr>
        <w:t xml:space="preserve"> de cada año. </w:t>
      </w:r>
      <w:r>
        <w:rPr>
          <w:rFonts w:ascii="Book Antiqua" w:hAnsi="Book Antiqua"/>
          <w:lang w:val="es-ES_tradnl"/>
        </w:rPr>
        <w:t xml:space="preserve">Este beneficio está subordinado a la existencia de un aumento medible no menor del punto cero uno por ciento (.01%) respecto al año natural anterior. El bono dispuesto por esta ley quedará exento de cualquier pago o retención por concepto de contribución sobre ingreso. </w:t>
      </w:r>
    </w:p>
    <w:p w14:paraId="6AEE160D" w14:textId="24D3917B"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 xml:space="preserve">Artículo 3.- </w:t>
      </w:r>
      <w:r>
        <w:rPr>
          <w:rFonts w:ascii="Book Antiqua" w:hAnsi="Book Antiqua"/>
          <w:lang w:val="es-ES_tradnl"/>
        </w:rPr>
        <w:t>Computo del Bono</w:t>
      </w:r>
    </w:p>
    <w:p w14:paraId="4AD0EAEE" w14:textId="31D79078"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 xml:space="preserve"> </w:t>
      </w:r>
      <w:r>
        <w:rPr>
          <w:rFonts w:ascii="Book Antiqua" w:hAnsi="Book Antiqua"/>
          <w:lang w:val="es-ES_tradnl"/>
        </w:rPr>
        <w:t xml:space="preserve">Para </w:t>
      </w:r>
      <w:r w:rsidR="00C54D50">
        <w:rPr>
          <w:rFonts w:ascii="Book Antiqua" w:hAnsi="Book Antiqua"/>
          <w:lang w:val="es-ES_tradnl"/>
        </w:rPr>
        <w:t>estimar</w:t>
      </w:r>
      <w:r>
        <w:rPr>
          <w:rFonts w:ascii="Book Antiqua" w:hAnsi="Book Antiqua"/>
          <w:lang w:val="es-ES_tradnl"/>
        </w:rPr>
        <w:t xml:space="preserve"> el aumento del costo de vida se usará como referencia la determinación del </w:t>
      </w:r>
      <w:r w:rsidR="00C54D50">
        <w:rPr>
          <w:rFonts w:ascii="Book Antiqua" w:hAnsi="Book Antiqua"/>
          <w:lang w:val="es-ES_tradnl"/>
        </w:rPr>
        <w:t>C</w:t>
      </w:r>
      <w:r>
        <w:rPr>
          <w:rFonts w:ascii="Book Antiqua" w:hAnsi="Book Antiqua"/>
          <w:lang w:val="es-ES_tradnl"/>
        </w:rPr>
        <w:t xml:space="preserve">omisionado de la </w:t>
      </w:r>
      <w:r w:rsidR="00C54D50">
        <w:rPr>
          <w:rFonts w:ascii="Book Antiqua" w:hAnsi="Book Antiqua"/>
          <w:lang w:val="es-ES_tradnl"/>
        </w:rPr>
        <w:t>A</w:t>
      </w:r>
      <w:r>
        <w:rPr>
          <w:rFonts w:ascii="Book Antiqua" w:hAnsi="Book Antiqua"/>
          <w:lang w:val="es-ES_tradnl"/>
        </w:rPr>
        <w:t xml:space="preserve">dministración del </w:t>
      </w:r>
      <w:r w:rsidR="00C54D50">
        <w:rPr>
          <w:rFonts w:ascii="Book Antiqua" w:hAnsi="Book Antiqua"/>
          <w:lang w:val="es-ES_tradnl"/>
        </w:rPr>
        <w:t>S</w:t>
      </w:r>
      <w:r>
        <w:rPr>
          <w:rFonts w:ascii="Book Antiqua" w:hAnsi="Book Antiqua"/>
          <w:lang w:val="es-ES_tradnl"/>
        </w:rPr>
        <w:t xml:space="preserve">eguro </w:t>
      </w:r>
      <w:r w:rsidR="00C54D50">
        <w:rPr>
          <w:rFonts w:ascii="Book Antiqua" w:hAnsi="Book Antiqua"/>
          <w:lang w:val="es-ES_tradnl"/>
        </w:rPr>
        <w:t>S</w:t>
      </w:r>
      <w:r>
        <w:rPr>
          <w:rFonts w:ascii="Book Antiqua" w:hAnsi="Book Antiqua"/>
          <w:lang w:val="es-ES_tradnl"/>
        </w:rPr>
        <w:t xml:space="preserve">ocial </w:t>
      </w:r>
      <w:r w:rsidR="00366E20">
        <w:rPr>
          <w:rFonts w:ascii="Book Antiqua" w:hAnsi="Book Antiqua"/>
          <w:lang w:val="es-ES_tradnl"/>
        </w:rPr>
        <w:t>F</w:t>
      </w:r>
      <w:r>
        <w:rPr>
          <w:rFonts w:ascii="Book Antiqua" w:hAnsi="Book Antiqua"/>
          <w:lang w:val="es-ES_tradnl"/>
        </w:rPr>
        <w:t>ederal, en cuanto al incremento anual por el costo de vida</w:t>
      </w:r>
      <w:r w:rsidR="0051037E">
        <w:rPr>
          <w:rFonts w:ascii="Book Antiqua" w:hAnsi="Book Antiqua"/>
          <w:lang w:val="es-ES_tradnl"/>
        </w:rPr>
        <w:t xml:space="preserve"> (COLA)</w:t>
      </w:r>
      <w:r>
        <w:rPr>
          <w:rFonts w:ascii="Book Antiqua" w:hAnsi="Book Antiqua"/>
          <w:lang w:val="es-ES_tradnl"/>
        </w:rPr>
        <w:t xml:space="preserve">.  Se tomará en consideración la totalidad de los beneficios o pensión recibidos durante el año </w:t>
      </w:r>
      <w:r w:rsidR="00366E20">
        <w:rPr>
          <w:rFonts w:ascii="Book Antiqua" w:hAnsi="Book Antiqua"/>
          <w:lang w:val="es-ES_tradnl"/>
        </w:rPr>
        <w:t>contributivo</w:t>
      </w:r>
      <w:r>
        <w:rPr>
          <w:rFonts w:ascii="Book Antiqua" w:hAnsi="Book Antiqua"/>
          <w:lang w:val="es-ES_tradnl"/>
        </w:rPr>
        <w:t xml:space="preserve"> anterior a la otorgación de bono, será responsabilidad del </w:t>
      </w:r>
      <w:r w:rsidR="00C54D50">
        <w:rPr>
          <w:rFonts w:ascii="Book Antiqua" w:hAnsi="Book Antiqua"/>
          <w:lang w:val="es-ES_tradnl"/>
        </w:rPr>
        <w:t>A</w:t>
      </w:r>
      <w:r>
        <w:rPr>
          <w:rFonts w:ascii="Book Antiqua" w:hAnsi="Book Antiqua"/>
          <w:lang w:val="es-ES_tradnl"/>
        </w:rPr>
        <w:t xml:space="preserve">dministrador de los </w:t>
      </w:r>
      <w:r w:rsidR="00C54D50">
        <w:rPr>
          <w:rFonts w:ascii="Book Antiqua" w:hAnsi="Book Antiqua"/>
          <w:lang w:val="es-ES_tradnl"/>
        </w:rPr>
        <w:t>S</w:t>
      </w:r>
      <w:r>
        <w:rPr>
          <w:rFonts w:ascii="Book Antiqua" w:hAnsi="Book Antiqua"/>
          <w:lang w:val="es-ES_tradnl"/>
        </w:rPr>
        <w:t xml:space="preserve">istemas de </w:t>
      </w:r>
      <w:r w:rsidR="00C54D50">
        <w:rPr>
          <w:rFonts w:ascii="Book Antiqua" w:hAnsi="Book Antiqua"/>
          <w:lang w:val="es-ES_tradnl"/>
        </w:rPr>
        <w:t>R</w:t>
      </w:r>
      <w:r>
        <w:rPr>
          <w:rFonts w:ascii="Book Antiqua" w:hAnsi="Book Antiqua"/>
          <w:lang w:val="es-ES_tradnl"/>
        </w:rPr>
        <w:t xml:space="preserve">etiro y del </w:t>
      </w:r>
      <w:r w:rsidR="00C54D50">
        <w:rPr>
          <w:rFonts w:ascii="Book Antiqua" w:hAnsi="Book Antiqua"/>
          <w:lang w:val="es-ES_tradnl"/>
        </w:rPr>
        <w:t>S</w:t>
      </w:r>
      <w:r>
        <w:rPr>
          <w:rFonts w:ascii="Book Antiqua" w:hAnsi="Book Antiqua"/>
          <w:lang w:val="es-ES_tradnl"/>
        </w:rPr>
        <w:t xml:space="preserve">ecretario de </w:t>
      </w:r>
      <w:r w:rsidR="00C54D50">
        <w:rPr>
          <w:rFonts w:ascii="Book Antiqua" w:hAnsi="Book Antiqua"/>
          <w:lang w:val="es-ES_tradnl"/>
        </w:rPr>
        <w:t>H</w:t>
      </w:r>
      <w:r>
        <w:rPr>
          <w:rFonts w:ascii="Book Antiqua" w:hAnsi="Book Antiqua"/>
          <w:lang w:val="es-ES_tradnl"/>
        </w:rPr>
        <w:t>acienda, el calcular el monto del bono</w:t>
      </w:r>
      <w:r w:rsidR="00C54D50">
        <w:rPr>
          <w:rFonts w:ascii="Book Antiqua" w:hAnsi="Book Antiqua"/>
          <w:lang w:val="es-ES_tradnl"/>
        </w:rPr>
        <w:t xml:space="preserve"> para cada beneficiario</w:t>
      </w:r>
      <w:r>
        <w:rPr>
          <w:rFonts w:ascii="Book Antiqua" w:hAnsi="Book Antiqua"/>
          <w:lang w:val="es-ES_tradnl"/>
        </w:rPr>
        <w:t xml:space="preserve">. </w:t>
      </w:r>
    </w:p>
    <w:p w14:paraId="4BD19031" w14:textId="49267651"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Artículo 4.-</w:t>
      </w:r>
      <w:r>
        <w:rPr>
          <w:rFonts w:ascii="Book Antiqua" w:hAnsi="Book Antiqua"/>
          <w:lang w:val="es-ES_tradnl"/>
        </w:rPr>
        <w:t>Financiamiento</w:t>
      </w:r>
      <w:r w:rsidRPr="00D20941">
        <w:rPr>
          <w:rFonts w:ascii="Book Antiqua" w:hAnsi="Book Antiqua"/>
          <w:lang w:val="es-ES_tradnl"/>
        </w:rPr>
        <w:t xml:space="preserve"> </w:t>
      </w:r>
    </w:p>
    <w:p w14:paraId="6B5B7589"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 xml:space="preserve">El costo del Bono se sufragará con fondos asignados en el Presupuesto General de </w:t>
      </w:r>
    </w:p>
    <w:p w14:paraId="2EB903A7" w14:textId="18017D53" w:rsidR="00D20941" w:rsidRPr="00D20941" w:rsidRDefault="00D20941" w:rsidP="00D20941">
      <w:pPr>
        <w:spacing w:line="480" w:lineRule="auto"/>
        <w:jc w:val="both"/>
        <w:rPr>
          <w:rFonts w:ascii="Book Antiqua" w:hAnsi="Book Antiqua"/>
          <w:lang w:val="es-ES_tradnl"/>
        </w:rPr>
      </w:pPr>
      <w:r w:rsidRPr="00D20941">
        <w:rPr>
          <w:rFonts w:ascii="Book Antiqua" w:hAnsi="Book Antiqua"/>
          <w:lang w:val="es-ES_tradnl"/>
        </w:rPr>
        <w:t xml:space="preserve">Gastos del Estado Libre Asociado de Puerto Rico. La </w:t>
      </w:r>
      <w:r w:rsidR="00C54D50" w:rsidRPr="00D20941">
        <w:rPr>
          <w:rFonts w:ascii="Book Antiqua" w:hAnsi="Book Antiqua"/>
          <w:lang w:val="es-ES_tradnl"/>
        </w:rPr>
        <w:t>Administración</w:t>
      </w:r>
      <w:r w:rsidRPr="00D20941">
        <w:rPr>
          <w:rFonts w:ascii="Book Antiqua" w:hAnsi="Book Antiqua"/>
          <w:lang w:val="es-ES_tradnl"/>
        </w:rPr>
        <w:t xml:space="preserve"> de los Sistemas de Retiro, </w:t>
      </w:r>
      <w:r w:rsidR="00C54D50" w:rsidRPr="00D20941">
        <w:rPr>
          <w:rFonts w:ascii="Book Antiqua" w:hAnsi="Book Antiqua"/>
          <w:lang w:val="es-ES_tradnl"/>
        </w:rPr>
        <w:t>recibirá</w:t>
      </w:r>
      <w:r w:rsidRPr="00D20941">
        <w:rPr>
          <w:rFonts w:ascii="Book Antiqua" w:hAnsi="Book Antiqua"/>
          <w:lang w:val="es-ES_tradnl"/>
        </w:rPr>
        <w:t xml:space="preserve">́ los fondos para cubrir el pago de este beneficio antes del </w:t>
      </w:r>
      <w:r w:rsidR="00C54D50" w:rsidRPr="00D20941">
        <w:rPr>
          <w:rFonts w:ascii="Book Antiqua" w:hAnsi="Book Antiqua"/>
          <w:lang w:val="es-ES_tradnl"/>
        </w:rPr>
        <w:t>día</w:t>
      </w:r>
      <w:r w:rsidRPr="00D20941">
        <w:rPr>
          <w:rFonts w:ascii="Book Antiqua" w:hAnsi="Book Antiqua"/>
          <w:lang w:val="es-ES_tradnl"/>
        </w:rPr>
        <w:t xml:space="preserve"> 1 de </w:t>
      </w:r>
      <w:r>
        <w:rPr>
          <w:rFonts w:ascii="Book Antiqua" w:hAnsi="Book Antiqua"/>
          <w:lang w:val="es-ES_tradnl"/>
        </w:rPr>
        <w:t>enero</w:t>
      </w:r>
      <w:r w:rsidRPr="00D20941">
        <w:rPr>
          <w:rFonts w:ascii="Book Antiqua" w:hAnsi="Book Antiqua"/>
          <w:lang w:val="es-ES_tradnl"/>
        </w:rPr>
        <w:t xml:space="preserve"> de cada </w:t>
      </w:r>
      <w:r w:rsidR="00C54D50" w:rsidRPr="00D20941">
        <w:rPr>
          <w:rFonts w:ascii="Book Antiqua" w:hAnsi="Book Antiqua"/>
          <w:lang w:val="es-ES_tradnl"/>
        </w:rPr>
        <w:t>año</w:t>
      </w:r>
      <w:r w:rsidRPr="00D20941">
        <w:rPr>
          <w:rFonts w:ascii="Book Antiqua" w:hAnsi="Book Antiqua"/>
          <w:lang w:val="es-ES_tradnl"/>
        </w:rPr>
        <w:t xml:space="preserve">. </w:t>
      </w:r>
    </w:p>
    <w:p w14:paraId="1E3F71E7"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Artículo 5.- Primacía de esta Ley</w:t>
      </w:r>
    </w:p>
    <w:p w14:paraId="03015DE0"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 xml:space="preserve">Esta Ley tendrá primacía sobre cualquier otra ley estatal, reglamentos, ordenes generales o cartas circulares.  </w:t>
      </w:r>
    </w:p>
    <w:p w14:paraId="667AFB44"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Artículo 6.-Separabilidad</w:t>
      </w:r>
    </w:p>
    <w:p w14:paraId="170655F2"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lastRenderedPageBreak/>
        <w:t>Si cualquier artículo, disposición, párrafo, inciso o parte de esta Ley, fuese declarada nula o inconstitucional por cualquier Tribunal competente, se entenderá que el resto de sus disposiciones mantendrán su validez y vigencia.</w:t>
      </w:r>
    </w:p>
    <w:p w14:paraId="691BE127" w14:textId="77777777" w:rsidR="00D20941" w:rsidRPr="00D20941"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Artículo 7.-Vigencia.</w:t>
      </w:r>
    </w:p>
    <w:p w14:paraId="2701498D" w14:textId="660BEE5F" w:rsidR="00B50952" w:rsidRPr="00B50952" w:rsidRDefault="00D20941" w:rsidP="00D20941">
      <w:pPr>
        <w:spacing w:line="480" w:lineRule="auto"/>
        <w:ind w:firstLine="360"/>
        <w:jc w:val="both"/>
        <w:rPr>
          <w:rFonts w:ascii="Book Antiqua" w:hAnsi="Book Antiqua"/>
          <w:lang w:val="es-ES_tradnl"/>
        </w:rPr>
      </w:pPr>
      <w:r w:rsidRPr="00D20941">
        <w:rPr>
          <w:rFonts w:ascii="Book Antiqua" w:hAnsi="Book Antiqua"/>
          <w:lang w:val="es-ES_tradnl"/>
        </w:rPr>
        <w:t>Esta Ley entrará en vigor inmediatamente luego de su aprobación</w:t>
      </w:r>
      <w:r>
        <w:rPr>
          <w:rFonts w:ascii="Book Antiqua" w:hAnsi="Book Antiqua"/>
          <w:lang w:val="es-ES_tradnl"/>
        </w:rPr>
        <w:t>.</w:t>
      </w:r>
      <w:r w:rsidRPr="00D20941">
        <w:rPr>
          <w:rFonts w:ascii="Book Antiqua" w:hAnsi="Book Antiqua"/>
          <w:lang w:val="es-ES_tradnl"/>
        </w:rPr>
        <w:t xml:space="preserve"> </w:t>
      </w:r>
    </w:p>
    <w:sectPr w:rsidR="00B50952" w:rsidRPr="00B5095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926BD" w14:textId="77777777" w:rsidR="002372F7" w:rsidRDefault="002372F7">
      <w:r>
        <w:separator/>
      </w:r>
    </w:p>
  </w:endnote>
  <w:endnote w:type="continuationSeparator" w:id="0">
    <w:p w14:paraId="66559E45" w14:textId="77777777" w:rsidR="002372F7" w:rsidRDefault="00237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9604A" w14:textId="77777777" w:rsidR="002372F7" w:rsidRDefault="002372F7">
      <w:r>
        <w:separator/>
      </w:r>
    </w:p>
  </w:footnote>
  <w:footnote w:type="continuationSeparator" w:id="0">
    <w:p w14:paraId="71F7BC9D" w14:textId="77777777" w:rsidR="002372F7" w:rsidRDefault="00237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00BE8" w14:textId="099A91C7" w:rsidR="00991049" w:rsidRDefault="00991049">
    <w:pPr>
      <w:pStyle w:val="Header"/>
      <w:jc w:val="center"/>
    </w:pPr>
    <w:r>
      <w:rPr>
        <w:rStyle w:val="PageNumber"/>
      </w:rPr>
      <w:fldChar w:fldCharType="begin"/>
    </w:r>
    <w:r>
      <w:rPr>
        <w:rStyle w:val="PageNumber"/>
      </w:rPr>
      <w:instrText xml:space="preserve"> PAGE </w:instrText>
    </w:r>
    <w:r>
      <w:rPr>
        <w:rStyle w:val="PageNumber"/>
      </w:rPr>
      <w:fldChar w:fldCharType="separate"/>
    </w:r>
    <w:r w:rsidR="00D25155">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92A90"/>
    <w:multiLevelType w:val="hybridMultilevel"/>
    <w:tmpl w:val="8894F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E27362"/>
    <w:multiLevelType w:val="multilevel"/>
    <w:tmpl w:val="8376D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890750">
    <w:abstractNumId w:val="0"/>
  </w:num>
  <w:num w:numId="2" w16cid:durableId="2016689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10E6D"/>
    <w:rsid w:val="00002226"/>
    <w:rsid w:val="0001196B"/>
    <w:rsid w:val="00020BBB"/>
    <w:rsid w:val="0002472C"/>
    <w:rsid w:val="00046004"/>
    <w:rsid w:val="00056024"/>
    <w:rsid w:val="00066BC7"/>
    <w:rsid w:val="00095AE1"/>
    <w:rsid w:val="000A478B"/>
    <w:rsid w:val="000A6B6C"/>
    <w:rsid w:val="000A72DB"/>
    <w:rsid w:val="000B0DBB"/>
    <w:rsid w:val="000B6567"/>
    <w:rsid w:val="000E13D7"/>
    <w:rsid w:val="00111E71"/>
    <w:rsid w:val="00127C6A"/>
    <w:rsid w:val="001363FE"/>
    <w:rsid w:val="00136F28"/>
    <w:rsid w:val="001507E2"/>
    <w:rsid w:val="0017132B"/>
    <w:rsid w:val="001B04A0"/>
    <w:rsid w:val="001F4CA3"/>
    <w:rsid w:val="001F612A"/>
    <w:rsid w:val="00211396"/>
    <w:rsid w:val="00226AE6"/>
    <w:rsid w:val="002372F7"/>
    <w:rsid w:val="00245B34"/>
    <w:rsid w:val="00263355"/>
    <w:rsid w:val="00273792"/>
    <w:rsid w:val="002A526A"/>
    <w:rsid w:val="002B5818"/>
    <w:rsid w:val="002C4D9C"/>
    <w:rsid w:val="002D4AC8"/>
    <w:rsid w:val="002D678A"/>
    <w:rsid w:val="002E7329"/>
    <w:rsid w:val="00320D78"/>
    <w:rsid w:val="00347453"/>
    <w:rsid w:val="00356BE5"/>
    <w:rsid w:val="0035785B"/>
    <w:rsid w:val="00361A85"/>
    <w:rsid w:val="00366E20"/>
    <w:rsid w:val="00380FE5"/>
    <w:rsid w:val="003924DD"/>
    <w:rsid w:val="00394FCB"/>
    <w:rsid w:val="003963F4"/>
    <w:rsid w:val="003B5254"/>
    <w:rsid w:val="003B75A6"/>
    <w:rsid w:val="003D0949"/>
    <w:rsid w:val="0040067E"/>
    <w:rsid w:val="004061CA"/>
    <w:rsid w:val="00413698"/>
    <w:rsid w:val="00415689"/>
    <w:rsid w:val="00424696"/>
    <w:rsid w:val="004440CB"/>
    <w:rsid w:val="004713D2"/>
    <w:rsid w:val="004C5F79"/>
    <w:rsid w:val="004D2623"/>
    <w:rsid w:val="004E2811"/>
    <w:rsid w:val="0051037E"/>
    <w:rsid w:val="005107F7"/>
    <w:rsid w:val="00521639"/>
    <w:rsid w:val="00525E9A"/>
    <w:rsid w:val="00532BB7"/>
    <w:rsid w:val="005332E4"/>
    <w:rsid w:val="0053550C"/>
    <w:rsid w:val="00541BBF"/>
    <w:rsid w:val="00555018"/>
    <w:rsid w:val="005723DC"/>
    <w:rsid w:val="005B5BC4"/>
    <w:rsid w:val="006034F4"/>
    <w:rsid w:val="006210DC"/>
    <w:rsid w:val="00635DB0"/>
    <w:rsid w:val="00640BD8"/>
    <w:rsid w:val="0064349D"/>
    <w:rsid w:val="006653BC"/>
    <w:rsid w:val="00685549"/>
    <w:rsid w:val="006B7365"/>
    <w:rsid w:val="006C2D81"/>
    <w:rsid w:val="006C7DF8"/>
    <w:rsid w:val="006D7CD0"/>
    <w:rsid w:val="00714F73"/>
    <w:rsid w:val="00732B0C"/>
    <w:rsid w:val="00735A20"/>
    <w:rsid w:val="00750FC8"/>
    <w:rsid w:val="007533D0"/>
    <w:rsid w:val="00755069"/>
    <w:rsid w:val="007B0660"/>
    <w:rsid w:val="007E3868"/>
    <w:rsid w:val="00810E6D"/>
    <w:rsid w:val="00813644"/>
    <w:rsid w:val="00820C41"/>
    <w:rsid w:val="00827100"/>
    <w:rsid w:val="00844D00"/>
    <w:rsid w:val="00850256"/>
    <w:rsid w:val="00867C76"/>
    <w:rsid w:val="00884782"/>
    <w:rsid w:val="008869C8"/>
    <w:rsid w:val="00891DF3"/>
    <w:rsid w:val="008E780A"/>
    <w:rsid w:val="008F7804"/>
    <w:rsid w:val="0091117C"/>
    <w:rsid w:val="00917442"/>
    <w:rsid w:val="0093686F"/>
    <w:rsid w:val="009404DE"/>
    <w:rsid w:val="00942BFC"/>
    <w:rsid w:val="00942FD4"/>
    <w:rsid w:val="00951997"/>
    <w:rsid w:val="0099007F"/>
    <w:rsid w:val="00990352"/>
    <w:rsid w:val="00991049"/>
    <w:rsid w:val="009A19A8"/>
    <w:rsid w:val="009A69E8"/>
    <w:rsid w:val="009D2407"/>
    <w:rsid w:val="00A03405"/>
    <w:rsid w:val="00A04F28"/>
    <w:rsid w:val="00A1528A"/>
    <w:rsid w:val="00A33918"/>
    <w:rsid w:val="00A47AAE"/>
    <w:rsid w:val="00A7629F"/>
    <w:rsid w:val="00A81FFD"/>
    <w:rsid w:val="00A8674E"/>
    <w:rsid w:val="00AA4498"/>
    <w:rsid w:val="00AE3C0B"/>
    <w:rsid w:val="00AF0CEE"/>
    <w:rsid w:val="00B06D91"/>
    <w:rsid w:val="00B20B39"/>
    <w:rsid w:val="00B4123B"/>
    <w:rsid w:val="00B432E2"/>
    <w:rsid w:val="00B50952"/>
    <w:rsid w:val="00B5669B"/>
    <w:rsid w:val="00B667AD"/>
    <w:rsid w:val="00B82CCE"/>
    <w:rsid w:val="00B84C38"/>
    <w:rsid w:val="00B864A9"/>
    <w:rsid w:val="00B86C00"/>
    <w:rsid w:val="00B947F6"/>
    <w:rsid w:val="00BA443F"/>
    <w:rsid w:val="00BA7202"/>
    <w:rsid w:val="00BD78CF"/>
    <w:rsid w:val="00BF16AA"/>
    <w:rsid w:val="00C14BCD"/>
    <w:rsid w:val="00C354B8"/>
    <w:rsid w:val="00C42000"/>
    <w:rsid w:val="00C52517"/>
    <w:rsid w:val="00C54815"/>
    <w:rsid w:val="00C54D50"/>
    <w:rsid w:val="00C60921"/>
    <w:rsid w:val="00C6128F"/>
    <w:rsid w:val="00C62936"/>
    <w:rsid w:val="00C653F2"/>
    <w:rsid w:val="00C679E6"/>
    <w:rsid w:val="00C908F9"/>
    <w:rsid w:val="00CA0917"/>
    <w:rsid w:val="00CA1099"/>
    <w:rsid w:val="00CC126F"/>
    <w:rsid w:val="00CF2599"/>
    <w:rsid w:val="00D111FD"/>
    <w:rsid w:val="00D20941"/>
    <w:rsid w:val="00D25155"/>
    <w:rsid w:val="00D417C2"/>
    <w:rsid w:val="00D60936"/>
    <w:rsid w:val="00D709EB"/>
    <w:rsid w:val="00D74714"/>
    <w:rsid w:val="00D82F3F"/>
    <w:rsid w:val="00D921C6"/>
    <w:rsid w:val="00D958C2"/>
    <w:rsid w:val="00DA0274"/>
    <w:rsid w:val="00DA418B"/>
    <w:rsid w:val="00DB35C3"/>
    <w:rsid w:val="00DB7531"/>
    <w:rsid w:val="00DC2555"/>
    <w:rsid w:val="00DF6F85"/>
    <w:rsid w:val="00E02D70"/>
    <w:rsid w:val="00E04AB5"/>
    <w:rsid w:val="00E26AE5"/>
    <w:rsid w:val="00E30494"/>
    <w:rsid w:val="00E37E22"/>
    <w:rsid w:val="00E50EEA"/>
    <w:rsid w:val="00E52F58"/>
    <w:rsid w:val="00EA2532"/>
    <w:rsid w:val="00EC26AA"/>
    <w:rsid w:val="00ED7A53"/>
    <w:rsid w:val="00EE4273"/>
    <w:rsid w:val="00EE7788"/>
    <w:rsid w:val="00F02004"/>
    <w:rsid w:val="00F02262"/>
    <w:rsid w:val="00F042CB"/>
    <w:rsid w:val="00F3226E"/>
    <w:rsid w:val="00F72B32"/>
    <w:rsid w:val="00FC0A95"/>
    <w:rsid w:val="00FC26A3"/>
    <w:rsid w:val="00FC3D9C"/>
    <w:rsid w:val="00FE0A0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59D93"/>
  <w15:docId w15:val="{9F18E4C8-F34D-4CB8-BC66-8E2C0B61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unhideWhenUsed/>
    <w:qFormat/>
    <w:rsid w:val="00C14BCD"/>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B50952"/>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B06D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D91"/>
    <w:rPr>
      <w:rFonts w:ascii="Segoe UI" w:hAnsi="Segoe UI" w:cs="Segoe UI"/>
      <w:sz w:val="18"/>
      <w:szCs w:val="18"/>
    </w:rPr>
  </w:style>
  <w:style w:type="paragraph" w:styleId="NormalWeb">
    <w:name w:val="Normal (Web)"/>
    <w:basedOn w:val="Normal"/>
    <w:uiPriority w:val="99"/>
    <w:semiHidden/>
    <w:unhideWhenUsed/>
    <w:rsid w:val="004C5F79"/>
    <w:pPr>
      <w:spacing w:before="100" w:beforeAutospacing="1" w:after="100" w:afterAutospacing="1"/>
    </w:pPr>
    <w:rPr>
      <w:szCs w:val="24"/>
    </w:rPr>
  </w:style>
  <w:style w:type="character" w:customStyle="1" w:styleId="Heading3Char">
    <w:name w:val="Heading 3 Char"/>
    <w:basedOn w:val="DefaultParagraphFont"/>
    <w:link w:val="Heading3"/>
    <w:uiPriority w:val="9"/>
    <w:rsid w:val="00C14BCD"/>
    <w:rPr>
      <w:rFonts w:asciiTheme="majorHAnsi" w:eastAsiaTheme="majorEastAsia" w:hAnsiTheme="majorHAnsi" w:cstheme="majorBidi"/>
      <w:color w:val="1F4D78" w:themeColor="accent1" w:themeShade="7F"/>
      <w:sz w:val="24"/>
      <w:szCs w:val="24"/>
    </w:rPr>
  </w:style>
  <w:style w:type="character" w:customStyle="1" w:styleId="apple-converted-space">
    <w:name w:val="apple-converted-space"/>
    <w:basedOn w:val="DefaultParagraphFont"/>
    <w:rsid w:val="00C14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10902">
      <w:bodyDiv w:val="1"/>
      <w:marLeft w:val="0"/>
      <w:marRight w:val="0"/>
      <w:marTop w:val="0"/>
      <w:marBottom w:val="0"/>
      <w:divBdr>
        <w:top w:val="none" w:sz="0" w:space="0" w:color="auto"/>
        <w:left w:val="none" w:sz="0" w:space="0" w:color="auto"/>
        <w:bottom w:val="none" w:sz="0" w:space="0" w:color="auto"/>
        <w:right w:val="none" w:sz="0" w:space="0" w:color="auto"/>
      </w:divBdr>
    </w:div>
    <w:div w:id="245891202">
      <w:bodyDiv w:val="1"/>
      <w:marLeft w:val="0"/>
      <w:marRight w:val="0"/>
      <w:marTop w:val="0"/>
      <w:marBottom w:val="0"/>
      <w:divBdr>
        <w:top w:val="none" w:sz="0" w:space="0" w:color="auto"/>
        <w:left w:val="none" w:sz="0" w:space="0" w:color="auto"/>
        <w:bottom w:val="none" w:sz="0" w:space="0" w:color="auto"/>
        <w:right w:val="none" w:sz="0" w:space="0" w:color="auto"/>
      </w:divBdr>
      <w:divsChild>
        <w:div w:id="1698584185">
          <w:marLeft w:val="0"/>
          <w:marRight w:val="0"/>
          <w:marTop w:val="0"/>
          <w:marBottom w:val="0"/>
          <w:divBdr>
            <w:top w:val="none" w:sz="0" w:space="0" w:color="auto"/>
            <w:left w:val="none" w:sz="0" w:space="0" w:color="auto"/>
            <w:bottom w:val="none" w:sz="0" w:space="0" w:color="auto"/>
            <w:right w:val="none" w:sz="0" w:space="0" w:color="auto"/>
          </w:divBdr>
          <w:divsChild>
            <w:div w:id="1887140625">
              <w:marLeft w:val="0"/>
              <w:marRight w:val="0"/>
              <w:marTop w:val="0"/>
              <w:marBottom w:val="0"/>
              <w:divBdr>
                <w:top w:val="none" w:sz="0" w:space="0" w:color="auto"/>
                <w:left w:val="none" w:sz="0" w:space="0" w:color="auto"/>
                <w:bottom w:val="none" w:sz="0" w:space="0" w:color="auto"/>
                <w:right w:val="none" w:sz="0" w:space="0" w:color="auto"/>
              </w:divBdr>
              <w:divsChild>
                <w:div w:id="29815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0570">
      <w:bodyDiv w:val="1"/>
      <w:marLeft w:val="0"/>
      <w:marRight w:val="0"/>
      <w:marTop w:val="0"/>
      <w:marBottom w:val="0"/>
      <w:divBdr>
        <w:top w:val="none" w:sz="0" w:space="0" w:color="auto"/>
        <w:left w:val="none" w:sz="0" w:space="0" w:color="auto"/>
        <w:bottom w:val="none" w:sz="0" w:space="0" w:color="auto"/>
        <w:right w:val="none" w:sz="0" w:space="0" w:color="auto"/>
      </w:divBdr>
    </w:div>
    <w:div w:id="432550821">
      <w:bodyDiv w:val="1"/>
      <w:marLeft w:val="0"/>
      <w:marRight w:val="0"/>
      <w:marTop w:val="0"/>
      <w:marBottom w:val="0"/>
      <w:divBdr>
        <w:top w:val="none" w:sz="0" w:space="0" w:color="auto"/>
        <w:left w:val="none" w:sz="0" w:space="0" w:color="auto"/>
        <w:bottom w:val="none" w:sz="0" w:space="0" w:color="auto"/>
        <w:right w:val="none" w:sz="0" w:space="0" w:color="auto"/>
      </w:divBdr>
      <w:divsChild>
        <w:div w:id="696278500">
          <w:marLeft w:val="0"/>
          <w:marRight w:val="0"/>
          <w:marTop w:val="0"/>
          <w:marBottom w:val="0"/>
          <w:divBdr>
            <w:top w:val="none" w:sz="0" w:space="0" w:color="auto"/>
            <w:left w:val="none" w:sz="0" w:space="0" w:color="auto"/>
            <w:bottom w:val="none" w:sz="0" w:space="0" w:color="auto"/>
            <w:right w:val="none" w:sz="0" w:space="0" w:color="auto"/>
          </w:divBdr>
          <w:divsChild>
            <w:div w:id="1453019456">
              <w:marLeft w:val="0"/>
              <w:marRight w:val="0"/>
              <w:marTop w:val="0"/>
              <w:marBottom w:val="0"/>
              <w:divBdr>
                <w:top w:val="none" w:sz="0" w:space="0" w:color="auto"/>
                <w:left w:val="none" w:sz="0" w:space="0" w:color="auto"/>
                <w:bottom w:val="none" w:sz="0" w:space="0" w:color="auto"/>
                <w:right w:val="none" w:sz="0" w:space="0" w:color="auto"/>
              </w:divBdr>
              <w:divsChild>
                <w:div w:id="10353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7371">
      <w:bodyDiv w:val="1"/>
      <w:marLeft w:val="0"/>
      <w:marRight w:val="0"/>
      <w:marTop w:val="0"/>
      <w:marBottom w:val="0"/>
      <w:divBdr>
        <w:top w:val="none" w:sz="0" w:space="0" w:color="auto"/>
        <w:left w:val="none" w:sz="0" w:space="0" w:color="auto"/>
        <w:bottom w:val="none" w:sz="0" w:space="0" w:color="auto"/>
        <w:right w:val="none" w:sz="0" w:space="0" w:color="auto"/>
      </w:divBdr>
    </w:div>
    <w:div w:id="523597240">
      <w:bodyDiv w:val="1"/>
      <w:marLeft w:val="0"/>
      <w:marRight w:val="0"/>
      <w:marTop w:val="0"/>
      <w:marBottom w:val="0"/>
      <w:divBdr>
        <w:top w:val="none" w:sz="0" w:space="0" w:color="auto"/>
        <w:left w:val="none" w:sz="0" w:space="0" w:color="auto"/>
        <w:bottom w:val="none" w:sz="0" w:space="0" w:color="auto"/>
        <w:right w:val="none" w:sz="0" w:space="0" w:color="auto"/>
      </w:divBdr>
      <w:divsChild>
        <w:div w:id="227887156">
          <w:marLeft w:val="0"/>
          <w:marRight w:val="0"/>
          <w:marTop w:val="0"/>
          <w:marBottom w:val="0"/>
          <w:divBdr>
            <w:top w:val="none" w:sz="0" w:space="0" w:color="auto"/>
            <w:left w:val="none" w:sz="0" w:space="0" w:color="auto"/>
            <w:bottom w:val="none" w:sz="0" w:space="0" w:color="auto"/>
            <w:right w:val="none" w:sz="0" w:space="0" w:color="auto"/>
          </w:divBdr>
          <w:divsChild>
            <w:div w:id="509108328">
              <w:marLeft w:val="0"/>
              <w:marRight w:val="0"/>
              <w:marTop w:val="0"/>
              <w:marBottom w:val="0"/>
              <w:divBdr>
                <w:top w:val="none" w:sz="0" w:space="0" w:color="auto"/>
                <w:left w:val="none" w:sz="0" w:space="0" w:color="auto"/>
                <w:bottom w:val="none" w:sz="0" w:space="0" w:color="auto"/>
                <w:right w:val="none" w:sz="0" w:space="0" w:color="auto"/>
              </w:divBdr>
              <w:divsChild>
                <w:div w:id="193154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092">
      <w:bodyDiv w:val="1"/>
      <w:marLeft w:val="0"/>
      <w:marRight w:val="0"/>
      <w:marTop w:val="0"/>
      <w:marBottom w:val="0"/>
      <w:divBdr>
        <w:top w:val="none" w:sz="0" w:space="0" w:color="auto"/>
        <w:left w:val="none" w:sz="0" w:space="0" w:color="auto"/>
        <w:bottom w:val="none" w:sz="0" w:space="0" w:color="auto"/>
        <w:right w:val="none" w:sz="0" w:space="0" w:color="auto"/>
      </w:divBdr>
      <w:divsChild>
        <w:div w:id="44642361">
          <w:marLeft w:val="0"/>
          <w:marRight w:val="0"/>
          <w:marTop w:val="0"/>
          <w:marBottom w:val="0"/>
          <w:divBdr>
            <w:top w:val="none" w:sz="0" w:space="0" w:color="auto"/>
            <w:left w:val="none" w:sz="0" w:space="0" w:color="auto"/>
            <w:bottom w:val="none" w:sz="0" w:space="0" w:color="auto"/>
            <w:right w:val="none" w:sz="0" w:space="0" w:color="auto"/>
          </w:divBdr>
          <w:divsChild>
            <w:div w:id="845704693">
              <w:marLeft w:val="0"/>
              <w:marRight w:val="0"/>
              <w:marTop w:val="0"/>
              <w:marBottom w:val="0"/>
              <w:divBdr>
                <w:top w:val="none" w:sz="0" w:space="0" w:color="auto"/>
                <w:left w:val="none" w:sz="0" w:space="0" w:color="auto"/>
                <w:bottom w:val="none" w:sz="0" w:space="0" w:color="auto"/>
                <w:right w:val="none" w:sz="0" w:space="0" w:color="auto"/>
              </w:divBdr>
              <w:divsChild>
                <w:div w:id="19930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238384">
      <w:bodyDiv w:val="1"/>
      <w:marLeft w:val="0"/>
      <w:marRight w:val="0"/>
      <w:marTop w:val="0"/>
      <w:marBottom w:val="0"/>
      <w:divBdr>
        <w:top w:val="none" w:sz="0" w:space="0" w:color="auto"/>
        <w:left w:val="none" w:sz="0" w:space="0" w:color="auto"/>
        <w:bottom w:val="none" w:sz="0" w:space="0" w:color="auto"/>
        <w:right w:val="none" w:sz="0" w:space="0" w:color="auto"/>
      </w:divBdr>
      <w:divsChild>
        <w:div w:id="1332681220">
          <w:marLeft w:val="0"/>
          <w:marRight w:val="0"/>
          <w:marTop w:val="0"/>
          <w:marBottom w:val="0"/>
          <w:divBdr>
            <w:top w:val="none" w:sz="0" w:space="0" w:color="auto"/>
            <w:left w:val="none" w:sz="0" w:space="0" w:color="auto"/>
            <w:bottom w:val="none" w:sz="0" w:space="0" w:color="auto"/>
            <w:right w:val="none" w:sz="0" w:space="0" w:color="auto"/>
          </w:divBdr>
          <w:divsChild>
            <w:div w:id="635335480">
              <w:marLeft w:val="0"/>
              <w:marRight w:val="0"/>
              <w:marTop w:val="0"/>
              <w:marBottom w:val="0"/>
              <w:divBdr>
                <w:top w:val="none" w:sz="0" w:space="0" w:color="auto"/>
                <w:left w:val="none" w:sz="0" w:space="0" w:color="auto"/>
                <w:bottom w:val="none" w:sz="0" w:space="0" w:color="auto"/>
                <w:right w:val="none" w:sz="0" w:space="0" w:color="auto"/>
              </w:divBdr>
              <w:divsChild>
                <w:div w:id="52713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52173">
      <w:bodyDiv w:val="1"/>
      <w:marLeft w:val="0"/>
      <w:marRight w:val="0"/>
      <w:marTop w:val="0"/>
      <w:marBottom w:val="0"/>
      <w:divBdr>
        <w:top w:val="none" w:sz="0" w:space="0" w:color="auto"/>
        <w:left w:val="none" w:sz="0" w:space="0" w:color="auto"/>
        <w:bottom w:val="none" w:sz="0" w:space="0" w:color="auto"/>
        <w:right w:val="none" w:sz="0" w:space="0" w:color="auto"/>
      </w:divBdr>
    </w:div>
    <w:div w:id="735276633">
      <w:bodyDiv w:val="1"/>
      <w:marLeft w:val="0"/>
      <w:marRight w:val="0"/>
      <w:marTop w:val="0"/>
      <w:marBottom w:val="0"/>
      <w:divBdr>
        <w:top w:val="none" w:sz="0" w:space="0" w:color="auto"/>
        <w:left w:val="none" w:sz="0" w:space="0" w:color="auto"/>
        <w:bottom w:val="none" w:sz="0" w:space="0" w:color="auto"/>
        <w:right w:val="none" w:sz="0" w:space="0" w:color="auto"/>
      </w:divBdr>
      <w:divsChild>
        <w:div w:id="1657802314">
          <w:marLeft w:val="0"/>
          <w:marRight w:val="0"/>
          <w:marTop w:val="0"/>
          <w:marBottom w:val="0"/>
          <w:divBdr>
            <w:top w:val="none" w:sz="0" w:space="0" w:color="auto"/>
            <w:left w:val="none" w:sz="0" w:space="0" w:color="auto"/>
            <w:bottom w:val="none" w:sz="0" w:space="0" w:color="auto"/>
            <w:right w:val="none" w:sz="0" w:space="0" w:color="auto"/>
          </w:divBdr>
          <w:divsChild>
            <w:div w:id="1182090724">
              <w:marLeft w:val="0"/>
              <w:marRight w:val="0"/>
              <w:marTop w:val="0"/>
              <w:marBottom w:val="0"/>
              <w:divBdr>
                <w:top w:val="none" w:sz="0" w:space="0" w:color="auto"/>
                <w:left w:val="none" w:sz="0" w:space="0" w:color="auto"/>
                <w:bottom w:val="none" w:sz="0" w:space="0" w:color="auto"/>
                <w:right w:val="none" w:sz="0" w:space="0" w:color="auto"/>
              </w:divBdr>
              <w:divsChild>
                <w:div w:id="172125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91466">
      <w:bodyDiv w:val="1"/>
      <w:marLeft w:val="0"/>
      <w:marRight w:val="0"/>
      <w:marTop w:val="0"/>
      <w:marBottom w:val="0"/>
      <w:divBdr>
        <w:top w:val="none" w:sz="0" w:space="0" w:color="auto"/>
        <w:left w:val="none" w:sz="0" w:space="0" w:color="auto"/>
        <w:bottom w:val="none" w:sz="0" w:space="0" w:color="auto"/>
        <w:right w:val="none" w:sz="0" w:space="0" w:color="auto"/>
      </w:divBdr>
      <w:divsChild>
        <w:div w:id="1438141226">
          <w:marLeft w:val="0"/>
          <w:marRight w:val="0"/>
          <w:marTop w:val="0"/>
          <w:marBottom w:val="0"/>
          <w:divBdr>
            <w:top w:val="none" w:sz="0" w:space="0" w:color="auto"/>
            <w:left w:val="none" w:sz="0" w:space="0" w:color="auto"/>
            <w:bottom w:val="none" w:sz="0" w:space="0" w:color="auto"/>
            <w:right w:val="none" w:sz="0" w:space="0" w:color="auto"/>
          </w:divBdr>
          <w:divsChild>
            <w:div w:id="708066714">
              <w:marLeft w:val="0"/>
              <w:marRight w:val="0"/>
              <w:marTop w:val="0"/>
              <w:marBottom w:val="0"/>
              <w:divBdr>
                <w:top w:val="none" w:sz="0" w:space="0" w:color="auto"/>
                <w:left w:val="none" w:sz="0" w:space="0" w:color="auto"/>
                <w:bottom w:val="none" w:sz="0" w:space="0" w:color="auto"/>
                <w:right w:val="none" w:sz="0" w:space="0" w:color="auto"/>
              </w:divBdr>
              <w:divsChild>
                <w:div w:id="133218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037196">
      <w:bodyDiv w:val="1"/>
      <w:marLeft w:val="0"/>
      <w:marRight w:val="0"/>
      <w:marTop w:val="0"/>
      <w:marBottom w:val="0"/>
      <w:divBdr>
        <w:top w:val="none" w:sz="0" w:space="0" w:color="auto"/>
        <w:left w:val="none" w:sz="0" w:space="0" w:color="auto"/>
        <w:bottom w:val="none" w:sz="0" w:space="0" w:color="auto"/>
        <w:right w:val="none" w:sz="0" w:space="0" w:color="auto"/>
      </w:divBdr>
    </w:div>
    <w:div w:id="894315342">
      <w:bodyDiv w:val="1"/>
      <w:marLeft w:val="0"/>
      <w:marRight w:val="0"/>
      <w:marTop w:val="0"/>
      <w:marBottom w:val="0"/>
      <w:divBdr>
        <w:top w:val="none" w:sz="0" w:space="0" w:color="auto"/>
        <w:left w:val="none" w:sz="0" w:space="0" w:color="auto"/>
        <w:bottom w:val="none" w:sz="0" w:space="0" w:color="auto"/>
        <w:right w:val="none" w:sz="0" w:space="0" w:color="auto"/>
      </w:divBdr>
      <w:divsChild>
        <w:div w:id="1838887917">
          <w:marLeft w:val="0"/>
          <w:marRight w:val="0"/>
          <w:marTop w:val="0"/>
          <w:marBottom w:val="0"/>
          <w:divBdr>
            <w:top w:val="none" w:sz="0" w:space="0" w:color="auto"/>
            <w:left w:val="none" w:sz="0" w:space="0" w:color="auto"/>
            <w:bottom w:val="none" w:sz="0" w:space="0" w:color="auto"/>
            <w:right w:val="none" w:sz="0" w:space="0" w:color="auto"/>
          </w:divBdr>
          <w:divsChild>
            <w:div w:id="1451821493">
              <w:marLeft w:val="0"/>
              <w:marRight w:val="0"/>
              <w:marTop w:val="0"/>
              <w:marBottom w:val="0"/>
              <w:divBdr>
                <w:top w:val="none" w:sz="0" w:space="0" w:color="auto"/>
                <w:left w:val="none" w:sz="0" w:space="0" w:color="auto"/>
                <w:bottom w:val="none" w:sz="0" w:space="0" w:color="auto"/>
                <w:right w:val="none" w:sz="0" w:space="0" w:color="auto"/>
              </w:divBdr>
              <w:divsChild>
                <w:div w:id="90206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70580">
      <w:bodyDiv w:val="1"/>
      <w:marLeft w:val="0"/>
      <w:marRight w:val="0"/>
      <w:marTop w:val="0"/>
      <w:marBottom w:val="0"/>
      <w:divBdr>
        <w:top w:val="none" w:sz="0" w:space="0" w:color="auto"/>
        <w:left w:val="none" w:sz="0" w:space="0" w:color="auto"/>
        <w:bottom w:val="none" w:sz="0" w:space="0" w:color="auto"/>
        <w:right w:val="none" w:sz="0" w:space="0" w:color="auto"/>
      </w:divBdr>
    </w:div>
    <w:div w:id="1441802215">
      <w:bodyDiv w:val="1"/>
      <w:marLeft w:val="0"/>
      <w:marRight w:val="0"/>
      <w:marTop w:val="0"/>
      <w:marBottom w:val="0"/>
      <w:divBdr>
        <w:top w:val="none" w:sz="0" w:space="0" w:color="auto"/>
        <w:left w:val="none" w:sz="0" w:space="0" w:color="auto"/>
        <w:bottom w:val="none" w:sz="0" w:space="0" w:color="auto"/>
        <w:right w:val="none" w:sz="0" w:space="0" w:color="auto"/>
      </w:divBdr>
      <w:divsChild>
        <w:div w:id="284700354">
          <w:marLeft w:val="0"/>
          <w:marRight w:val="0"/>
          <w:marTop w:val="0"/>
          <w:marBottom w:val="0"/>
          <w:divBdr>
            <w:top w:val="none" w:sz="0" w:space="0" w:color="auto"/>
            <w:left w:val="none" w:sz="0" w:space="0" w:color="auto"/>
            <w:bottom w:val="none" w:sz="0" w:space="0" w:color="auto"/>
            <w:right w:val="none" w:sz="0" w:space="0" w:color="auto"/>
          </w:divBdr>
          <w:divsChild>
            <w:div w:id="1344935257">
              <w:marLeft w:val="0"/>
              <w:marRight w:val="0"/>
              <w:marTop w:val="0"/>
              <w:marBottom w:val="0"/>
              <w:divBdr>
                <w:top w:val="none" w:sz="0" w:space="0" w:color="auto"/>
                <w:left w:val="none" w:sz="0" w:space="0" w:color="auto"/>
                <w:bottom w:val="none" w:sz="0" w:space="0" w:color="auto"/>
                <w:right w:val="none" w:sz="0" w:space="0" w:color="auto"/>
              </w:divBdr>
              <w:divsChild>
                <w:div w:id="16600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050759">
      <w:bodyDiv w:val="1"/>
      <w:marLeft w:val="0"/>
      <w:marRight w:val="0"/>
      <w:marTop w:val="0"/>
      <w:marBottom w:val="0"/>
      <w:divBdr>
        <w:top w:val="none" w:sz="0" w:space="0" w:color="auto"/>
        <w:left w:val="none" w:sz="0" w:space="0" w:color="auto"/>
        <w:bottom w:val="none" w:sz="0" w:space="0" w:color="auto"/>
        <w:right w:val="none" w:sz="0" w:space="0" w:color="auto"/>
      </w:divBdr>
    </w:div>
    <w:div w:id="1474715447">
      <w:bodyDiv w:val="1"/>
      <w:marLeft w:val="0"/>
      <w:marRight w:val="0"/>
      <w:marTop w:val="0"/>
      <w:marBottom w:val="0"/>
      <w:divBdr>
        <w:top w:val="none" w:sz="0" w:space="0" w:color="auto"/>
        <w:left w:val="none" w:sz="0" w:space="0" w:color="auto"/>
        <w:bottom w:val="none" w:sz="0" w:space="0" w:color="auto"/>
        <w:right w:val="none" w:sz="0" w:space="0" w:color="auto"/>
      </w:divBdr>
      <w:divsChild>
        <w:div w:id="1329214570">
          <w:marLeft w:val="0"/>
          <w:marRight w:val="0"/>
          <w:marTop w:val="0"/>
          <w:marBottom w:val="0"/>
          <w:divBdr>
            <w:top w:val="none" w:sz="0" w:space="0" w:color="auto"/>
            <w:left w:val="none" w:sz="0" w:space="0" w:color="auto"/>
            <w:bottom w:val="none" w:sz="0" w:space="0" w:color="auto"/>
            <w:right w:val="none" w:sz="0" w:space="0" w:color="auto"/>
          </w:divBdr>
          <w:divsChild>
            <w:div w:id="138377753">
              <w:marLeft w:val="0"/>
              <w:marRight w:val="0"/>
              <w:marTop w:val="0"/>
              <w:marBottom w:val="0"/>
              <w:divBdr>
                <w:top w:val="none" w:sz="0" w:space="0" w:color="auto"/>
                <w:left w:val="none" w:sz="0" w:space="0" w:color="auto"/>
                <w:bottom w:val="none" w:sz="0" w:space="0" w:color="auto"/>
                <w:right w:val="none" w:sz="0" w:space="0" w:color="auto"/>
              </w:divBdr>
              <w:divsChild>
                <w:div w:id="107697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16719">
      <w:bodyDiv w:val="1"/>
      <w:marLeft w:val="0"/>
      <w:marRight w:val="0"/>
      <w:marTop w:val="0"/>
      <w:marBottom w:val="0"/>
      <w:divBdr>
        <w:top w:val="none" w:sz="0" w:space="0" w:color="auto"/>
        <w:left w:val="none" w:sz="0" w:space="0" w:color="auto"/>
        <w:bottom w:val="none" w:sz="0" w:space="0" w:color="auto"/>
        <w:right w:val="none" w:sz="0" w:space="0" w:color="auto"/>
      </w:divBdr>
      <w:divsChild>
        <w:div w:id="5062609">
          <w:marLeft w:val="0"/>
          <w:marRight w:val="0"/>
          <w:marTop w:val="0"/>
          <w:marBottom w:val="0"/>
          <w:divBdr>
            <w:top w:val="none" w:sz="0" w:space="0" w:color="auto"/>
            <w:left w:val="none" w:sz="0" w:space="0" w:color="auto"/>
            <w:bottom w:val="none" w:sz="0" w:space="0" w:color="auto"/>
            <w:right w:val="none" w:sz="0" w:space="0" w:color="auto"/>
          </w:divBdr>
          <w:divsChild>
            <w:div w:id="1805611853">
              <w:marLeft w:val="0"/>
              <w:marRight w:val="0"/>
              <w:marTop w:val="0"/>
              <w:marBottom w:val="0"/>
              <w:divBdr>
                <w:top w:val="none" w:sz="0" w:space="0" w:color="auto"/>
                <w:left w:val="none" w:sz="0" w:space="0" w:color="auto"/>
                <w:bottom w:val="none" w:sz="0" w:space="0" w:color="auto"/>
                <w:right w:val="none" w:sz="0" w:space="0" w:color="auto"/>
              </w:divBdr>
              <w:divsChild>
                <w:div w:id="50805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071181">
      <w:bodyDiv w:val="1"/>
      <w:marLeft w:val="0"/>
      <w:marRight w:val="0"/>
      <w:marTop w:val="0"/>
      <w:marBottom w:val="0"/>
      <w:divBdr>
        <w:top w:val="none" w:sz="0" w:space="0" w:color="auto"/>
        <w:left w:val="none" w:sz="0" w:space="0" w:color="auto"/>
        <w:bottom w:val="none" w:sz="0" w:space="0" w:color="auto"/>
        <w:right w:val="none" w:sz="0" w:space="0" w:color="auto"/>
      </w:divBdr>
    </w:div>
    <w:div w:id="1980915237">
      <w:bodyDiv w:val="1"/>
      <w:marLeft w:val="0"/>
      <w:marRight w:val="0"/>
      <w:marTop w:val="0"/>
      <w:marBottom w:val="0"/>
      <w:divBdr>
        <w:top w:val="none" w:sz="0" w:space="0" w:color="auto"/>
        <w:left w:val="none" w:sz="0" w:space="0" w:color="auto"/>
        <w:bottom w:val="none" w:sz="0" w:space="0" w:color="auto"/>
        <w:right w:val="none" w:sz="0" w:space="0" w:color="auto"/>
      </w:divBdr>
      <w:divsChild>
        <w:div w:id="1393386806">
          <w:marLeft w:val="0"/>
          <w:marRight w:val="0"/>
          <w:marTop w:val="0"/>
          <w:marBottom w:val="0"/>
          <w:divBdr>
            <w:top w:val="none" w:sz="0" w:space="0" w:color="auto"/>
            <w:left w:val="none" w:sz="0" w:space="0" w:color="auto"/>
            <w:bottom w:val="none" w:sz="0" w:space="0" w:color="auto"/>
            <w:right w:val="none" w:sz="0" w:space="0" w:color="auto"/>
          </w:divBdr>
          <w:divsChild>
            <w:div w:id="1918131349">
              <w:marLeft w:val="0"/>
              <w:marRight w:val="0"/>
              <w:marTop w:val="0"/>
              <w:marBottom w:val="0"/>
              <w:divBdr>
                <w:top w:val="none" w:sz="0" w:space="0" w:color="auto"/>
                <w:left w:val="none" w:sz="0" w:space="0" w:color="auto"/>
                <w:bottom w:val="none" w:sz="0" w:space="0" w:color="auto"/>
                <w:right w:val="none" w:sz="0" w:space="0" w:color="auto"/>
              </w:divBdr>
              <w:divsChild>
                <w:div w:id="17450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999</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Froilan Cruz Soto</dc:creator>
  <cp:keywords/>
  <cp:lastModifiedBy>Bárbara Sierra Nieves</cp:lastModifiedBy>
  <cp:revision>3</cp:revision>
  <cp:lastPrinted>2021-02-04T17:50:00Z</cp:lastPrinted>
  <dcterms:created xsi:type="dcterms:W3CDTF">2025-01-14T15:04:00Z</dcterms:created>
  <dcterms:modified xsi:type="dcterms:W3CDTF">2025-01-15T17:29:00Z</dcterms:modified>
</cp:coreProperties>
</file>