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4CAD1" w14:textId="77777777" w:rsidR="00184429" w:rsidRPr="00AE4F7A" w:rsidRDefault="00184429" w:rsidP="00184429">
      <w:pPr>
        <w:spacing w:after="200" w:line="276" w:lineRule="auto"/>
        <w:jc w:val="center"/>
        <w:rPr>
          <w:rFonts w:ascii="Book Antiqua" w:eastAsia="Calibri" w:hAnsi="Book Antiqua"/>
          <w:sz w:val="28"/>
          <w:szCs w:val="28"/>
          <w:lang w:val="es-PR"/>
        </w:rPr>
      </w:pPr>
      <w:r w:rsidRPr="00AE4F7A">
        <w:rPr>
          <w:rFonts w:ascii="Book Antiqua" w:eastAsia="Calibri" w:hAnsi="Book Antiqua"/>
          <w:sz w:val="28"/>
          <w:szCs w:val="28"/>
          <w:lang w:val="es-PR"/>
        </w:rPr>
        <w:t>GOBIERNO DE PUERTO RICO</w:t>
      </w:r>
    </w:p>
    <w:tbl>
      <w:tblPr>
        <w:tblW w:w="9540" w:type="dxa"/>
        <w:tblInd w:w="-90" w:type="dxa"/>
        <w:tblLook w:val="04A0" w:firstRow="1" w:lastRow="0" w:firstColumn="1" w:lastColumn="0" w:noHBand="0" w:noVBand="1"/>
      </w:tblPr>
      <w:tblGrid>
        <w:gridCol w:w="2243"/>
        <w:gridCol w:w="4098"/>
        <w:gridCol w:w="3199"/>
      </w:tblGrid>
      <w:tr w:rsidR="00184429" w:rsidRPr="00AE4F7A" w14:paraId="329CD8BA" w14:textId="77777777" w:rsidTr="00D75135">
        <w:tc>
          <w:tcPr>
            <w:tcW w:w="2243" w:type="dxa"/>
            <w:shd w:val="clear" w:color="auto" w:fill="auto"/>
          </w:tcPr>
          <w:p w14:paraId="4F657A48" w14:textId="77777777" w:rsidR="00184429" w:rsidRPr="00AE4F7A" w:rsidRDefault="00184429" w:rsidP="00D75135">
            <w:pPr>
              <w:rPr>
                <w:rFonts w:ascii="Book Antiqua" w:eastAsia="Calibri" w:hAnsi="Book Antiqua"/>
                <w:sz w:val="22"/>
                <w:szCs w:val="22"/>
                <w:lang w:val="es-PR"/>
              </w:rPr>
            </w:pPr>
            <w:r w:rsidRPr="00AE4F7A">
              <w:rPr>
                <w:rFonts w:ascii="Book Antiqua" w:eastAsia="Calibri" w:hAnsi="Book Antiqua"/>
                <w:sz w:val="22"/>
                <w:szCs w:val="22"/>
                <w:lang w:val="es-PR"/>
              </w:rPr>
              <w:t xml:space="preserve">20 </w:t>
            </w:r>
            <w:r w:rsidRPr="00AE4F7A">
              <w:rPr>
                <w:rFonts w:ascii="Book Antiqua" w:eastAsia="Calibri" w:hAnsi="Book Antiqua"/>
                <w:sz w:val="22"/>
                <w:szCs w:val="22"/>
                <w:vertAlign w:val="superscript"/>
                <w:lang w:val="es-PR"/>
              </w:rPr>
              <w:t xml:space="preserve">ma.  </w:t>
            </w:r>
            <w:r w:rsidRPr="00AE4F7A">
              <w:rPr>
                <w:rFonts w:ascii="Book Antiqua" w:eastAsia="Calibri" w:hAnsi="Book Antiqua"/>
                <w:sz w:val="22"/>
                <w:szCs w:val="22"/>
                <w:lang w:val="es-PR"/>
              </w:rPr>
              <w:t xml:space="preserve">Asamblea </w:t>
            </w:r>
          </w:p>
          <w:p w14:paraId="03110B81" w14:textId="77777777" w:rsidR="00184429" w:rsidRPr="00AE4F7A" w:rsidRDefault="00184429" w:rsidP="00D75135">
            <w:pPr>
              <w:jc w:val="center"/>
              <w:rPr>
                <w:rFonts w:ascii="Book Antiqua" w:eastAsia="Calibri" w:hAnsi="Book Antiqua"/>
                <w:sz w:val="22"/>
                <w:szCs w:val="22"/>
                <w:lang w:val="es-PR"/>
              </w:rPr>
            </w:pPr>
            <w:r w:rsidRPr="00AE4F7A">
              <w:rPr>
                <w:rFonts w:ascii="Book Antiqua" w:eastAsia="Calibri" w:hAnsi="Book Antiqua"/>
                <w:sz w:val="22"/>
                <w:szCs w:val="22"/>
                <w:lang w:val="es-PR"/>
              </w:rPr>
              <w:t xml:space="preserve">  Legislativa</w:t>
            </w:r>
          </w:p>
        </w:tc>
        <w:tc>
          <w:tcPr>
            <w:tcW w:w="4098" w:type="dxa"/>
            <w:shd w:val="clear" w:color="auto" w:fill="auto"/>
          </w:tcPr>
          <w:p w14:paraId="3FF30431" w14:textId="77777777" w:rsidR="00184429" w:rsidRPr="00AE4F7A" w:rsidRDefault="00184429" w:rsidP="00D75135">
            <w:pPr>
              <w:jc w:val="center"/>
              <w:rPr>
                <w:rFonts w:ascii="Book Antiqua" w:eastAsia="Calibri" w:hAnsi="Book Antiqua"/>
                <w:sz w:val="22"/>
                <w:szCs w:val="22"/>
                <w:lang w:val="es-PR"/>
              </w:rPr>
            </w:pPr>
          </w:p>
          <w:p w14:paraId="68F4ABB6" w14:textId="77777777" w:rsidR="00184429" w:rsidRPr="00AE4F7A" w:rsidRDefault="00184429" w:rsidP="00D75135">
            <w:pPr>
              <w:jc w:val="center"/>
              <w:rPr>
                <w:rFonts w:ascii="Book Antiqua" w:eastAsia="Calibri" w:hAnsi="Book Antiqua"/>
                <w:sz w:val="22"/>
                <w:szCs w:val="22"/>
                <w:lang w:val="es-PR"/>
              </w:rPr>
            </w:pPr>
          </w:p>
          <w:p w14:paraId="0D6C42C8" w14:textId="77777777" w:rsidR="00184429" w:rsidRPr="00AE4F7A" w:rsidRDefault="00184429" w:rsidP="00D75135">
            <w:pPr>
              <w:jc w:val="center"/>
              <w:rPr>
                <w:rFonts w:ascii="Book Antiqua" w:eastAsia="Calibri" w:hAnsi="Book Antiqua"/>
                <w:sz w:val="22"/>
                <w:szCs w:val="22"/>
                <w:lang w:val="es-PR"/>
              </w:rPr>
            </w:pPr>
          </w:p>
        </w:tc>
        <w:tc>
          <w:tcPr>
            <w:tcW w:w="3199" w:type="dxa"/>
            <w:shd w:val="clear" w:color="auto" w:fill="auto"/>
          </w:tcPr>
          <w:p w14:paraId="0D4AA815" w14:textId="77777777" w:rsidR="00184429" w:rsidRPr="00AE4F7A" w:rsidRDefault="00184429" w:rsidP="00D75135">
            <w:pPr>
              <w:jc w:val="center"/>
              <w:rPr>
                <w:rFonts w:ascii="Book Antiqua" w:eastAsia="Calibri" w:hAnsi="Book Antiqua"/>
                <w:sz w:val="22"/>
                <w:szCs w:val="22"/>
                <w:lang w:val="es-PR"/>
              </w:rPr>
            </w:pPr>
            <w:r w:rsidRPr="00AE4F7A">
              <w:rPr>
                <w:rFonts w:ascii="Book Antiqua" w:eastAsia="Calibri" w:hAnsi="Book Antiqua"/>
                <w:sz w:val="22"/>
                <w:szCs w:val="22"/>
                <w:lang w:val="es-PR"/>
              </w:rPr>
              <w:t xml:space="preserve">                    1</w:t>
            </w:r>
            <w:r w:rsidRPr="00AE4F7A">
              <w:rPr>
                <w:rFonts w:ascii="Book Antiqua" w:eastAsia="Calibri" w:hAnsi="Book Antiqua"/>
                <w:sz w:val="22"/>
                <w:szCs w:val="22"/>
                <w:vertAlign w:val="superscript"/>
                <w:lang w:val="es-PR"/>
              </w:rPr>
              <w:t xml:space="preserve">ra. </w:t>
            </w:r>
            <w:r w:rsidRPr="00AE4F7A">
              <w:rPr>
                <w:rFonts w:ascii="Book Antiqua" w:eastAsia="Calibri" w:hAnsi="Book Antiqua"/>
                <w:sz w:val="22"/>
                <w:szCs w:val="22"/>
                <w:lang w:val="es-PR"/>
              </w:rPr>
              <w:t>Sesión</w:t>
            </w:r>
          </w:p>
          <w:p w14:paraId="041EF4AA" w14:textId="77777777" w:rsidR="00184429" w:rsidRPr="00AE4F7A" w:rsidRDefault="00184429" w:rsidP="00D75135">
            <w:pPr>
              <w:ind w:left="1440"/>
              <w:jc w:val="center"/>
              <w:rPr>
                <w:rFonts w:ascii="Book Antiqua" w:eastAsia="Calibri" w:hAnsi="Book Antiqua"/>
                <w:sz w:val="22"/>
                <w:szCs w:val="22"/>
                <w:lang w:val="es-PR"/>
              </w:rPr>
            </w:pPr>
            <w:r w:rsidRPr="00AE4F7A">
              <w:rPr>
                <w:rFonts w:ascii="Book Antiqua" w:eastAsia="Calibri" w:hAnsi="Book Antiqua"/>
                <w:sz w:val="22"/>
                <w:szCs w:val="22"/>
                <w:lang w:val="es-PR"/>
              </w:rPr>
              <w:t>Ordinaria</w:t>
            </w:r>
          </w:p>
        </w:tc>
      </w:tr>
    </w:tbl>
    <w:p w14:paraId="46332F89" w14:textId="77777777" w:rsidR="00184429" w:rsidRPr="00AE4F7A" w:rsidRDefault="00184429" w:rsidP="00184429">
      <w:pPr>
        <w:spacing w:after="200" w:line="276" w:lineRule="auto"/>
        <w:jc w:val="center"/>
        <w:rPr>
          <w:rFonts w:ascii="Book Antiqua" w:eastAsia="Calibri" w:hAnsi="Book Antiqua"/>
          <w:b/>
          <w:bCs/>
          <w:sz w:val="36"/>
          <w:szCs w:val="36"/>
          <w:lang w:val="es-PR"/>
        </w:rPr>
      </w:pPr>
      <w:r w:rsidRPr="00AE4F7A">
        <w:rPr>
          <w:rFonts w:ascii="Book Antiqua" w:eastAsia="Calibri" w:hAnsi="Book Antiqua"/>
          <w:b/>
          <w:bCs/>
          <w:sz w:val="36"/>
          <w:szCs w:val="36"/>
          <w:lang w:val="es-PR"/>
        </w:rPr>
        <w:t>CÁMARA DE REPRESENTANTES</w:t>
      </w:r>
    </w:p>
    <w:p w14:paraId="34B37E0D" w14:textId="596C2CFC" w:rsidR="00184429" w:rsidRPr="00AE4F7A" w:rsidRDefault="00184429" w:rsidP="00184429">
      <w:pPr>
        <w:spacing w:after="200" w:line="276" w:lineRule="auto"/>
        <w:jc w:val="center"/>
        <w:rPr>
          <w:rFonts w:ascii="Book Antiqua" w:eastAsia="Calibri" w:hAnsi="Book Antiqua"/>
          <w:b/>
          <w:sz w:val="52"/>
          <w:szCs w:val="22"/>
          <w:lang w:val="es-PR"/>
        </w:rPr>
      </w:pPr>
      <w:r w:rsidRPr="00AE4F7A">
        <w:rPr>
          <w:rFonts w:ascii="Book Antiqua" w:eastAsia="Calibri" w:hAnsi="Book Antiqua"/>
          <w:b/>
          <w:sz w:val="52"/>
          <w:szCs w:val="22"/>
          <w:lang w:val="es-PR"/>
        </w:rPr>
        <w:t xml:space="preserve">P. de la C. </w:t>
      </w:r>
      <w:r w:rsidR="008C0A7D">
        <w:rPr>
          <w:rFonts w:ascii="Book Antiqua" w:eastAsia="Calibri" w:hAnsi="Book Antiqua"/>
          <w:b/>
          <w:sz w:val="52"/>
          <w:szCs w:val="22"/>
          <w:lang w:val="es-PR"/>
        </w:rPr>
        <w:t>241</w:t>
      </w:r>
    </w:p>
    <w:p w14:paraId="64F7860C" w14:textId="70BC0EED" w:rsidR="00184429" w:rsidRPr="00AE4F7A" w:rsidRDefault="00184429" w:rsidP="00184429">
      <w:pPr>
        <w:spacing w:after="200" w:line="276" w:lineRule="auto"/>
        <w:jc w:val="center"/>
        <w:rPr>
          <w:rFonts w:ascii="Book Antiqua" w:eastAsia="Calibri" w:hAnsi="Book Antiqua"/>
          <w:szCs w:val="24"/>
          <w:lang w:val="es-PR"/>
        </w:rPr>
      </w:pPr>
      <w:r>
        <w:rPr>
          <w:rFonts w:ascii="Book Antiqua" w:eastAsia="Calibri" w:hAnsi="Book Antiqua"/>
          <w:szCs w:val="24"/>
          <w:lang w:val="es-PR"/>
        </w:rPr>
        <w:t>1</w:t>
      </w:r>
      <w:r w:rsidR="008C0A7D">
        <w:rPr>
          <w:rFonts w:ascii="Book Antiqua" w:eastAsia="Calibri" w:hAnsi="Book Antiqua"/>
          <w:szCs w:val="24"/>
          <w:lang w:val="es-PR"/>
        </w:rPr>
        <w:t>4</w:t>
      </w:r>
      <w:r w:rsidRPr="00AE4F7A">
        <w:rPr>
          <w:rFonts w:ascii="Book Antiqua" w:eastAsia="Calibri" w:hAnsi="Book Antiqua"/>
          <w:szCs w:val="24"/>
          <w:lang w:val="es-PR"/>
        </w:rPr>
        <w:t xml:space="preserve"> DE ENERO DE 2025</w:t>
      </w:r>
    </w:p>
    <w:p w14:paraId="06DE6596" w14:textId="77777777" w:rsidR="00184429" w:rsidRPr="00AE4F7A" w:rsidRDefault="00184429" w:rsidP="00184429">
      <w:pPr>
        <w:spacing w:after="200" w:line="276" w:lineRule="auto"/>
        <w:ind w:left="450" w:hanging="360"/>
        <w:jc w:val="center"/>
        <w:rPr>
          <w:rFonts w:ascii="Book Antiqua" w:eastAsia="Calibri" w:hAnsi="Book Antiqua"/>
          <w:szCs w:val="24"/>
          <w:lang w:val="es-PR"/>
        </w:rPr>
      </w:pPr>
      <w:r w:rsidRPr="00AE4F7A">
        <w:rPr>
          <w:rFonts w:ascii="Book Antiqua" w:eastAsia="Calibri" w:hAnsi="Book Antiqua"/>
          <w:color w:val="000000"/>
          <w:szCs w:val="24"/>
          <w:lang w:val="es-PR"/>
        </w:rPr>
        <w:t>Presentado por el representante</w:t>
      </w:r>
      <w:r>
        <w:rPr>
          <w:rFonts w:ascii="Book Antiqua" w:eastAsia="Calibri" w:hAnsi="Book Antiqua"/>
          <w:color w:val="000000"/>
          <w:szCs w:val="24"/>
          <w:lang w:val="es-PR"/>
        </w:rPr>
        <w:t xml:space="preserve"> </w:t>
      </w:r>
      <w:r>
        <w:rPr>
          <w:rFonts w:ascii="Book Antiqua" w:eastAsia="Calibri" w:hAnsi="Book Antiqua"/>
          <w:i/>
          <w:iCs/>
          <w:color w:val="000000"/>
          <w:szCs w:val="24"/>
          <w:lang w:val="es-PR"/>
        </w:rPr>
        <w:t>Román López</w:t>
      </w:r>
    </w:p>
    <w:p w14:paraId="1CEBDC33" w14:textId="1BB5B63B" w:rsidR="00184429" w:rsidRPr="00AE4F7A" w:rsidRDefault="00184429" w:rsidP="00184429">
      <w:pPr>
        <w:spacing w:after="200" w:line="276" w:lineRule="auto"/>
        <w:jc w:val="center"/>
        <w:rPr>
          <w:rFonts w:ascii="Book Antiqua" w:eastAsia="Calibri" w:hAnsi="Book Antiqua" w:cs="CG Times (W1)"/>
          <w:szCs w:val="24"/>
          <w:lang w:val="es-PR"/>
        </w:rPr>
      </w:pPr>
      <w:r w:rsidRPr="00AE4F7A">
        <w:rPr>
          <w:rFonts w:ascii="Book Antiqua" w:eastAsia="Calibri" w:hAnsi="Book Antiqua" w:cs="CG Times (W1)"/>
          <w:szCs w:val="24"/>
          <w:lang w:val="es-PR"/>
        </w:rPr>
        <w:t xml:space="preserve">Referido a </w:t>
      </w:r>
      <w:r w:rsidR="005F1C61">
        <w:rPr>
          <w:rFonts w:ascii="Book Antiqua" w:eastAsia="Calibri" w:hAnsi="Book Antiqua" w:cs="CG Times (W1)"/>
          <w:szCs w:val="24"/>
          <w:lang w:val="es-PR"/>
        </w:rPr>
        <w:t>la Comisión del Sistema de Retiro</w:t>
      </w:r>
    </w:p>
    <w:p w14:paraId="3ED211BB" w14:textId="71527159" w:rsidR="00B53E5C" w:rsidRPr="00184429" w:rsidRDefault="00184429" w:rsidP="00184429">
      <w:pPr>
        <w:jc w:val="center"/>
        <w:rPr>
          <w:rFonts w:ascii="Book Antiqua" w:hAnsi="Book Antiqua"/>
          <w:b/>
          <w:sz w:val="28"/>
          <w:lang w:val="es-ES_tradnl"/>
        </w:rPr>
      </w:pPr>
      <w:r>
        <w:rPr>
          <w:rFonts w:ascii="Book Antiqua" w:hAnsi="Book Antiqua"/>
          <w:b/>
          <w:sz w:val="28"/>
          <w:lang w:val="es-ES_tradnl"/>
        </w:rPr>
        <w:t>LEY</w:t>
      </w:r>
    </w:p>
    <w:p w14:paraId="124C8207" w14:textId="77777777" w:rsidR="00B53E5C" w:rsidRDefault="00B53E5C" w:rsidP="0044441C">
      <w:pPr>
        <w:jc w:val="both"/>
        <w:rPr>
          <w:rFonts w:ascii="Book Antiqua" w:hAnsi="Book Antiqua"/>
          <w:lang w:val="es-ES_tradnl"/>
        </w:rPr>
      </w:pPr>
    </w:p>
    <w:p w14:paraId="1C24F6B9" w14:textId="61D4F5AD" w:rsidR="00B53E5C" w:rsidRPr="00AB0B7A" w:rsidRDefault="00B53E5C" w:rsidP="0044441C">
      <w:pPr>
        <w:ind w:left="720" w:hanging="720"/>
        <w:jc w:val="both"/>
        <w:rPr>
          <w:rFonts w:ascii="Book Antiqua" w:hAnsi="Book Antiqua"/>
          <w:lang w:val="es-ES_tradnl"/>
        </w:rPr>
      </w:pPr>
      <w:r>
        <w:rPr>
          <w:rFonts w:ascii="Book Antiqua" w:hAnsi="Book Antiqua"/>
          <w:lang w:val="es-ES_tradnl"/>
        </w:rPr>
        <w:t xml:space="preserve">Para </w:t>
      </w:r>
      <w:r w:rsidRPr="00AB0B7A">
        <w:rPr>
          <w:rFonts w:ascii="Book Antiqua" w:hAnsi="Book Antiqua"/>
          <w:lang w:val="es-ES_tradnl"/>
        </w:rPr>
        <w:t>establecer la “Ley de Justicia al Retirado 2000 del Sistema de Retiro del Gobierno Puerto Rico”;</w:t>
      </w:r>
      <w:r w:rsidR="00D97B51" w:rsidRPr="00AB0B7A">
        <w:rPr>
          <w:rFonts w:ascii="Book Antiqua" w:hAnsi="Book Antiqua"/>
          <w:lang w:val="es-ES_tradnl"/>
        </w:rPr>
        <w:t xml:space="preserve"> </w:t>
      </w:r>
      <w:r w:rsidRPr="00AB0B7A">
        <w:rPr>
          <w:rFonts w:ascii="Book Antiqua" w:hAnsi="Book Antiqua"/>
          <w:lang w:val="es-ES_tradnl"/>
        </w:rPr>
        <w:t>enmendar el</w:t>
      </w:r>
      <w:r w:rsidR="00172CE5" w:rsidRPr="00AB0B7A">
        <w:rPr>
          <w:rFonts w:ascii="Book Antiqua" w:hAnsi="Book Antiqua"/>
          <w:lang w:val="es-ES_tradnl"/>
        </w:rPr>
        <w:t xml:space="preserve"> Artículo 1-105 y</w:t>
      </w:r>
      <w:r w:rsidRPr="00AB0B7A">
        <w:rPr>
          <w:rFonts w:ascii="Book Antiqua" w:hAnsi="Book Antiqua"/>
          <w:lang w:val="es-ES_tradnl"/>
        </w:rPr>
        <w:t xml:space="preserve"> Artículo 3-102, de la </w:t>
      </w:r>
      <w:bookmarkStart w:id="0" w:name="_Hlk69751325"/>
      <w:r w:rsidRPr="00AB0B7A">
        <w:rPr>
          <w:rFonts w:ascii="Book Antiqua" w:hAnsi="Book Antiqua"/>
          <w:lang w:val="es-ES_tradnl"/>
        </w:rPr>
        <w:t>Ley Núm. 447 de 15 de mayo de 1951</w:t>
      </w:r>
      <w:bookmarkEnd w:id="0"/>
      <w:r w:rsidRPr="00AB0B7A">
        <w:rPr>
          <w:rFonts w:ascii="Book Antiqua" w:hAnsi="Book Antiqua"/>
          <w:lang w:val="es-ES_tradnl"/>
        </w:rPr>
        <w:t>, según enmendada, conocida como la “Sistema de Retiro de los Empleados del Gobierno del Estado Libre Asociado de Puerto Rico”, a los fines de eliminar la irrevocabilidad de la transferencia al programa de cuentas del ahorro, y disponer sobre la notificación de esta al Administrador del Sistema de Retiro; y para otros fines relacionados.</w:t>
      </w:r>
    </w:p>
    <w:p w14:paraId="5119E92E" w14:textId="77777777" w:rsidR="00B53E5C" w:rsidRDefault="00B53E5C" w:rsidP="0044441C">
      <w:pPr>
        <w:ind w:left="360" w:hanging="360"/>
        <w:jc w:val="both"/>
        <w:rPr>
          <w:rFonts w:ascii="Book Antiqua" w:hAnsi="Book Antiqua"/>
          <w:lang w:val="es-ES_tradnl"/>
        </w:rPr>
      </w:pPr>
    </w:p>
    <w:p w14:paraId="6A13589C" w14:textId="77777777" w:rsidR="00B53E5C" w:rsidRDefault="00B53E5C" w:rsidP="0044441C">
      <w:pPr>
        <w:ind w:firstLine="360"/>
        <w:jc w:val="center"/>
        <w:rPr>
          <w:rFonts w:ascii="Book Antiqua" w:hAnsi="Book Antiqua"/>
          <w:lang w:val="es-ES_tradnl"/>
        </w:rPr>
      </w:pPr>
      <w:r>
        <w:rPr>
          <w:rFonts w:ascii="Book Antiqua" w:hAnsi="Book Antiqua"/>
          <w:lang w:val="es-ES_tradnl"/>
        </w:rPr>
        <w:t>EXPOSICIÓN DE MOTIVOS</w:t>
      </w:r>
    </w:p>
    <w:p w14:paraId="033B3CC8" w14:textId="77777777" w:rsidR="0044441C" w:rsidRDefault="0044441C" w:rsidP="0044441C">
      <w:pPr>
        <w:ind w:firstLine="360"/>
        <w:jc w:val="center"/>
        <w:rPr>
          <w:rFonts w:ascii="Book Antiqua" w:hAnsi="Book Antiqua"/>
          <w:lang w:val="es-ES_tradnl"/>
        </w:rPr>
      </w:pPr>
    </w:p>
    <w:p w14:paraId="12976B8C" w14:textId="77777777" w:rsidR="00B53E5C" w:rsidRPr="00B53E5C" w:rsidRDefault="00B53E5C" w:rsidP="0044441C">
      <w:pPr>
        <w:ind w:firstLine="360"/>
        <w:jc w:val="both"/>
        <w:rPr>
          <w:rFonts w:ascii="Book Antiqua" w:hAnsi="Book Antiqua"/>
          <w:lang w:val="es-PR"/>
        </w:rPr>
      </w:pPr>
      <w:bookmarkStart w:id="1" w:name="_Hlk8217652"/>
      <w:r w:rsidRPr="00B53E5C">
        <w:rPr>
          <w:rFonts w:ascii="Book Antiqua" w:hAnsi="Book Antiqua"/>
          <w:lang w:val="es-PR"/>
        </w:rPr>
        <w:t xml:space="preserve">La creación del Sistema de Retiro del Gobierno de Puerto Rico ha sido la medida de justicia salarial más grande e importante de nuestro gobierno. Históricamente, el servicio público ha sido un sector con salarios que no compensan el sacrificio y entrega de los empleados públicos a lo largo de su carrera. El único atisbo de compensación justa era el garantizarles un retiro digno y el disfrute de una vejez libre de preocupaciones económicas. Tristemente, los malos manejos actuariales y la falta de acción oportuna han llevado al borde del colapso a los Sistemas de Retiro del Gobierno de Puerto Rico. </w:t>
      </w:r>
    </w:p>
    <w:p w14:paraId="560597C0" w14:textId="77777777" w:rsidR="00B53E5C" w:rsidRPr="00B53E5C" w:rsidRDefault="00B53E5C" w:rsidP="0044441C">
      <w:pPr>
        <w:ind w:firstLine="360"/>
        <w:jc w:val="both"/>
        <w:rPr>
          <w:rFonts w:ascii="Book Antiqua" w:hAnsi="Book Antiqua"/>
          <w:lang w:val="es-PR"/>
        </w:rPr>
      </w:pPr>
    </w:p>
    <w:p w14:paraId="2F9B92F1" w14:textId="1CC18FC0" w:rsidR="00B53E5C" w:rsidRPr="00D97B51" w:rsidRDefault="00B53E5C" w:rsidP="0044441C">
      <w:pPr>
        <w:ind w:firstLine="360"/>
        <w:jc w:val="both"/>
        <w:rPr>
          <w:rFonts w:ascii="Book Antiqua" w:hAnsi="Book Antiqua"/>
          <w:strike/>
          <w:lang w:val="es-PR"/>
        </w:rPr>
      </w:pPr>
      <w:r w:rsidRPr="00B53E5C">
        <w:rPr>
          <w:rFonts w:ascii="Book Antiqua" w:hAnsi="Book Antiqua"/>
          <w:lang w:val="es-PR"/>
        </w:rPr>
        <w:t xml:space="preserve">A finales del siglo pasado, con la mejor intención el gobierno de Puerto Rico promulgó la Ley 305-1999, en ella se le representó a los trabajadores públicos que podrían optar por un programa de “cuentas del ahorro”. </w:t>
      </w:r>
    </w:p>
    <w:p w14:paraId="7E60FA7E" w14:textId="77777777" w:rsidR="00B53E5C" w:rsidRPr="00B53E5C" w:rsidRDefault="00B53E5C" w:rsidP="0044441C">
      <w:pPr>
        <w:ind w:firstLine="360"/>
        <w:jc w:val="both"/>
        <w:rPr>
          <w:rFonts w:ascii="Book Antiqua" w:hAnsi="Book Antiqua"/>
          <w:lang w:val="es-PR"/>
        </w:rPr>
      </w:pPr>
    </w:p>
    <w:p w14:paraId="6976B6E5" w14:textId="77777777" w:rsidR="00B53E5C" w:rsidRPr="00B53E5C" w:rsidRDefault="00B53E5C" w:rsidP="0044441C">
      <w:pPr>
        <w:ind w:firstLine="360"/>
        <w:jc w:val="both"/>
        <w:rPr>
          <w:rFonts w:ascii="Book Antiqua" w:hAnsi="Book Antiqua"/>
          <w:lang w:val="es-PR"/>
        </w:rPr>
      </w:pPr>
      <w:r w:rsidRPr="00B53E5C">
        <w:rPr>
          <w:rFonts w:ascii="Book Antiqua" w:hAnsi="Book Antiqua"/>
          <w:lang w:val="es-PR"/>
        </w:rPr>
        <w:t xml:space="preserve">Estos trabajadores han brindado sus mejores años al servicio público. El gobierno les hizo una representación distorsionada sobre la realidad de su jubilación, merecen atención y un remedio adecuado. Es en el ánimo de hacerles justicia que se nos convoca </w:t>
      </w:r>
      <w:r w:rsidRPr="00B53E5C">
        <w:rPr>
          <w:rFonts w:ascii="Book Antiqua" w:hAnsi="Book Antiqua"/>
          <w:lang w:val="es-PR"/>
        </w:rPr>
        <w:lastRenderedPageBreak/>
        <w:t xml:space="preserve">en la Asamblea Legislativa a corregir las faltas del pasado y así asegurarles mejores días a nuestros futuros jubilados.    </w:t>
      </w:r>
    </w:p>
    <w:bookmarkEnd w:id="1"/>
    <w:p w14:paraId="0A536A9A" w14:textId="77777777" w:rsidR="00B53E5C" w:rsidRPr="00B53E5C" w:rsidRDefault="00B53E5C" w:rsidP="0044441C">
      <w:pPr>
        <w:ind w:firstLine="360"/>
        <w:jc w:val="both"/>
        <w:rPr>
          <w:rFonts w:ascii="Book Antiqua" w:hAnsi="Book Antiqua"/>
          <w:lang w:val="es-PR"/>
        </w:rPr>
      </w:pPr>
    </w:p>
    <w:p w14:paraId="3D2D4FA4" w14:textId="77777777" w:rsidR="00B53E5C" w:rsidRDefault="00B53E5C" w:rsidP="0044441C">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0E551B2D" w14:textId="77777777" w:rsidR="00B53E5C" w:rsidRDefault="00B53E5C" w:rsidP="00B53E5C">
      <w:pPr>
        <w:spacing w:line="480" w:lineRule="auto"/>
        <w:jc w:val="both"/>
        <w:rPr>
          <w:rFonts w:ascii="Book Antiqua" w:hAnsi="Book Antiqua"/>
          <w:lang w:val="es-ES_tradnl"/>
        </w:rPr>
        <w:sectPr w:rsidR="00B53E5C">
          <w:headerReference w:type="default" r:id="rId10"/>
          <w:type w:val="continuous"/>
          <w:pgSz w:w="12240" w:h="15840" w:code="1"/>
          <w:pgMar w:top="1440" w:right="1440" w:bottom="1440" w:left="1440" w:header="720" w:footer="720" w:gutter="0"/>
          <w:cols w:space="720"/>
          <w:titlePg/>
        </w:sectPr>
      </w:pPr>
    </w:p>
    <w:p w14:paraId="72004398" w14:textId="77777777" w:rsidR="00B53E5C" w:rsidRPr="00AB0B7A" w:rsidRDefault="00B53E5C" w:rsidP="00B53E5C">
      <w:pPr>
        <w:spacing w:line="480" w:lineRule="auto"/>
        <w:ind w:firstLine="360"/>
        <w:jc w:val="both"/>
        <w:rPr>
          <w:rFonts w:ascii="Book Antiqua" w:hAnsi="Book Antiqua"/>
          <w:lang w:val="es-ES_tradnl"/>
        </w:rPr>
      </w:pPr>
      <w:bookmarkStart w:id="2" w:name="_Hlk36505599"/>
      <w:r w:rsidRPr="00AB0B7A">
        <w:rPr>
          <w:rFonts w:ascii="Book Antiqua" w:hAnsi="Book Antiqua"/>
          <w:lang w:val="es-ES_tradnl"/>
        </w:rPr>
        <w:t>Artículo 1.- Título</w:t>
      </w:r>
    </w:p>
    <w:bookmarkEnd w:id="2"/>
    <w:p w14:paraId="0F2E0B8B" w14:textId="77777777" w:rsidR="00B53E5C" w:rsidRPr="00AB0B7A" w:rsidRDefault="00B53E5C" w:rsidP="00B53E5C">
      <w:pPr>
        <w:spacing w:line="480" w:lineRule="auto"/>
        <w:ind w:firstLine="360"/>
        <w:jc w:val="both"/>
        <w:rPr>
          <w:rFonts w:ascii="Book Antiqua" w:hAnsi="Book Antiqua"/>
          <w:lang w:val="es-ES"/>
        </w:rPr>
      </w:pPr>
      <w:r w:rsidRPr="00AB0B7A">
        <w:rPr>
          <w:rFonts w:ascii="Book Antiqua" w:hAnsi="Book Antiqua"/>
          <w:lang w:val="es-ES"/>
        </w:rPr>
        <w:t>Esta ley se conocerá como la “Ley de Justicia al Retirado 2000</w:t>
      </w:r>
      <w:r w:rsidRPr="00AB0B7A">
        <w:rPr>
          <w:rFonts w:ascii="Book Antiqua" w:hAnsi="Book Antiqua"/>
          <w:lang w:val="es-ES_tradnl"/>
        </w:rPr>
        <w:t xml:space="preserve"> del Sistema de Retiro del Gobierno Puerto Rico”</w:t>
      </w:r>
      <w:r w:rsidRPr="00AB0B7A">
        <w:rPr>
          <w:rFonts w:ascii="Book Antiqua" w:hAnsi="Book Antiqua"/>
          <w:lang w:val="es-ES"/>
        </w:rPr>
        <w:t>.</w:t>
      </w:r>
    </w:p>
    <w:p w14:paraId="6FB4CD73" w14:textId="68A672B4" w:rsidR="00D97B51" w:rsidRPr="00AB0B7A" w:rsidRDefault="00D97B51" w:rsidP="00B53E5C">
      <w:pPr>
        <w:spacing w:line="480" w:lineRule="auto"/>
        <w:ind w:firstLine="360"/>
        <w:jc w:val="both"/>
        <w:rPr>
          <w:rFonts w:ascii="Book Antiqua" w:hAnsi="Book Antiqua"/>
          <w:lang w:val="es-ES"/>
        </w:rPr>
      </w:pPr>
      <w:r w:rsidRPr="00AB0B7A">
        <w:rPr>
          <w:rFonts w:ascii="Book Antiqua" w:hAnsi="Book Antiqua"/>
          <w:lang w:val="es-ES"/>
        </w:rPr>
        <w:t>Artículo 2. Se enmienda el inciso (a) y (</w:t>
      </w:r>
      <w:r w:rsidR="00172CE5" w:rsidRPr="00AB0B7A">
        <w:rPr>
          <w:rFonts w:ascii="Book Antiqua" w:hAnsi="Book Antiqua"/>
          <w:lang w:val="es-ES"/>
        </w:rPr>
        <w:t>d</w:t>
      </w:r>
      <w:r w:rsidRPr="00AB0B7A">
        <w:rPr>
          <w:rFonts w:ascii="Book Antiqua" w:hAnsi="Book Antiqua"/>
          <w:lang w:val="es-ES"/>
        </w:rPr>
        <w:t xml:space="preserve">) del Artículo 1-105 de la Ley Núm. 447 de 15 de mayo de 1951, según enmendada, para que lea como sigue: </w:t>
      </w:r>
    </w:p>
    <w:p w14:paraId="0657ABC1" w14:textId="418B8C28" w:rsidR="00D97B51" w:rsidRPr="00AB0B7A" w:rsidRDefault="00D97B51" w:rsidP="00B53E5C">
      <w:pPr>
        <w:spacing w:line="480" w:lineRule="auto"/>
        <w:ind w:firstLine="360"/>
        <w:jc w:val="both"/>
        <w:rPr>
          <w:rFonts w:ascii="Book Antiqua" w:hAnsi="Book Antiqua"/>
          <w:lang w:val="es-ES_tradnl"/>
        </w:rPr>
      </w:pPr>
      <w:r w:rsidRPr="00AB0B7A">
        <w:rPr>
          <w:rFonts w:ascii="Book Antiqua" w:hAnsi="Book Antiqua"/>
          <w:lang w:val="es-ES"/>
        </w:rPr>
        <w:t>“</w:t>
      </w:r>
      <w:r w:rsidRPr="00AB0B7A">
        <w:rPr>
          <w:rFonts w:ascii="Book Antiqua" w:hAnsi="Book Antiqua"/>
          <w:lang w:val="es-ES_tradnl"/>
        </w:rPr>
        <w:t>Artículo 1-105. — Matrícula. —</w:t>
      </w:r>
    </w:p>
    <w:p w14:paraId="5E8B11A1" w14:textId="33E8C4CD" w:rsidR="00AE643F" w:rsidRPr="00AB0B7A" w:rsidRDefault="00AE643F" w:rsidP="00AE643F">
      <w:pPr>
        <w:pStyle w:val="ListParagraph"/>
        <w:numPr>
          <w:ilvl w:val="0"/>
          <w:numId w:val="1"/>
        </w:numPr>
        <w:spacing w:line="480" w:lineRule="auto"/>
        <w:jc w:val="both"/>
        <w:rPr>
          <w:rFonts w:ascii="Book Antiqua" w:hAnsi="Book Antiqua"/>
          <w:lang w:val="es-PR"/>
        </w:rPr>
      </w:pPr>
      <w:r w:rsidRPr="00AB0B7A">
        <w:rPr>
          <w:rFonts w:ascii="Book Antiqua" w:hAnsi="Book Antiqua"/>
          <w:lang w:val="es-PR"/>
        </w:rPr>
        <w:t>La matrícula del Sistema estará compuesta por toda persona que ocupe un puesto regular como empleado de carrera, de confianza, transitorio o con status probatorio en cualquier departamento ejecutivo, agencia, administración, junta, comisión, oficina o instrumentalidad de la Rama Ejecutiva; por los Jueces de Paz y los empleados y funcionarios regulares de la Rama Judicial, y por todos los funcionarios y empleados regulares de los municipios. Los empleados municipales transitorios no serán participantes del Sistema de Retiro.</w:t>
      </w:r>
    </w:p>
    <w:p w14:paraId="049A0B9D" w14:textId="29C49A2D" w:rsidR="00AE643F" w:rsidRPr="00AB0B7A" w:rsidRDefault="00AE643F" w:rsidP="00AE643F">
      <w:pPr>
        <w:pStyle w:val="ListParagraph"/>
        <w:numPr>
          <w:ilvl w:val="0"/>
          <w:numId w:val="1"/>
        </w:numPr>
        <w:spacing w:line="480" w:lineRule="auto"/>
        <w:jc w:val="both"/>
        <w:rPr>
          <w:rFonts w:ascii="Book Antiqua" w:hAnsi="Book Antiqua"/>
          <w:lang w:val="es-ES"/>
        </w:rPr>
      </w:pPr>
      <w:r w:rsidRPr="00AB0B7A">
        <w:rPr>
          <w:rFonts w:ascii="Book Antiqua" w:hAnsi="Book Antiqua"/>
          <w:lang w:val="es-ES"/>
        </w:rPr>
        <w:t>…</w:t>
      </w:r>
    </w:p>
    <w:p w14:paraId="5CB3CA7C" w14:textId="1CFED615" w:rsidR="00AE643F" w:rsidRPr="00AB0B7A" w:rsidRDefault="00AE643F" w:rsidP="00AE643F">
      <w:pPr>
        <w:pStyle w:val="ListParagraph"/>
        <w:numPr>
          <w:ilvl w:val="0"/>
          <w:numId w:val="1"/>
        </w:numPr>
        <w:spacing w:line="480" w:lineRule="auto"/>
        <w:jc w:val="both"/>
        <w:rPr>
          <w:rFonts w:ascii="Book Antiqua" w:hAnsi="Book Antiqua"/>
          <w:lang w:val="es-ES"/>
        </w:rPr>
      </w:pPr>
      <w:r w:rsidRPr="00AB0B7A">
        <w:rPr>
          <w:rFonts w:ascii="Book Antiqua" w:hAnsi="Book Antiqua"/>
          <w:lang w:val="es-ES"/>
        </w:rPr>
        <w:t>…</w:t>
      </w:r>
    </w:p>
    <w:p w14:paraId="1B5B3698" w14:textId="29FCA5F5" w:rsidR="00172CE5" w:rsidRPr="00AB0B7A" w:rsidRDefault="00AE643F" w:rsidP="00172CE5">
      <w:pPr>
        <w:pStyle w:val="ListParagraph"/>
        <w:numPr>
          <w:ilvl w:val="0"/>
          <w:numId w:val="1"/>
        </w:numPr>
        <w:spacing w:line="480" w:lineRule="auto"/>
        <w:jc w:val="both"/>
        <w:rPr>
          <w:rFonts w:ascii="Book Antiqua" w:hAnsi="Book Antiqua"/>
          <w:lang w:val="es-ES"/>
        </w:rPr>
      </w:pPr>
      <w:r w:rsidRPr="00AB0B7A">
        <w:rPr>
          <w:rFonts w:ascii="Book Antiqua" w:hAnsi="Book Antiqua"/>
          <w:lang w:val="es-PR"/>
        </w:rPr>
        <w:t xml:space="preserve">El ingreso al Sistema de Retiro será opcional para el Gobernador de Puerto Rico, para todos los secretarios de Gobierno, alcaldes, alcaldesas, empleados de confianza municipales, jefes de agencia e instrumentalidades públicas, los ayudantes del Gobernador, los miembros de comisiones y juntas nombrados por </w:t>
      </w:r>
      <w:r w:rsidRPr="00AB0B7A">
        <w:rPr>
          <w:rFonts w:ascii="Book Antiqua" w:hAnsi="Book Antiqua"/>
          <w:lang w:val="es-PR"/>
        </w:rPr>
        <w:lastRenderedPageBreak/>
        <w:t>el Gobernador, para los miembros de la Asamblea Legislativa de Puerto Rico, para los empleados y funcionarios de la Asamblea Legislativa, de la Oficina de Servicios Legislativos y de la Superintendencia del Capitolio y para el Contralor de Puerto Rico. Estos funcionarios podrán en cualquier momento solicitar darse de baja o reingresar al Sistema. El período de servicios prestados al Gobierno mientras estuvieren separados del Sistema se les abonará como servicio acreditable siempre que dichos funcionarios paguen al Sistema las aportaciones individuales y patronales más los intereses que correspondan al período de separación. Los ejecutivos municipales y empleados de confianza que actualmente deseen retirar sus aportaciones podr</w:t>
      </w:r>
      <w:r w:rsidR="00172CE5" w:rsidRPr="00AB0B7A">
        <w:rPr>
          <w:rFonts w:ascii="Book Antiqua" w:hAnsi="Book Antiqua"/>
          <w:lang w:val="es-PR"/>
        </w:rPr>
        <w:t>á</w:t>
      </w:r>
      <w:r w:rsidRPr="00AB0B7A">
        <w:rPr>
          <w:rFonts w:ascii="Book Antiqua" w:hAnsi="Book Antiqua"/>
          <w:lang w:val="es-PR"/>
        </w:rPr>
        <w:t>n hacerlo sin penalidad ni restricciones algunas</w:t>
      </w:r>
      <w:r w:rsidR="00172CE5" w:rsidRPr="00AB0B7A">
        <w:rPr>
          <w:rFonts w:ascii="Book Antiqua" w:hAnsi="Book Antiqua"/>
          <w:lang w:val="es-PR"/>
        </w:rPr>
        <w:t>.”</w:t>
      </w:r>
    </w:p>
    <w:p w14:paraId="0CD3B78A" w14:textId="04657111" w:rsidR="00172CE5" w:rsidRPr="00AB0B7A" w:rsidRDefault="00172CE5" w:rsidP="00172CE5">
      <w:pPr>
        <w:pStyle w:val="ListParagraph"/>
        <w:numPr>
          <w:ilvl w:val="0"/>
          <w:numId w:val="1"/>
        </w:numPr>
        <w:spacing w:line="480" w:lineRule="auto"/>
        <w:jc w:val="both"/>
        <w:rPr>
          <w:rFonts w:ascii="Book Antiqua" w:hAnsi="Book Antiqua"/>
          <w:lang w:val="es-ES"/>
        </w:rPr>
      </w:pPr>
      <w:r w:rsidRPr="00AB0B7A">
        <w:rPr>
          <w:rFonts w:ascii="Book Antiqua" w:hAnsi="Book Antiqua"/>
        </w:rPr>
        <w:t>…</w:t>
      </w:r>
    </w:p>
    <w:p w14:paraId="4D0FB727" w14:textId="544EB5F4" w:rsidR="00172CE5" w:rsidRPr="00AB0B7A" w:rsidRDefault="00172CE5" w:rsidP="00172CE5">
      <w:pPr>
        <w:pStyle w:val="ListParagraph"/>
        <w:spacing w:line="480" w:lineRule="auto"/>
        <w:jc w:val="both"/>
        <w:rPr>
          <w:rFonts w:ascii="Book Antiqua" w:hAnsi="Book Antiqua"/>
          <w:lang w:val="es-ES"/>
        </w:rPr>
      </w:pPr>
      <w:r w:rsidRPr="00AB0B7A">
        <w:rPr>
          <w:rFonts w:ascii="Book Antiqua" w:hAnsi="Book Antiqua"/>
        </w:rPr>
        <w:t>…</w:t>
      </w:r>
    </w:p>
    <w:p w14:paraId="747D8792" w14:textId="43BCEA26" w:rsidR="00B53E5C" w:rsidRPr="00AB0B7A" w:rsidRDefault="00B53E5C" w:rsidP="00B53E5C">
      <w:pPr>
        <w:spacing w:line="480" w:lineRule="auto"/>
        <w:ind w:firstLine="360"/>
        <w:jc w:val="both"/>
        <w:rPr>
          <w:rFonts w:ascii="Book Antiqua" w:hAnsi="Book Antiqua"/>
          <w:lang w:val="es-ES"/>
        </w:rPr>
      </w:pPr>
      <w:bookmarkStart w:id="3" w:name="_Hlk36506199"/>
      <w:r w:rsidRPr="00AB0B7A">
        <w:rPr>
          <w:rFonts w:ascii="Book Antiqua" w:hAnsi="Book Antiqua"/>
          <w:lang w:val="es-ES_tradnl"/>
        </w:rPr>
        <w:t xml:space="preserve">Artículo </w:t>
      </w:r>
      <w:r w:rsidR="00D97B51" w:rsidRPr="00AB0B7A">
        <w:rPr>
          <w:rFonts w:ascii="Book Antiqua" w:hAnsi="Book Antiqua"/>
          <w:lang w:val="es-ES_tradnl"/>
        </w:rPr>
        <w:t>3</w:t>
      </w:r>
      <w:r w:rsidRPr="00AB0B7A">
        <w:rPr>
          <w:rFonts w:ascii="Book Antiqua" w:hAnsi="Book Antiqua"/>
          <w:lang w:val="es-ES_tradnl"/>
        </w:rPr>
        <w:t>.-</w:t>
      </w:r>
      <w:r w:rsidRPr="00AB0B7A">
        <w:rPr>
          <w:rFonts w:ascii="Book Antiqua" w:hAnsi="Book Antiqua"/>
          <w:lang w:val="es-ES"/>
        </w:rPr>
        <w:t xml:space="preserve">Se enmienda el Artículo 3-102 de la </w:t>
      </w:r>
      <w:r w:rsidRPr="00AB0B7A">
        <w:rPr>
          <w:rFonts w:ascii="Book Antiqua" w:hAnsi="Book Antiqua"/>
          <w:lang w:val="es-ES_tradnl"/>
        </w:rPr>
        <w:t>Ley Núm. 447 de 15 de mayo de 1951</w:t>
      </w:r>
      <w:r w:rsidRPr="00AB0B7A">
        <w:rPr>
          <w:rFonts w:ascii="Book Antiqua" w:hAnsi="Book Antiqua"/>
          <w:lang w:val="es-ES"/>
        </w:rPr>
        <w:t xml:space="preserve">, según enmendada, para que lea como sigue: </w:t>
      </w:r>
    </w:p>
    <w:bookmarkEnd w:id="3"/>
    <w:p w14:paraId="0EC6CF19" w14:textId="77777777" w:rsidR="00B53E5C" w:rsidRPr="00AB0B7A" w:rsidRDefault="00B53E5C" w:rsidP="00B53E5C">
      <w:pPr>
        <w:spacing w:line="480" w:lineRule="auto"/>
        <w:ind w:firstLine="360"/>
        <w:jc w:val="both"/>
        <w:rPr>
          <w:rFonts w:ascii="Book Antiqua" w:hAnsi="Book Antiqua"/>
          <w:lang w:val="es-ES"/>
        </w:rPr>
      </w:pPr>
      <w:r w:rsidRPr="00AB0B7A">
        <w:rPr>
          <w:rFonts w:ascii="Book Antiqua" w:hAnsi="Book Antiqua"/>
          <w:lang w:val="es-PR"/>
        </w:rPr>
        <w:t xml:space="preserve">“Artículo 3-102. — Transferencia al Programa. </w:t>
      </w:r>
    </w:p>
    <w:p w14:paraId="7C03AAA6" w14:textId="7267C53F" w:rsidR="00B53E5C" w:rsidRPr="00AB0B7A" w:rsidRDefault="00B53E5C" w:rsidP="00B53E5C">
      <w:pPr>
        <w:spacing w:line="480" w:lineRule="auto"/>
        <w:ind w:firstLine="360"/>
        <w:jc w:val="both"/>
        <w:rPr>
          <w:rFonts w:ascii="Book Antiqua" w:hAnsi="Book Antiqua"/>
          <w:lang w:val="es-PR"/>
        </w:rPr>
      </w:pPr>
      <w:r w:rsidRPr="00AB0B7A">
        <w:rPr>
          <w:rFonts w:ascii="Book Antiqua" w:hAnsi="Book Antiqua"/>
          <w:lang w:val="es-PR"/>
        </w:rPr>
        <w:t>(a)</w:t>
      </w:r>
      <w:r w:rsidRPr="00AB0B7A">
        <w:rPr>
          <w:rFonts w:ascii="Book Antiqua" w:hAnsi="Book Antiqua"/>
          <w:lang w:val="es-PR"/>
        </w:rPr>
        <w:tab/>
        <w:t>Transferencia al Programa. Todo empleado que sea participante del Sistema al 31 de diciembre de 1999, y todo empleado que sea miembro de un sistema de retiro del patrono al 31 de diciembre de 1999 y que con posterioridad a esa fecha advenga participante del Sistema, podrá́ optar, efectivo el primero de enero del 2000 en la fecha de comienzo de participaci</w:t>
      </w:r>
      <w:r w:rsidRPr="00AB0B7A">
        <w:rPr>
          <w:rFonts w:ascii="Book Antiqua" w:hAnsi="Book Antiqua" w:cs="Book Antiqua"/>
          <w:lang w:val="es-PR"/>
        </w:rPr>
        <w:t>ó</w:t>
      </w:r>
      <w:r w:rsidRPr="00AB0B7A">
        <w:rPr>
          <w:rFonts w:ascii="Book Antiqua" w:hAnsi="Book Antiqua"/>
          <w:lang w:val="es-PR"/>
        </w:rPr>
        <w:t xml:space="preserve">n en el Sistema, respectivamente, conforme se dispone en este Articulo, por renunciar a los beneficios provistos bajo este capítulo y cualquier otra ley que suplemente este capítulo y comenzar su participación en el Programa. La </w:t>
      </w:r>
      <w:r w:rsidRPr="00AB0B7A">
        <w:rPr>
          <w:rFonts w:ascii="Book Antiqua" w:hAnsi="Book Antiqua"/>
          <w:lang w:val="es-PR"/>
        </w:rPr>
        <w:lastRenderedPageBreak/>
        <w:t>determinación de un empleado de ejercer o no la opción de transferencia es revocable. La revocación debe ser notificada por escrito al Administrador, previo a solicitar acogerse a los beneficios provistos en esta ley. El Administrador no tendrá discreción para rechazar una notificación de revocación oportuna. La cuenta de ahorro de todo empleado que participa en el Sistema o cualquier otro sistema del patrono y opte por cambiarse al Programa será́ acreditada inicialmente con las cantidades dispuestas en el Art</w:t>
      </w:r>
      <w:r w:rsidRPr="00AB0B7A">
        <w:rPr>
          <w:rFonts w:ascii="Book Antiqua" w:hAnsi="Book Antiqua" w:cs="Book Antiqua"/>
          <w:lang w:val="es-PR"/>
        </w:rPr>
        <w:t>í</w:t>
      </w:r>
      <w:r w:rsidRPr="00AB0B7A">
        <w:rPr>
          <w:rFonts w:ascii="Book Antiqua" w:hAnsi="Book Antiqua"/>
          <w:lang w:val="es-PR"/>
        </w:rPr>
        <w:t>culo 3-107 (a) (1) de este Cap</w:t>
      </w:r>
      <w:r w:rsidRPr="00AB0B7A">
        <w:rPr>
          <w:rFonts w:ascii="Book Antiqua" w:hAnsi="Book Antiqua" w:cs="Book Antiqua"/>
          <w:lang w:val="es-PR"/>
        </w:rPr>
        <w:t>í</w:t>
      </w:r>
      <w:r w:rsidRPr="00AB0B7A">
        <w:rPr>
          <w:rFonts w:ascii="Book Antiqua" w:hAnsi="Book Antiqua"/>
          <w:lang w:val="es-PR"/>
        </w:rPr>
        <w:t>tulo.</w:t>
      </w:r>
      <w:r w:rsidRPr="00AB0B7A">
        <w:rPr>
          <w:rFonts w:ascii="Book Antiqua" w:hAnsi="Book Antiqua" w:cs="Book Antiqua"/>
          <w:lang w:val="es-PR"/>
        </w:rPr>
        <w:t>”</w:t>
      </w:r>
    </w:p>
    <w:p w14:paraId="37549B5C" w14:textId="5D43070D" w:rsidR="00B53E5C" w:rsidRPr="00AB0B7A" w:rsidRDefault="00B53E5C" w:rsidP="00B53E5C">
      <w:pPr>
        <w:spacing w:line="480" w:lineRule="auto"/>
        <w:ind w:firstLine="360"/>
        <w:jc w:val="both"/>
        <w:rPr>
          <w:rFonts w:ascii="Book Antiqua" w:hAnsi="Book Antiqua"/>
          <w:lang w:val="es-ES_tradnl"/>
        </w:rPr>
      </w:pPr>
      <w:r w:rsidRPr="00AB0B7A">
        <w:rPr>
          <w:rFonts w:ascii="Book Antiqua" w:hAnsi="Book Antiqua"/>
          <w:lang w:val="es-ES_tradnl"/>
        </w:rPr>
        <w:tab/>
        <w:t xml:space="preserve">Artículo </w:t>
      </w:r>
      <w:r w:rsidR="00172CE5" w:rsidRPr="00AB0B7A">
        <w:rPr>
          <w:rFonts w:ascii="Book Antiqua" w:hAnsi="Book Antiqua"/>
          <w:lang w:val="es-ES_tradnl"/>
        </w:rPr>
        <w:t>4</w:t>
      </w:r>
      <w:r w:rsidRPr="00AB0B7A">
        <w:rPr>
          <w:rFonts w:ascii="Book Antiqua" w:hAnsi="Book Antiqua"/>
          <w:lang w:val="es-ES_tradnl"/>
        </w:rPr>
        <w:t xml:space="preserve">.-Por la presente queda derogada cualquier ley, regla de procedimiento o norma que se encuentre en conflicto con las disposiciones aquí contenidas. </w:t>
      </w:r>
    </w:p>
    <w:p w14:paraId="43D8F4A9" w14:textId="72D7FA51" w:rsidR="00B53E5C" w:rsidRPr="00AB0B7A" w:rsidRDefault="00B53E5C" w:rsidP="00B53E5C">
      <w:pPr>
        <w:spacing w:line="480" w:lineRule="auto"/>
        <w:ind w:firstLine="360"/>
        <w:jc w:val="both"/>
        <w:rPr>
          <w:rFonts w:ascii="Book Antiqua" w:hAnsi="Book Antiqua"/>
          <w:lang w:val="es-ES_tradnl"/>
        </w:rPr>
      </w:pPr>
      <w:r w:rsidRPr="00AB0B7A">
        <w:rPr>
          <w:rFonts w:ascii="Book Antiqua" w:hAnsi="Book Antiqua"/>
          <w:lang w:val="es-ES_tradnl"/>
        </w:rPr>
        <w:tab/>
        <w:t xml:space="preserve">Artículo </w:t>
      </w:r>
      <w:r w:rsidR="00172CE5" w:rsidRPr="00AB0B7A">
        <w:rPr>
          <w:rFonts w:ascii="Book Antiqua" w:hAnsi="Book Antiqua"/>
          <w:lang w:val="es-ES_tradnl"/>
        </w:rPr>
        <w:t>5</w:t>
      </w:r>
      <w:r w:rsidRPr="00AB0B7A">
        <w:rPr>
          <w:rFonts w:ascii="Book Antiqua" w:hAnsi="Book Antiqua"/>
          <w:lang w:val="es-ES_tradnl"/>
        </w:rPr>
        <w:t>.-Separabilidad.</w:t>
      </w:r>
    </w:p>
    <w:p w14:paraId="752EC1DF" w14:textId="77777777" w:rsidR="00B53E5C" w:rsidRPr="00AB0B7A" w:rsidRDefault="00B53E5C" w:rsidP="00B53E5C">
      <w:pPr>
        <w:spacing w:line="480" w:lineRule="auto"/>
        <w:ind w:firstLine="360"/>
        <w:jc w:val="both"/>
        <w:rPr>
          <w:rFonts w:ascii="Book Antiqua" w:hAnsi="Book Antiqua"/>
          <w:lang w:val="es-ES_tradnl"/>
        </w:rPr>
      </w:pPr>
      <w:r w:rsidRPr="00AB0B7A">
        <w:rPr>
          <w:rFonts w:ascii="Book Antiqua" w:hAnsi="Book Antiqua"/>
          <w:lang w:val="es-ES_tradnl"/>
        </w:rPr>
        <w:tab/>
        <w:t xml:space="preserve">Si cualquier parte de esta Ley fuere declarada inconstitucional por un tribunal competente, la sentencia a tal efecto dictada no afectará, perjudicará ni invalidará el resto de esta Ley. El efecto de dicha sentencia quedara limitado a la parte de esta que así hubiere sido declarada inconstitucional.  </w:t>
      </w:r>
    </w:p>
    <w:p w14:paraId="1DD076FC" w14:textId="74BF9B5F" w:rsidR="00B53E5C" w:rsidRPr="00AB0B7A" w:rsidRDefault="00B53E5C" w:rsidP="00B53E5C">
      <w:pPr>
        <w:spacing w:line="480" w:lineRule="auto"/>
        <w:ind w:firstLine="360"/>
        <w:jc w:val="both"/>
        <w:rPr>
          <w:rFonts w:ascii="Book Antiqua" w:hAnsi="Book Antiqua"/>
          <w:lang w:val="es-ES_tradnl"/>
        </w:rPr>
      </w:pPr>
      <w:r w:rsidRPr="00AB0B7A">
        <w:rPr>
          <w:rFonts w:ascii="Book Antiqua" w:hAnsi="Book Antiqua"/>
          <w:lang w:val="es-ES_tradnl"/>
        </w:rPr>
        <w:tab/>
        <w:t xml:space="preserve">Artículo </w:t>
      </w:r>
      <w:r w:rsidR="00172CE5" w:rsidRPr="00AB0B7A">
        <w:rPr>
          <w:rFonts w:ascii="Book Antiqua" w:hAnsi="Book Antiqua"/>
          <w:lang w:val="es-ES_tradnl"/>
        </w:rPr>
        <w:t>6</w:t>
      </w:r>
      <w:r w:rsidRPr="00AB0B7A">
        <w:rPr>
          <w:rFonts w:ascii="Book Antiqua" w:hAnsi="Book Antiqua"/>
          <w:lang w:val="es-ES_tradnl"/>
        </w:rPr>
        <w:t>.-Vigencia.</w:t>
      </w:r>
    </w:p>
    <w:p w14:paraId="61715578" w14:textId="77777777" w:rsidR="00B53E5C" w:rsidRPr="00B53E5C" w:rsidRDefault="00B53E5C" w:rsidP="00B53E5C">
      <w:pPr>
        <w:spacing w:line="480" w:lineRule="auto"/>
        <w:ind w:firstLine="360"/>
        <w:jc w:val="both"/>
        <w:rPr>
          <w:rFonts w:ascii="Book Antiqua" w:hAnsi="Book Antiqua"/>
          <w:lang w:val="es-ES_tradnl"/>
        </w:rPr>
      </w:pPr>
      <w:r w:rsidRPr="00AB0B7A">
        <w:rPr>
          <w:rFonts w:ascii="Book Antiqua" w:hAnsi="Book Antiqua"/>
          <w:lang w:val="es-ES_tradnl"/>
        </w:rPr>
        <w:t>Esta Ley entrará en vigor inmediatamente después de su a</w:t>
      </w:r>
      <w:r w:rsidRPr="00B53E5C">
        <w:rPr>
          <w:rFonts w:ascii="Book Antiqua" w:hAnsi="Book Antiqua"/>
          <w:lang w:val="es-ES_tradnl"/>
        </w:rPr>
        <w:t xml:space="preserve">probación. </w:t>
      </w:r>
    </w:p>
    <w:sectPr w:rsidR="00B53E5C" w:rsidRPr="00B53E5C"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04DDD" w14:textId="77777777" w:rsidR="00F61077" w:rsidRDefault="00F61077">
      <w:r>
        <w:separator/>
      </w:r>
    </w:p>
  </w:endnote>
  <w:endnote w:type="continuationSeparator" w:id="0">
    <w:p w14:paraId="1C776FCA" w14:textId="77777777" w:rsidR="00F61077" w:rsidRDefault="00F61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BA7E2" w14:textId="77777777" w:rsidR="00F61077" w:rsidRDefault="00F61077">
      <w:r>
        <w:separator/>
      </w:r>
    </w:p>
  </w:footnote>
  <w:footnote w:type="continuationSeparator" w:id="0">
    <w:p w14:paraId="0DC861DB" w14:textId="77777777" w:rsidR="00F61077" w:rsidRDefault="00F610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9337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A14A2">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9F4AC9"/>
    <w:multiLevelType w:val="hybridMultilevel"/>
    <w:tmpl w:val="D85CF662"/>
    <w:lvl w:ilvl="0" w:tplc="C542317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5256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53E5C"/>
    <w:rsid w:val="00020BBB"/>
    <w:rsid w:val="00047DF0"/>
    <w:rsid w:val="00056024"/>
    <w:rsid w:val="00095AE1"/>
    <w:rsid w:val="000A6B6C"/>
    <w:rsid w:val="000B0DBB"/>
    <w:rsid w:val="000B6567"/>
    <w:rsid w:val="00111E71"/>
    <w:rsid w:val="00127C6A"/>
    <w:rsid w:val="001363FE"/>
    <w:rsid w:val="0017132B"/>
    <w:rsid w:val="00172CE5"/>
    <w:rsid w:val="00184429"/>
    <w:rsid w:val="00194D29"/>
    <w:rsid w:val="001F4CA3"/>
    <w:rsid w:val="001F612A"/>
    <w:rsid w:val="00211396"/>
    <w:rsid w:val="00226AE6"/>
    <w:rsid w:val="00245B34"/>
    <w:rsid w:val="00263355"/>
    <w:rsid w:val="00273792"/>
    <w:rsid w:val="002853D4"/>
    <w:rsid w:val="002A14A2"/>
    <w:rsid w:val="002D4AC8"/>
    <w:rsid w:val="00320D78"/>
    <w:rsid w:val="00380FE5"/>
    <w:rsid w:val="003924DD"/>
    <w:rsid w:val="00394FCB"/>
    <w:rsid w:val="003963F4"/>
    <w:rsid w:val="003B5254"/>
    <w:rsid w:val="003B75A6"/>
    <w:rsid w:val="004061CA"/>
    <w:rsid w:val="00415689"/>
    <w:rsid w:val="004440CB"/>
    <w:rsid w:val="0044441C"/>
    <w:rsid w:val="004713D2"/>
    <w:rsid w:val="00487B2F"/>
    <w:rsid w:val="00521639"/>
    <w:rsid w:val="00532BB7"/>
    <w:rsid w:val="005332E4"/>
    <w:rsid w:val="0053550C"/>
    <w:rsid w:val="00555018"/>
    <w:rsid w:val="005723DC"/>
    <w:rsid w:val="005F1C61"/>
    <w:rsid w:val="006210DC"/>
    <w:rsid w:val="00621C31"/>
    <w:rsid w:val="0064349D"/>
    <w:rsid w:val="00653EED"/>
    <w:rsid w:val="00685549"/>
    <w:rsid w:val="006B7365"/>
    <w:rsid w:val="006C2D81"/>
    <w:rsid w:val="006C7DF8"/>
    <w:rsid w:val="00750FC8"/>
    <w:rsid w:val="007533D0"/>
    <w:rsid w:val="00755069"/>
    <w:rsid w:val="00782E9C"/>
    <w:rsid w:val="007A6836"/>
    <w:rsid w:val="007B0660"/>
    <w:rsid w:val="007E3868"/>
    <w:rsid w:val="00820C41"/>
    <w:rsid w:val="00850256"/>
    <w:rsid w:val="00855397"/>
    <w:rsid w:val="00891DF3"/>
    <w:rsid w:val="008C0A7D"/>
    <w:rsid w:val="0093686F"/>
    <w:rsid w:val="00942FD4"/>
    <w:rsid w:val="00951997"/>
    <w:rsid w:val="00990352"/>
    <w:rsid w:val="009C08A6"/>
    <w:rsid w:val="00A03405"/>
    <w:rsid w:val="00A1528A"/>
    <w:rsid w:val="00A33380"/>
    <w:rsid w:val="00A33918"/>
    <w:rsid w:val="00A7629F"/>
    <w:rsid w:val="00AB0B7A"/>
    <w:rsid w:val="00AE643F"/>
    <w:rsid w:val="00AF0CEE"/>
    <w:rsid w:val="00B53E5C"/>
    <w:rsid w:val="00B667AD"/>
    <w:rsid w:val="00B84C38"/>
    <w:rsid w:val="00B86C00"/>
    <w:rsid w:val="00B947F6"/>
    <w:rsid w:val="00BB23F0"/>
    <w:rsid w:val="00BF16AA"/>
    <w:rsid w:val="00C354B8"/>
    <w:rsid w:val="00C52517"/>
    <w:rsid w:val="00C60921"/>
    <w:rsid w:val="00C62936"/>
    <w:rsid w:val="00C653F2"/>
    <w:rsid w:val="00C679E6"/>
    <w:rsid w:val="00C908F9"/>
    <w:rsid w:val="00CA0917"/>
    <w:rsid w:val="00CA1099"/>
    <w:rsid w:val="00D417C2"/>
    <w:rsid w:val="00D60936"/>
    <w:rsid w:val="00D709EB"/>
    <w:rsid w:val="00D74714"/>
    <w:rsid w:val="00D82F3F"/>
    <w:rsid w:val="00D921C6"/>
    <w:rsid w:val="00D958C2"/>
    <w:rsid w:val="00D97B51"/>
    <w:rsid w:val="00E04AB5"/>
    <w:rsid w:val="00E50EEA"/>
    <w:rsid w:val="00E52F58"/>
    <w:rsid w:val="00EC26AA"/>
    <w:rsid w:val="00ED7A53"/>
    <w:rsid w:val="00EE4273"/>
    <w:rsid w:val="00F02004"/>
    <w:rsid w:val="00F042CB"/>
    <w:rsid w:val="00F60A20"/>
    <w:rsid w:val="00F61077"/>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BF22A6"/>
  <w15:chartTrackingRefBased/>
  <w15:docId w15:val="{F768CF4A-4A58-47F3-8F36-2DB690FD2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E64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243;n\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2C4F92D-0E21-4DD5-9314-F1B9EF5CFE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EE37B7-9CF7-42EA-BAA0-FFD72B04D567}">
  <ds:schemaRefs>
    <ds:schemaRef ds:uri="http://schemas.microsoft.com/sharepoint/v3/contenttype/forms"/>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1</TotalTime>
  <Pages>4</Pages>
  <Words>932</Words>
  <Characters>4983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Bárbara Sierra Nieves</cp:lastModifiedBy>
  <cp:revision>3</cp:revision>
  <cp:lastPrinted>2023-06-24T21:03:00Z</cp:lastPrinted>
  <dcterms:created xsi:type="dcterms:W3CDTF">2025-01-14T15:09:00Z</dcterms:created>
  <dcterms:modified xsi:type="dcterms:W3CDTF">2025-01-15T17:31:00Z</dcterms:modified>
</cp:coreProperties>
</file>