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7777777"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37FCBC36"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C86EC0">
        <w:rPr>
          <w:rFonts w:ascii="Book Antiqua" w:eastAsia="Book Antiqua" w:hAnsi="Book Antiqua" w:cs="Book Antiqua"/>
          <w:b/>
          <w:sz w:val="52"/>
          <w:szCs w:val="52"/>
        </w:rPr>
        <w:t>25</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1881E566" w:rsidR="003867AC" w:rsidRPr="00700566" w:rsidRDefault="000B1453">
      <w:pPr>
        <w:spacing w:line="360" w:lineRule="auto"/>
        <w:jc w:val="center"/>
        <w:rPr>
          <w:rFonts w:ascii="Book Antiqua" w:eastAsia="Book Antiqua" w:hAnsi="Book Antiqua" w:cs="Book Antiqua"/>
          <w:b/>
        </w:rPr>
      </w:pPr>
      <w:r>
        <w:rPr>
          <w:rFonts w:ascii="Book Antiqua" w:eastAsia="Book Antiqua" w:hAnsi="Book Antiqua" w:cs="Book Antiqua"/>
        </w:rPr>
        <w:t>8</w:t>
      </w:r>
      <w:r w:rsidR="0085373F" w:rsidRPr="00700566">
        <w:rPr>
          <w:rFonts w:ascii="Book Antiqua" w:eastAsia="Book Antiqua" w:hAnsi="Book Antiqua" w:cs="Book Antiqua"/>
        </w:rPr>
        <w:t xml:space="preserve"> de </w:t>
      </w:r>
      <w:r w:rsidR="00C86EC0">
        <w:rPr>
          <w:rFonts w:ascii="Book Antiqua" w:eastAsia="Book Antiqua" w:hAnsi="Book Antiqua" w:cs="Book Antiqua"/>
        </w:rPr>
        <w:t>abril</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09F125F6" w:rsidR="003867AC" w:rsidRPr="006212C5" w:rsidRDefault="0085373F">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C86EC0" w:rsidRPr="006212C5">
        <w:rPr>
          <w:rFonts w:ascii="Book Antiqua" w:eastAsia="Book Antiqua" w:hAnsi="Book Antiqua" w:cs="Book Antiqua"/>
          <w:color w:val="000000" w:themeColor="text1"/>
        </w:rPr>
        <w:t>25</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00000011" w14:textId="545F3F31" w:rsidR="003867AC" w:rsidRPr="006212C5" w:rsidRDefault="0085373F" w:rsidP="004C1B5A">
      <w:pPr>
        <w:ind w:firstLine="720"/>
        <w:jc w:val="both"/>
        <w:rPr>
          <w:rFonts w:ascii="Book Antiqua" w:eastAsia="Book Antiqua" w:hAnsi="Book Antiqua" w:cs="Book Antiqua"/>
          <w:color w:val="000000" w:themeColor="text1"/>
          <w:szCs w:val="24"/>
        </w:rPr>
      </w:pPr>
      <w:bookmarkStart w:id="0" w:name="_heading=h.gjdgxs" w:colFirst="0" w:colLast="0"/>
      <w:bookmarkEnd w:id="0"/>
      <w:r w:rsidRPr="006212C5">
        <w:rPr>
          <w:rFonts w:ascii="Book Antiqua" w:eastAsia="Book Antiqua" w:hAnsi="Book Antiqua" w:cs="Book Antiqua"/>
          <w:color w:val="000000" w:themeColor="text1"/>
          <w:szCs w:val="24"/>
        </w:rPr>
        <w:t xml:space="preserve">La Resolución Conjunta de la Cámara </w:t>
      </w:r>
      <w:r w:rsidR="004C1B5A" w:rsidRPr="006212C5">
        <w:rPr>
          <w:rFonts w:ascii="Book Antiqua" w:eastAsia="Book Antiqua" w:hAnsi="Book Antiqua" w:cs="Book Antiqua"/>
          <w:color w:val="000000" w:themeColor="text1"/>
          <w:szCs w:val="24"/>
        </w:rPr>
        <w:t xml:space="preserve">Núm. </w:t>
      </w:r>
      <w:r w:rsidR="001B7B4C">
        <w:rPr>
          <w:rFonts w:ascii="Book Antiqua" w:eastAsia="Book Antiqua" w:hAnsi="Book Antiqua" w:cs="Book Antiqua"/>
          <w:color w:val="000000" w:themeColor="text1"/>
          <w:szCs w:val="24"/>
        </w:rPr>
        <w:t>25</w:t>
      </w:r>
      <w:r w:rsidRPr="006212C5">
        <w:rPr>
          <w:rFonts w:ascii="Book Antiqua" w:eastAsia="Book Antiqua" w:hAnsi="Book Antiqua" w:cs="Book Antiqua"/>
          <w:color w:val="000000" w:themeColor="text1"/>
          <w:szCs w:val="24"/>
        </w:rPr>
        <w:t xml:space="preserve"> propone</w:t>
      </w:r>
      <w:r w:rsidR="004C1B5A" w:rsidRPr="006212C5">
        <w:rPr>
          <w:rFonts w:ascii="Book Antiqua" w:eastAsia="Book Antiqua" w:hAnsi="Book Antiqua" w:cs="Book Antiqua"/>
          <w:color w:val="000000" w:themeColor="text1"/>
          <w:szCs w:val="24"/>
        </w:rPr>
        <w:t xml:space="preserve"> </w:t>
      </w:r>
      <w:r w:rsidR="004C1B5A" w:rsidRPr="006212C5">
        <w:rPr>
          <w:rFonts w:ascii="Book Antiqua" w:eastAsia="Book Antiqua" w:hAnsi="Book Antiqua" w:cs="Book Antiqua"/>
          <w:color w:val="000000" w:themeColor="text1"/>
          <w:szCs w:val="24"/>
          <w:lang w:val="es-PR"/>
        </w:rPr>
        <w:t>ordenar</w:t>
      </w:r>
      <w:r w:rsidR="00C86EC0" w:rsidRPr="006212C5">
        <w:rPr>
          <w:rFonts w:ascii="Book Antiqua" w:hAnsi="Book Antiqua"/>
          <w:color w:val="000000" w:themeColor="text1"/>
        </w:rPr>
        <w:t xml:space="preserve"> a la </w:t>
      </w:r>
      <w:bookmarkStart w:id="1" w:name="_Hlk194500155"/>
      <w:r w:rsidR="00C86EC0" w:rsidRPr="006212C5">
        <w:rPr>
          <w:rFonts w:ascii="Book Antiqua" w:hAnsi="Book Antiqua"/>
          <w:color w:val="000000" w:themeColor="text1"/>
        </w:rPr>
        <w:t>Comisión para la Seguridad en el Tránsito</w:t>
      </w:r>
      <w:r w:rsidR="006212C5">
        <w:rPr>
          <w:rFonts w:ascii="Book Antiqua" w:hAnsi="Book Antiqua"/>
          <w:color w:val="000000" w:themeColor="text1"/>
        </w:rPr>
        <w:t xml:space="preserve"> (CST)</w:t>
      </w:r>
      <w:r w:rsidR="00C86EC0" w:rsidRPr="006212C5">
        <w:rPr>
          <w:rFonts w:ascii="Book Antiqua" w:hAnsi="Book Antiqua"/>
          <w:color w:val="000000" w:themeColor="text1"/>
        </w:rPr>
        <w:t xml:space="preserve">, así como a la </w:t>
      </w:r>
      <w:bookmarkStart w:id="2" w:name="_Hlk194660411"/>
      <w:r w:rsidR="00C86EC0" w:rsidRPr="006212C5">
        <w:rPr>
          <w:rFonts w:ascii="Book Antiqua" w:hAnsi="Book Antiqua"/>
          <w:color w:val="000000" w:themeColor="text1"/>
        </w:rPr>
        <w:t>Administración de Compensaciones por Accidentes de Automóviles</w:t>
      </w:r>
      <w:r w:rsidR="006212C5">
        <w:rPr>
          <w:rFonts w:ascii="Book Antiqua" w:hAnsi="Book Antiqua"/>
          <w:color w:val="000000" w:themeColor="text1"/>
        </w:rPr>
        <w:t xml:space="preserve"> (ACAA)</w:t>
      </w:r>
      <w:bookmarkEnd w:id="2"/>
      <w:r w:rsidR="00C86EC0" w:rsidRPr="006212C5">
        <w:rPr>
          <w:rFonts w:ascii="Book Antiqua" w:hAnsi="Book Antiqua"/>
          <w:color w:val="000000" w:themeColor="text1"/>
        </w:rPr>
        <w:t xml:space="preserve"> </w:t>
      </w:r>
      <w:bookmarkEnd w:id="1"/>
      <w:r w:rsidR="00C86EC0" w:rsidRPr="006212C5">
        <w:rPr>
          <w:rFonts w:ascii="Book Antiqua" w:hAnsi="Book Antiqua"/>
          <w:color w:val="000000" w:themeColor="text1"/>
        </w:rPr>
        <w:t>cumplir con el Artículo 2 de la Ley Núm. 226-2015, y ejecutar de manera inmediata una campaña masiva de orientación y educación a la ciudadanía para dar fiel cumplimiento a lo establecido en el Artículo 4.12(B) de la Ley de Vehículos y Tránsito de Puerto Rico, Ley 22-2000, según enmendada.</w:t>
      </w:r>
    </w:p>
    <w:p w14:paraId="00000012" w14:textId="77777777" w:rsidR="003867AC" w:rsidRPr="006212C5" w:rsidRDefault="003867AC">
      <w:pPr>
        <w:ind w:firstLine="720"/>
        <w:jc w:val="both"/>
        <w:rPr>
          <w:rFonts w:ascii="Book Antiqua" w:eastAsia="Helvetica Neue" w:hAnsi="Book Antiqua" w:cs="Helvetica Neue"/>
          <w:color w:val="000000" w:themeColor="text1"/>
          <w:szCs w:val="24"/>
        </w:rPr>
      </w:pPr>
      <w:bookmarkStart w:id="3" w:name="_heading=h.e6qhsm21qw78" w:colFirst="0" w:colLast="0"/>
      <w:bookmarkEnd w:id="3"/>
    </w:p>
    <w:p w14:paraId="66BB7A64" w14:textId="0BB469C0" w:rsidR="006212C5" w:rsidRPr="006212C5" w:rsidRDefault="00700566" w:rsidP="006212C5">
      <w:pPr>
        <w:ind w:firstLine="720"/>
        <w:jc w:val="both"/>
        <w:rPr>
          <w:rFonts w:ascii="Book Antiqua" w:eastAsia="Helvetica Neue" w:hAnsi="Book Antiqua" w:cs="Helvetica Neue"/>
          <w:color w:val="000000" w:themeColor="text1"/>
          <w:szCs w:val="24"/>
        </w:rPr>
      </w:pPr>
      <w:bookmarkStart w:id="4" w:name="_heading=h.a8588rv6uhcj" w:colFirst="0" w:colLast="0"/>
      <w:bookmarkEnd w:id="4"/>
      <w:r w:rsidRPr="006212C5">
        <w:rPr>
          <w:rFonts w:ascii="Book Antiqua" w:eastAsia="Helvetica Neue" w:hAnsi="Book Antiqua" w:cs="Helvetica Neue"/>
          <w:color w:val="000000" w:themeColor="text1"/>
          <w:szCs w:val="24"/>
        </w:rPr>
        <w:t>Según</w:t>
      </w:r>
      <w:r w:rsidR="006212C5" w:rsidRPr="006212C5">
        <w:rPr>
          <w:rFonts w:ascii="Book Antiqua" w:eastAsia="Helvetica Neue" w:hAnsi="Book Antiqua" w:cs="Helvetica Neue"/>
          <w:color w:val="000000" w:themeColor="text1"/>
          <w:szCs w:val="24"/>
        </w:rPr>
        <w:t xml:space="preserve"> se desprende de</w:t>
      </w:r>
      <w:r w:rsidR="0085373F" w:rsidRPr="006212C5">
        <w:rPr>
          <w:rFonts w:ascii="Book Antiqua" w:eastAsia="Helvetica Neue" w:hAnsi="Book Antiqua" w:cs="Helvetica Neue"/>
          <w:color w:val="000000" w:themeColor="text1"/>
          <w:szCs w:val="24"/>
        </w:rPr>
        <w:t xml:space="preserve"> la Exposición de Motivos,</w:t>
      </w:r>
      <w:r w:rsidR="006212C5" w:rsidRPr="006212C5">
        <w:rPr>
          <w:rFonts w:ascii="Book Antiqua" w:hAnsi="Book Antiqua"/>
          <w:color w:val="000000" w:themeColor="text1"/>
        </w:rPr>
        <w:t xml:space="preserve"> </w:t>
      </w:r>
      <w:r w:rsidR="006212C5" w:rsidRPr="006212C5">
        <w:rPr>
          <w:rFonts w:ascii="Book Antiqua" w:eastAsia="Helvetica Neue" w:hAnsi="Book Antiqua" w:cs="Helvetica Neue"/>
          <w:color w:val="000000" w:themeColor="text1"/>
          <w:szCs w:val="24"/>
        </w:rPr>
        <w:t xml:space="preserve">el Artículo 4.12(B) de la Ley 22-2000 exige que los conductores cambien al carril más lejano o reduzcan la velocidad al acercarse a áreas de emergencia o donde se encuentren vehículos oficiales, como grúas o vehículos de mantenimiento. La ley establece una multa de $150 para los conductores que infrinjan esta normativa. Sin embargo, a pesar de esta legislación, se han reportado trágicos incidentes en los que conductores no cumplen con la ley, como el caso reciente de un gruero atropellado en la Autopista </w:t>
      </w:r>
      <w:r w:rsidR="006212C5">
        <w:rPr>
          <w:rFonts w:ascii="Book Antiqua" w:eastAsia="Helvetica Neue" w:hAnsi="Book Antiqua" w:cs="Helvetica Neue"/>
          <w:color w:val="000000" w:themeColor="text1"/>
          <w:szCs w:val="24"/>
        </w:rPr>
        <w:t>PR-22</w:t>
      </w:r>
      <w:r w:rsidR="006212C5" w:rsidRPr="006212C5">
        <w:rPr>
          <w:rFonts w:ascii="Book Antiqua" w:eastAsia="Helvetica Neue" w:hAnsi="Book Antiqua" w:cs="Helvetica Neue"/>
          <w:color w:val="000000" w:themeColor="text1"/>
          <w:szCs w:val="24"/>
        </w:rPr>
        <w:t>, así como incidentes similares en los que agentes de policía y otros trabajadores de emergencia han sido impactados.</w:t>
      </w:r>
    </w:p>
    <w:p w14:paraId="41533B33" w14:textId="77777777" w:rsidR="006212C5" w:rsidRPr="006212C5" w:rsidRDefault="006212C5" w:rsidP="006212C5">
      <w:pPr>
        <w:ind w:firstLine="720"/>
        <w:jc w:val="both"/>
        <w:rPr>
          <w:rFonts w:ascii="Book Antiqua" w:eastAsia="Helvetica Neue" w:hAnsi="Book Antiqua" w:cs="Helvetica Neue"/>
          <w:color w:val="000000" w:themeColor="text1"/>
          <w:szCs w:val="24"/>
        </w:rPr>
      </w:pPr>
    </w:p>
    <w:p w14:paraId="4C9C6046" w14:textId="77777777" w:rsidR="00D74285" w:rsidRDefault="006212C5" w:rsidP="006212C5">
      <w:pPr>
        <w:ind w:firstLine="720"/>
        <w:jc w:val="both"/>
        <w:rPr>
          <w:rFonts w:ascii="Book Antiqua" w:eastAsia="Helvetica Neue" w:hAnsi="Book Antiqua" w:cs="Helvetica Neue"/>
          <w:color w:val="000000" w:themeColor="text1"/>
          <w:szCs w:val="24"/>
        </w:rPr>
      </w:pPr>
      <w:r w:rsidRPr="006212C5">
        <w:rPr>
          <w:rFonts w:ascii="Book Antiqua" w:eastAsia="Helvetica Neue" w:hAnsi="Book Antiqua" w:cs="Helvetica Neue"/>
          <w:color w:val="000000" w:themeColor="text1"/>
          <w:szCs w:val="24"/>
        </w:rPr>
        <w:t xml:space="preserve">Esta medida propone que la CST y la ACAA implementen una campaña educativa masiva dirigida a los conductores, para sensibilizarlos sobre la importancia de cumplir </w:t>
      </w:r>
    </w:p>
    <w:p w14:paraId="21C47385" w14:textId="77777777" w:rsidR="00D74285" w:rsidRDefault="00D74285" w:rsidP="00D74285">
      <w:pPr>
        <w:jc w:val="both"/>
        <w:rPr>
          <w:rFonts w:ascii="Book Antiqua" w:eastAsia="Helvetica Neue" w:hAnsi="Book Antiqua" w:cs="Helvetica Neue"/>
          <w:color w:val="000000" w:themeColor="text1"/>
          <w:szCs w:val="24"/>
        </w:rPr>
      </w:pPr>
    </w:p>
    <w:p w14:paraId="00000013" w14:textId="26262E21" w:rsidR="003867AC" w:rsidRPr="006212C5" w:rsidRDefault="006212C5" w:rsidP="00D74285">
      <w:pPr>
        <w:jc w:val="both"/>
        <w:rPr>
          <w:rFonts w:ascii="Book Antiqua" w:eastAsia="Book Antiqua" w:hAnsi="Book Antiqua" w:cs="Book Antiqua"/>
          <w:color w:val="000000" w:themeColor="text1"/>
          <w:szCs w:val="24"/>
        </w:rPr>
      </w:pPr>
      <w:r w:rsidRPr="006212C5">
        <w:rPr>
          <w:rFonts w:ascii="Book Antiqua" w:eastAsia="Helvetica Neue" w:hAnsi="Book Antiqua" w:cs="Helvetica Neue"/>
          <w:color w:val="000000" w:themeColor="text1"/>
          <w:szCs w:val="24"/>
        </w:rPr>
        <w:t>con las disposiciones de la ley, con el objetivo de prevenir accidentes y salvar vidas. Además, se subraya que el aumento de las penalidades no es suficiente para prevenir estos incidentes, siendo necesaria una mayor orientación sobre las conductas responsables que los conductores deben adoptar en situaciones de emergencia.</w:t>
      </w:r>
    </w:p>
    <w:p w14:paraId="00000019" w14:textId="77777777" w:rsidR="003867AC" w:rsidRPr="006212C5" w:rsidRDefault="003867AC" w:rsidP="00E13DED">
      <w:pPr>
        <w:jc w:val="both"/>
        <w:rPr>
          <w:rFonts w:ascii="Book Antiqua" w:eastAsia="Book Antiqua" w:hAnsi="Book Antiqua" w:cs="Book Antiqua"/>
          <w:color w:val="000000" w:themeColor="text1"/>
        </w:rPr>
      </w:pPr>
    </w:p>
    <w:p w14:paraId="0000001A" w14:textId="77777777" w:rsidR="003867AC" w:rsidRPr="006212C5" w:rsidRDefault="003867AC">
      <w:pPr>
        <w:jc w:val="center"/>
        <w:rPr>
          <w:rFonts w:ascii="Book Antiqua" w:eastAsia="Book Antiqua" w:hAnsi="Book Antiqua" w:cs="Book Antiqua"/>
          <w:b/>
          <w:color w:val="000000" w:themeColor="text1"/>
        </w:rPr>
      </w:pPr>
    </w:p>
    <w:p w14:paraId="0000001B"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5A281301"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Pr>
          <w:rFonts w:ascii="Book Antiqua" w:eastAsia="Book Antiqua" w:hAnsi="Book Antiqua" w:cs="Book Antiqua"/>
        </w:rPr>
        <w:t>25</w:t>
      </w:r>
      <w:r w:rsidRPr="00CB31ED">
        <w:rPr>
          <w:rFonts w:ascii="Book Antiqua" w:eastAsia="Book Antiqua" w:hAnsi="Book Antiqua" w:cs="Book Antiqua"/>
        </w:rPr>
        <w:t>,</w:t>
      </w:r>
      <w:r>
        <w:rPr>
          <w:rFonts w:ascii="Book Antiqua" w:eastAsia="Book Antiqua" w:hAnsi="Book Antiqua" w:cs="Book Antiqua"/>
        </w:rPr>
        <w:t xml:space="preserve"> </w:t>
      </w:r>
      <w:r w:rsidR="004D4B21">
        <w:rPr>
          <w:rFonts w:ascii="Book Antiqua" w:eastAsia="Book Antiqua" w:hAnsi="Book Antiqua" w:cs="Book Antiqua"/>
        </w:rPr>
        <w:t>recibió los</w:t>
      </w:r>
      <w:r>
        <w:rPr>
          <w:rFonts w:ascii="Book Antiqua" w:eastAsia="Book Antiqua" w:hAnsi="Book Antiqua" w:cs="Book Antiqua"/>
        </w:rPr>
        <w:t xml:space="preserve"> memoriales explicativos </w:t>
      </w:r>
      <w:r w:rsidR="004D4B21">
        <w:rPr>
          <w:rFonts w:ascii="Book Antiqua" w:eastAsia="Book Antiqua" w:hAnsi="Book Antiqua" w:cs="Book Antiqua"/>
        </w:rPr>
        <w:t>por parte de</w:t>
      </w:r>
      <w:r>
        <w:rPr>
          <w:rFonts w:ascii="Book Antiqua" w:eastAsia="Book Antiqua" w:hAnsi="Book Antiqua" w:cs="Book Antiqua"/>
        </w:rPr>
        <w:t xml:space="preserve"> la </w:t>
      </w:r>
      <w:bookmarkStart w:id="5" w:name="_Hlk194500394"/>
      <w:r w:rsidRPr="006212C5">
        <w:rPr>
          <w:rFonts w:ascii="Book Antiqua" w:hAnsi="Book Antiqua"/>
          <w:color w:val="000000" w:themeColor="text1"/>
        </w:rPr>
        <w:t>Comisión para la Seguridad en el Tránsito</w:t>
      </w:r>
      <w:r>
        <w:rPr>
          <w:rFonts w:ascii="Book Antiqua" w:hAnsi="Book Antiqua"/>
          <w:color w:val="000000" w:themeColor="text1"/>
        </w:rPr>
        <w:t xml:space="preserve"> </w:t>
      </w:r>
      <w:bookmarkEnd w:id="5"/>
      <w:r>
        <w:rPr>
          <w:rFonts w:ascii="Book Antiqua" w:hAnsi="Book Antiqua"/>
          <w:color w:val="000000" w:themeColor="text1"/>
        </w:rPr>
        <w:t>(CST)</w:t>
      </w:r>
      <w:r w:rsidRPr="006212C5">
        <w:rPr>
          <w:rFonts w:ascii="Book Antiqua" w:hAnsi="Book Antiqua"/>
          <w:color w:val="000000" w:themeColor="text1"/>
        </w:rPr>
        <w:t>, así como a la Administración de Compensaciones por Accidentes de Automóviles</w:t>
      </w:r>
      <w:r>
        <w:rPr>
          <w:rFonts w:ascii="Book Antiqua" w:hAnsi="Book Antiqua"/>
          <w:color w:val="000000" w:themeColor="text1"/>
        </w:rPr>
        <w:t xml:space="preserve"> (ACAA)</w:t>
      </w:r>
      <w:r w:rsidR="004D4B21">
        <w:rPr>
          <w:rFonts w:ascii="Book Antiqua" w:hAnsi="Book Antiqua"/>
          <w:color w:val="000000" w:themeColor="text1"/>
        </w:rPr>
        <w:t>.</w:t>
      </w:r>
    </w:p>
    <w:p w14:paraId="2D35DCA3" w14:textId="77777777" w:rsidR="00DC6066" w:rsidRDefault="00DC6066" w:rsidP="00DC6066">
      <w:pPr>
        <w:ind w:firstLine="720"/>
        <w:jc w:val="both"/>
        <w:rPr>
          <w:rFonts w:ascii="Book Antiqua" w:hAnsi="Book Antiqua"/>
          <w:color w:val="000000" w:themeColor="text1"/>
        </w:rPr>
      </w:pPr>
    </w:p>
    <w:p w14:paraId="67550C32" w14:textId="7028869B" w:rsidR="00DC6066" w:rsidRDefault="00DC6066" w:rsidP="00DC6066">
      <w:pPr>
        <w:rPr>
          <w:rFonts w:ascii="Book Antiqua" w:hAnsi="Book Antiqua"/>
          <w:b/>
          <w:bCs/>
          <w:color w:val="000000" w:themeColor="text1"/>
          <w:u w:val="single"/>
        </w:rPr>
      </w:pPr>
      <w:r>
        <w:rPr>
          <w:rFonts w:ascii="Book Antiqua" w:hAnsi="Book Antiqua"/>
          <w:b/>
          <w:bCs/>
          <w:color w:val="000000" w:themeColor="text1"/>
        </w:rPr>
        <w:t xml:space="preserve">                                       </w:t>
      </w:r>
      <w:r w:rsidRPr="00DC6066">
        <w:rPr>
          <w:rFonts w:ascii="Book Antiqua" w:hAnsi="Book Antiqua"/>
          <w:b/>
          <w:bCs/>
          <w:color w:val="000000" w:themeColor="text1"/>
          <w:u w:val="single"/>
        </w:rPr>
        <w:t>Comisión para la Seguridad en el Tránsito</w:t>
      </w:r>
    </w:p>
    <w:p w14:paraId="3C15A384" w14:textId="3025B38C" w:rsidR="00DC6066" w:rsidRDefault="00DC6066" w:rsidP="00DC6066">
      <w:pPr>
        <w:rPr>
          <w:rFonts w:ascii="Book Antiqua" w:hAnsi="Book Antiqua"/>
          <w:b/>
          <w:bCs/>
          <w:color w:val="000000" w:themeColor="text1"/>
          <w:u w:val="single"/>
        </w:rPr>
      </w:pPr>
    </w:p>
    <w:p w14:paraId="2ACCDDA9" w14:textId="76A3B19D" w:rsidR="007E0FCE" w:rsidRDefault="007E0FCE" w:rsidP="00CE34E6">
      <w:pPr>
        <w:jc w:val="both"/>
        <w:rPr>
          <w:rFonts w:ascii="Book Antiqua" w:hAnsi="Book Antiqua"/>
          <w:color w:val="000000" w:themeColor="text1"/>
        </w:rPr>
      </w:pPr>
      <w:r>
        <w:rPr>
          <w:rFonts w:ascii="Book Antiqua" w:hAnsi="Book Antiqua"/>
          <w:color w:val="000000" w:themeColor="text1"/>
        </w:rPr>
        <w:tab/>
        <w:t>La Comisi</w:t>
      </w:r>
      <w:r w:rsidR="007276A1">
        <w:rPr>
          <w:rFonts w:ascii="Book Antiqua" w:hAnsi="Book Antiqua"/>
          <w:color w:val="000000" w:themeColor="text1"/>
        </w:rPr>
        <w:t>ó</w:t>
      </w:r>
      <w:r>
        <w:rPr>
          <w:rFonts w:ascii="Book Antiqua" w:hAnsi="Book Antiqua"/>
          <w:color w:val="000000" w:themeColor="text1"/>
        </w:rPr>
        <w:t xml:space="preserve">n para la Seguridad en el Transito (CST) envió sus comentarios por conducto de su </w:t>
      </w:r>
      <w:proofErr w:type="gramStart"/>
      <w:r>
        <w:rPr>
          <w:rFonts w:ascii="Book Antiqua" w:hAnsi="Book Antiqua"/>
          <w:color w:val="000000" w:themeColor="text1"/>
        </w:rPr>
        <w:t>Director Ejecutivo</w:t>
      </w:r>
      <w:proofErr w:type="gramEnd"/>
      <w:r>
        <w:rPr>
          <w:rFonts w:ascii="Book Antiqua" w:hAnsi="Book Antiqua"/>
          <w:color w:val="000000" w:themeColor="text1"/>
        </w:rPr>
        <w:t>, Sr. Jos</w:t>
      </w:r>
      <w:r w:rsidR="007D7D6A">
        <w:rPr>
          <w:rFonts w:ascii="Book Antiqua" w:hAnsi="Book Antiqua"/>
          <w:color w:val="000000" w:themeColor="text1"/>
        </w:rPr>
        <w:t>é</w:t>
      </w:r>
      <w:r>
        <w:rPr>
          <w:rFonts w:ascii="Book Antiqua" w:hAnsi="Book Antiqua"/>
          <w:color w:val="000000" w:themeColor="text1"/>
        </w:rPr>
        <w:t xml:space="preserve"> O. Gonzalez Mercado quien menciona que la CST tiene la responsabilidad de preparar e implementar un programa general sobre seguridad de tr</w:t>
      </w:r>
      <w:r w:rsidR="007276A1">
        <w:rPr>
          <w:rFonts w:ascii="Book Antiqua" w:hAnsi="Book Antiqua"/>
          <w:color w:val="000000" w:themeColor="text1"/>
        </w:rPr>
        <w:t>á</w:t>
      </w:r>
      <w:r>
        <w:rPr>
          <w:rFonts w:ascii="Book Antiqua" w:hAnsi="Book Antiqua"/>
          <w:color w:val="000000" w:themeColor="text1"/>
        </w:rPr>
        <w:t>nsito y determinar el uso de los fondos estatales y federales que se le asignen. Con ese objetivo tienen a su cargo la planificación, coordinación, administración y divulgación del programa de prevención de choques de tr</w:t>
      </w:r>
      <w:r w:rsidR="007276A1">
        <w:rPr>
          <w:rFonts w:ascii="Book Antiqua" w:hAnsi="Book Antiqua"/>
          <w:color w:val="000000" w:themeColor="text1"/>
        </w:rPr>
        <w:t>á</w:t>
      </w:r>
      <w:r>
        <w:rPr>
          <w:rFonts w:ascii="Book Antiqua" w:hAnsi="Book Antiqua"/>
          <w:color w:val="000000" w:themeColor="text1"/>
        </w:rPr>
        <w:t xml:space="preserve">nsito a nivel estatal. </w:t>
      </w:r>
    </w:p>
    <w:p w14:paraId="102AF2BA" w14:textId="77777777" w:rsidR="007E0FCE" w:rsidRDefault="007E0FCE" w:rsidP="00CE34E6">
      <w:pPr>
        <w:jc w:val="both"/>
        <w:rPr>
          <w:rFonts w:ascii="Book Antiqua" w:hAnsi="Book Antiqua"/>
          <w:color w:val="000000" w:themeColor="text1"/>
        </w:rPr>
      </w:pPr>
    </w:p>
    <w:p w14:paraId="7E72A0E4" w14:textId="4B3D4FC6" w:rsidR="00AC77D8" w:rsidRDefault="007E0FCE" w:rsidP="00CE34E6">
      <w:pPr>
        <w:jc w:val="both"/>
        <w:rPr>
          <w:rFonts w:ascii="Book Antiqua" w:hAnsi="Book Antiqua"/>
          <w:color w:val="000000" w:themeColor="text1"/>
        </w:rPr>
      </w:pPr>
      <w:r>
        <w:rPr>
          <w:rFonts w:ascii="Book Antiqua" w:hAnsi="Book Antiqua"/>
          <w:color w:val="000000" w:themeColor="text1"/>
        </w:rPr>
        <w:tab/>
        <w:t xml:space="preserve">Además, menciona la CST que con conscientes </w:t>
      </w:r>
      <w:r w:rsidR="00CE34E6">
        <w:rPr>
          <w:rFonts w:ascii="Book Antiqua" w:hAnsi="Book Antiqua"/>
          <w:color w:val="000000" w:themeColor="text1"/>
        </w:rPr>
        <w:t xml:space="preserve">de la ocurrencia de las desgracias a las que hace referencia la medida legislativa que se </w:t>
      </w:r>
      <w:r w:rsidR="006D110C">
        <w:rPr>
          <w:rFonts w:ascii="Book Antiqua" w:hAnsi="Book Antiqua"/>
          <w:color w:val="000000" w:themeColor="text1"/>
        </w:rPr>
        <w:t>está</w:t>
      </w:r>
      <w:r w:rsidR="00CE34E6">
        <w:rPr>
          <w:rFonts w:ascii="Book Antiqua" w:hAnsi="Book Antiqua"/>
          <w:color w:val="000000" w:themeColor="text1"/>
        </w:rPr>
        <w:t xml:space="preserve"> considerando y reiteran su compromiso de gestionar mecanismos para la prevención de eventos desgraciados futuros. Su labor en esta materia es eminentemente educativa y preventiva. Por </w:t>
      </w:r>
      <w:r w:rsidR="001B7B4C">
        <w:rPr>
          <w:rFonts w:ascii="Book Antiqua" w:hAnsi="Book Antiqua"/>
          <w:color w:val="000000" w:themeColor="text1"/>
        </w:rPr>
        <w:t>último</w:t>
      </w:r>
      <w:r w:rsidR="00CE34E6">
        <w:rPr>
          <w:rFonts w:ascii="Book Antiqua" w:hAnsi="Book Antiqua"/>
          <w:color w:val="000000" w:themeColor="text1"/>
        </w:rPr>
        <w:t>, señalan que la Comisi</w:t>
      </w:r>
      <w:r w:rsidR="007276A1">
        <w:rPr>
          <w:rFonts w:ascii="Book Antiqua" w:hAnsi="Book Antiqua"/>
          <w:color w:val="000000" w:themeColor="text1"/>
        </w:rPr>
        <w:t>ó</w:t>
      </w:r>
      <w:r w:rsidR="00CE34E6">
        <w:rPr>
          <w:rFonts w:ascii="Book Antiqua" w:hAnsi="Book Antiqua"/>
          <w:color w:val="000000" w:themeColor="text1"/>
        </w:rPr>
        <w:t>n para la Seguridad en el Tr</w:t>
      </w:r>
      <w:r w:rsidR="007276A1">
        <w:rPr>
          <w:rFonts w:ascii="Book Antiqua" w:hAnsi="Book Antiqua"/>
          <w:color w:val="000000" w:themeColor="text1"/>
        </w:rPr>
        <w:t>á</w:t>
      </w:r>
      <w:r w:rsidR="00CE34E6">
        <w:rPr>
          <w:rFonts w:ascii="Book Antiqua" w:hAnsi="Book Antiqua"/>
          <w:color w:val="000000" w:themeColor="text1"/>
        </w:rPr>
        <w:t xml:space="preserve">nsito </w:t>
      </w:r>
      <w:r w:rsidR="00CE34E6" w:rsidRPr="006D110C">
        <w:rPr>
          <w:rFonts w:ascii="Book Antiqua" w:hAnsi="Book Antiqua"/>
          <w:b/>
          <w:bCs/>
          <w:color w:val="000000" w:themeColor="text1"/>
        </w:rPr>
        <w:t xml:space="preserve">no tienen </w:t>
      </w:r>
      <w:r w:rsidR="00294E5A" w:rsidRPr="006D110C">
        <w:rPr>
          <w:rFonts w:ascii="Book Antiqua" w:hAnsi="Book Antiqua"/>
          <w:b/>
          <w:bCs/>
          <w:color w:val="000000" w:themeColor="text1"/>
        </w:rPr>
        <w:t>objeción</w:t>
      </w:r>
      <w:r w:rsidR="00CE34E6" w:rsidRPr="006D110C">
        <w:rPr>
          <w:rFonts w:ascii="Book Antiqua" w:hAnsi="Book Antiqua"/>
          <w:b/>
          <w:bCs/>
          <w:color w:val="000000" w:themeColor="text1"/>
        </w:rPr>
        <w:t xml:space="preserve"> alguna que plantear a lo propuesto en la R. C. de la C. 25</w:t>
      </w:r>
      <w:r w:rsidR="00CE34E6">
        <w:rPr>
          <w:rFonts w:ascii="Book Antiqua" w:hAnsi="Book Antiqua"/>
          <w:color w:val="000000" w:themeColor="text1"/>
        </w:rPr>
        <w:t xml:space="preserve">, pero </w:t>
      </w:r>
      <w:r w:rsidR="007276A1">
        <w:rPr>
          <w:rFonts w:ascii="Book Antiqua" w:hAnsi="Book Antiqua"/>
          <w:color w:val="000000" w:themeColor="text1"/>
        </w:rPr>
        <w:t>solicitan a</w:t>
      </w:r>
      <w:r w:rsidR="00CE34E6">
        <w:rPr>
          <w:rFonts w:ascii="Book Antiqua" w:hAnsi="Book Antiqua"/>
          <w:color w:val="000000" w:themeColor="text1"/>
        </w:rPr>
        <w:t xml:space="preserve"> la Asamblea Legislativa su colaboración proveyendo la partida pre</w:t>
      </w:r>
      <w:r w:rsidR="00294E5A">
        <w:rPr>
          <w:rFonts w:ascii="Book Antiqua" w:hAnsi="Book Antiqua"/>
          <w:color w:val="000000" w:themeColor="text1"/>
        </w:rPr>
        <w:t xml:space="preserve">supuestada necesaria para sufragar la campaña masiva que se ordena implementar en la medida legislativa. </w:t>
      </w:r>
    </w:p>
    <w:p w14:paraId="732D4E15" w14:textId="77777777" w:rsidR="00AC77D8" w:rsidRDefault="00AC77D8" w:rsidP="00CE34E6">
      <w:pPr>
        <w:jc w:val="both"/>
        <w:rPr>
          <w:rFonts w:ascii="Book Antiqua" w:hAnsi="Book Antiqua"/>
          <w:color w:val="000000" w:themeColor="text1"/>
        </w:rPr>
      </w:pPr>
    </w:p>
    <w:p w14:paraId="673D9CE2" w14:textId="4EE28BF6" w:rsidR="00AC77D8" w:rsidRPr="00AC77D8" w:rsidRDefault="00AC77D8" w:rsidP="00CE34E6">
      <w:pPr>
        <w:jc w:val="both"/>
        <w:rPr>
          <w:rFonts w:ascii="Book Antiqua" w:hAnsi="Book Antiqua"/>
          <w:b/>
          <w:bCs/>
          <w:color w:val="000000" w:themeColor="text1"/>
          <w:u w:val="single"/>
        </w:rPr>
      </w:pPr>
      <w:r>
        <w:rPr>
          <w:rFonts w:ascii="Book Antiqua" w:hAnsi="Book Antiqua"/>
          <w:b/>
          <w:bCs/>
          <w:color w:val="000000" w:themeColor="text1"/>
        </w:rPr>
        <w:t xml:space="preserve">           </w:t>
      </w:r>
      <w:r w:rsidRPr="00AC77D8">
        <w:rPr>
          <w:rFonts w:ascii="Book Antiqua" w:hAnsi="Book Antiqua"/>
          <w:b/>
          <w:bCs/>
          <w:color w:val="000000" w:themeColor="text1"/>
          <w:u w:val="single"/>
        </w:rPr>
        <w:t>Administración de Compensaciones por Accidentes de Automóviles (ACAA)</w:t>
      </w:r>
    </w:p>
    <w:p w14:paraId="73D7F56E" w14:textId="77777777" w:rsidR="004C1B5A" w:rsidRDefault="004C1B5A" w:rsidP="00CE34E6">
      <w:pPr>
        <w:jc w:val="both"/>
        <w:rPr>
          <w:rFonts w:ascii="Book Antiqua" w:eastAsia="Book Antiqua" w:hAnsi="Book Antiqua" w:cs="Book Antiqua"/>
          <w:b/>
        </w:rPr>
      </w:pPr>
    </w:p>
    <w:p w14:paraId="44F727F7" w14:textId="581308D1" w:rsidR="00AC77D8" w:rsidRDefault="00AC77D8" w:rsidP="00CE34E6">
      <w:pPr>
        <w:jc w:val="both"/>
        <w:rPr>
          <w:rFonts w:ascii="Book Antiqua" w:eastAsia="Book Antiqua" w:hAnsi="Book Antiqua" w:cs="Book Antiqua"/>
          <w:bCs/>
        </w:rPr>
      </w:pPr>
      <w:r>
        <w:rPr>
          <w:rFonts w:ascii="Book Antiqua" w:eastAsia="Book Antiqua" w:hAnsi="Book Antiqua" w:cs="Book Antiqua"/>
          <w:bCs/>
        </w:rPr>
        <w:tab/>
        <w:t xml:space="preserve">La </w:t>
      </w:r>
      <w:proofErr w:type="gramStart"/>
      <w:r>
        <w:rPr>
          <w:rFonts w:ascii="Book Antiqua" w:eastAsia="Book Antiqua" w:hAnsi="Book Antiqua" w:cs="Book Antiqua"/>
          <w:bCs/>
        </w:rPr>
        <w:t>Directora Ejecutiva</w:t>
      </w:r>
      <w:proofErr w:type="gramEnd"/>
      <w:r>
        <w:rPr>
          <w:rFonts w:ascii="Book Antiqua" w:eastAsia="Book Antiqua" w:hAnsi="Book Antiqua" w:cs="Book Antiqua"/>
          <w:bCs/>
        </w:rPr>
        <w:t xml:space="preserve"> de la </w:t>
      </w:r>
      <w:r w:rsidRPr="00AC77D8">
        <w:rPr>
          <w:rFonts w:ascii="Book Antiqua" w:eastAsia="Book Antiqua" w:hAnsi="Book Antiqua" w:cs="Book Antiqua"/>
          <w:bCs/>
        </w:rPr>
        <w:t>Administración de Compensaciones por Accidentes de Automóviles (ACAA)</w:t>
      </w:r>
      <w:r>
        <w:rPr>
          <w:rFonts w:ascii="Book Antiqua" w:eastAsia="Book Antiqua" w:hAnsi="Book Antiqua" w:cs="Book Antiqua"/>
          <w:bCs/>
        </w:rPr>
        <w:t xml:space="preserve">, Sra. Wanda Ortega menciona que actualmente ambas entidades gubernamentales se encuentran trabajando ideas para llevar a cabo un mensaje claro y eficaz con respecto a lo requerido en el </w:t>
      </w:r>
      <w:proofErr w:type="spellStart"/>
      <w:r>
        <w:rPr>
          <w:rFonts w:ascii="Book Antiqua" w:eastAsia="Book Antiqua" w:hAnsi="Book Antiqua" w:cs="Book Antiqua"/>
          <w:bCs/>
        </w:rPr>
        <w:t>Articulo</w:t>
      </w:r>
      <w:proofErr w:type="spellEnd"/>
      <w:r>
        <w:rPr>
          <w:rFonts w:ascii="Book Antiqua" w:eastAsia="Book Antiqua" w:hAnsi="Book Antiqua" w:cs="Book Antiqua"/>
          <w:bCs/>
        </w:rPr>
        <w:t xml:space="preserve"> 4.12 de la Ley </w:t>
      </w:r>
      <w:r w:rsidR="006D110C">
        <w:rPr>
          <w:rFonts w:ascii="Book Antiqua" w:eastAsia="Book Antiqua" w:hAnsi="Book Antiqua" w:cs="Book Antiqua"/>
          <w:bCs/>
        </w:rPr>
        <w:t>Núm.</w:t>
      </w:r>
      <w:r>
        <w:rPr>
          <w:rFonts w:ascii="Book Antiqua" w:eastAsia="Book Antiqua" w:hAnsi="Book Antiqua" w:cs="Book Antiqua"/>
          <w:bCs/>
        </w:rPr>
        <w:t xml:space="preserve"> 22-2000, según enmendada, conocida como la “Ley de </w:t>
      </w:r>
      <w:r w:rsidR="006D110C">
        <w:rPr>
          <w:rFonts w:ascii="Book Antiqua" w:eastAsia="Book Antiqua" w:hAnsi="Book Antiqua" w:cs="Book Antiqua"/>
          <w:bCs/>
        </w:rPr>
        <w:t>Vehículos</w:t>
      </w:r>
      <w:r>
        <w:rPr>
          <w:rFonts w:ascii="Book Antiqua" w:eastAsia="Book Antiqua" w:hAnsi="Book Antiqua" w:cs="Book Antiqua"/>
          <w:bCs/>
        </w:rPr>
        <w:t xml:space="preserve"> y Tr</w:t>
      </w:r>
      <w:r w:rsidR="006D110C">
        <w:rPr>
          <w:rFonts w:ascii="Book Antiqua" w:eastAsia="Book Antiqua" w:hAnsi="Book Antiqua" w:cs="Book Antiqua"/>
          <w:bCs/>
        </w:rPr>
        <w:t>á</w:t>
      </w:r>
      <w:r>
        <w:rPr>
          <w:rFonts w:ascii="Book Antiqua" w:eastAsia="Book Antiqua" w:hAnsi="Book Antiqua" w:cs="Book Antiqua"/>
          <w:bCs/>
        </w:rPr>
        <w:t>nsito de Puerto Rico”.</w:t>
      </w:r>
    </w:p>
    <w:p w14:paraId="4AE37227" w14:textId="77777777" w:rsidR="00AC77D8" w:rsidRDefault="00AC77D8" w:rsidP="00CE34E6">
      <w:pPr>
        <w:jc w:val="both"/>
        <w:rPr>
          <w:rFonts w:ascii="Book Antiqua" w:eastAsia="Book Antiqua" w:hAnsi="Book Antiqua" w:cs="Book Antiqua"/>
          <w:bCs/>
        </w:rPr>
      </w:pPr>
    </w:p>
    <w:p w14:paraId="25D6FAC8" w14:textId="77777777" w:rsidR="006D110C" w:rsidRDefault="00AC77D8" w:rsidP="00CE34E6">
      <w:pPr>
        <w:jc w:val="both"/>
        <w:rPr>
          <w:rFonts w:ascii="Book Antiqua" w:eastAsia="Book Antiqua" w:hAnsi="Book Antiqua" w:cs="Book Antiqua"/>
          <w:bCs/>
        </w:rPr>
      </w:pPr>
      <w:r>
        <w:rPr>
          <w:rFonts w:ascii="Book Antiqua" w:eastAsia="Book Antiqua" w:hAnsi="Book Antiqua" w:cs="Book Antiqua"/>
          <w:bCs/>
        </w:rPr>
        <w:tab/>
      </w:r>
    </w:p>
    <w:p w14:paraId="42E0DFBA" w14:textId="77777777" w:rsidR="006D110C" w:rsidRDefault="006D110C" w:rsidP="00CE34E6">
      <w:pPr>
        <w:jc w:val="both"/>
        <w:rPr>
          <w:rFonts w:ascii="Book Antiqua" w:eastAsia="Book Antiqua" w:hAnsi="Book Antiqua" w:cs="Book Antiqua"/>
          <w:bCs/>
        </w:rPr>
      </w:pPr>
    </w:p>
    <w:p w14:paraId="6F2ABBCF" w14:textId="77777777" w:rsidR="006D110C" w:rsidRDefault="006D110C" w:rsidP="00CE34E6">
      <w:pPr>
        <w:jc w:val="both"/>
        <w:rPr>
          <w:rFonts w:ascii="Book Antiqua" w:eastAsia="Book Antiqua" w:hAnsi="Book Antiqua" w:cs="Book Antiqua"/>
          <w:bCs/>
        </w:rPr>
      </w:pPr>
    </w:p>
    <w:p w14:paraId="61ADFD7D" w14:textId="52C4D50A" w:rsidR="006D110C" w:rsidRPr="006D110C" w:rsidRDefault="00AC77D8" w:rsidP="006D110C">
      <w:pPr>
        <w:ind w:firstLine="720"/>
        <w:jc w:val="both"/>
        <w:rPr>
          <w:rFonts w:ascii="Book Antiqua" w:eastAsia="Book Antiqua" w:hAnsi="Book Antiqua" w:cs="Book Antiqua"/>
          <w:bCs/>
        </w:rPr>
      </w:pPr>
      <w:r>
        <w:rPr>
          <w:rFonts w:ascii="Book Antiqua" w:eastAsia="Book Antiqua" w:hAnsi="Book Antiqua" w:cs="Book Antiqua"/>
          <w:bCs/>
        </w:rPr>
        <w:lastRenderedPageBreak/>
        <w:t>Dicho lo anterior, la ACAA reconoce el propósito transcen</w:t>
      </w:r>
      <w:r w:rsidR="006D110C">
        <w:rPr>
          <w:rFonts w:ascii="Book Antiqua" w:eastAsia="Book Antiqua" w:hAnsi="Book Antiqua" w:cs="Book Antiqua"/>
          <w:bCs/>
        </w:rPr>
        <w:t>den</w:t>
      </w:r>
      <w:r>
        <w:rPr>
          <w:rFonts w:ascii="Book Antiqua" w:eastAsia="Book Antiqua" w:hAnsi="Book Antiqua" w:cs="Book Antiqua"/>
          <w:bCs/>
        </w:rPr>
        <w:t xml:space="preserve">tal tras la redacción del R. C. de la C 25, </w:t>
      </w:r>
      <w:r w:rsidR="006D110C">
        <w:rPr>
          <w:rFonts w:ascii="Book Antiqua" w:eastAsia="Book Antiqua" w:hAnsi="Book Antiqua" w:cs="Book Antiqua"/>
          <w:bCs/>
        </w:rPr>
        <w:t xml:space="preserve">por lo que expresa su apoyo y favorece que se continue con la campaña educativa sobre las disposiciones del Articulo 4.12 de la Ley Núm. 22-2000, según enmendada. Mencionan que llevar a cabo una campaña mediática educativa transmite el conocimiento necesario de una forma rápida y efectiva a los residentes de Puerto Rico que utiliza las vías publica diariamente. Ante esto, </w:t>
      </w:r>
      <w:r w:rsidR="006D110C" w:rsidRPr="006D110C">
        <w:rPr>
          <w:rFonts w:ascii="Book Antiqua" w:eastAsia="Book Antiqua" w:hAnsi="Book Antiqua" w:cs="Book Antiqua"/>
          <w:b/>
        </w:rPr>
        <w:t>apoyamos la medida que promueve la Cámara de Representantes contemplada en la R. C. de la C. 25</w:t>
      </w:r>
      <w:r w:rsidR="006D110C">
        <w:rPr>
          <w:rFonts w:ascii="Book Antiqua" w:eastAsia="Book Antiqua" w:hAnsi="Book Antiqua" w:cs="Book Antiqua"/>
          <w:bCs/>
        </w:rPr>
        <w:t xml:space="preserve"> enviada por la Comisión de Transportación e Infraestructura. </w:t>
      </w:r>
    </w:p>
    <w:p w14:paraId="0E0F4F0E" w14:textId="77777777" w:rsidR="006D110C" w:rsidRDefault="006D110C">
      <w:pPr>
        <w:jc w:val="center"/>
        <w:rPr>
          <w:rFonts w:ascii="Book Antiqua" w:eastAsia="Book Antiqua" w:hAnsi="Book Antiqua" w:cs="Book Antiqua"/>
          <w:b/>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00000022" w14:textId="77777777" w:rsidR="003867AC" w:rsidRPr="00700566" w:rsidRDefault="003867AC">
      <w:pPr>
        <w:jc w:val="both"/>
        <w:rPr>
          <w:rFonts w:ascii="Book Antiqua" w:eastAsia="Book Antiqua" w:hAnsi="Book Antiqua" w:cs="Book Antiqua"/>
        </w:rPr>
      </w:pPr>
    </w:p>
    <w:p w14:paraId="342C56F7" w14:textId="77777777" w:rsidR="001B7B4C" w:rsidRPr="001B7B4C" w:rsidRDefault="0085373F" w:rsidP="001B7B4C">
      <w:pPr>
        <w:jc w:val="both"/>
        <w:rPr>
          <w:rFonts w:ascii="Book Antiqua" w:eastAsia="Book Antiqua" w:hAnsi="Book Antiqua" w:cs="Book Antiqua"/>
        </w:rPr>
      </w:pPr>
      <w:r w:rsidRPr="00700566">
        <w:rPr>
          <w:rFonts w:ascii="Book Antiqua" w:eastAsia="Book Antiqua" w:hAnsi="Book Antiqua" w:cs="Book Antiqua"/>
        </w:rPr>
        <w:t xml:space="preserve">       </w:t>
      </w:r>
      <w:r w:rsidR="004C1B5A">
        <w:rPr>
          <w:rFonts w:ascii="Book Antiqua" w:eastAsia="Book Antiqua" w:hAnsi="Book Antiqua" w:cs="Book Antiqua"/>
        </w:rPr>
        <w:tab/>
      </w:r>
      <w:r w:rsidR="001B7B4C" w:rsidRPr="001B7B4C">
        <w:rPr>
          <w:rFonts w:ascii="Book Antiqua" w:eastAsia="Book Antiqua" w:hAnsi="Book Antiqua" w:cs="Book Antiqua"/>
        </w:rPr>
        <w:t>En virtud de lo expuesto, la Comisión de Transportación e Infraestructura considera que la Resolución Conjunta de la Cámara Núm. 25 es de vital importancia para la seguridad en las vías de Puerto Rico, especialmente para proteger a los trabajadores de emergencia y primeros respondedores. La implementación de una campaña masiva de orientación y educación, tal como se propone, resulta esencial para sensibilizar a los conductores sobre la importancia de cumplir con las disposiciones de la Ley 22-2000, en particular en lo referente al cambio de carril o reducción de velocidad al acercarse a áreas de emergencia.</w:t>
      </w:r>
    </w:p>
    <w:p w14:paraId="2AD1281A" w14:textId="77777777" w:rsidR="001B7B4C" w:rsidRDefault="001B7B4C" w:rsidP="00D74285">
      <w:pPr>
        <w:jc w:val="both"/>
        <w:rPr>
          <w:rFonts w:ascii="Book Antiqua" w:eastAsia="Book Antiqua" w:hAnsi="Book Antiqua" w:cs="Book Antiqua"/>
        </w:rPr>
      </w:pPr>
    </w:p>
    <w:p w14:paraId="3CB8001A" w14:textId="49FDDB41" w:rsidR="001B7B4C" w:rsidRPr="001B7B4C" w:rsidRDefault="001B7B4C" w:rsidP="001B7B4C">
      <w:pPr>
        <w:ind w:firstLine="720"/>
        <w:jc w:val="both"/>
        <w:rPr>
          <w:rFonts w:ascii="Book Antiqua" w:eastAsia="Book Antiqua" w:hAnsi="Book Antiqua" w:cs="Book Antiqua"/>
        </w:rPr>
      </w:pPr>
      <w:r w:rsidRPr="001B7B4C">
        <w:rPr>
          <w:rFonts w:ascii="Book Antiqua" w:eastAsia="Book Antiqua" w:hAnsi="Book Antiqua" w:cs="Book Antiqua"/>
        </w:rPr>
        <w:t>En su memorial explicativo, la Comisión para la Seguridad en el Tránsito (CST) reafirma su compromiso con la prevención de accidentes y la educación vial. Aunque la CST no plantea objeciones a la propuesta, subraya la necesidad de contar con los fondos necesarios para llevar a cabo la campaña educativa de manera efectiva. Es importante destacar que, conforme a lo dispuesto en la Ley Núm. 226-2015, se establece que la campaña publicitaria será un servicio público proporcionado por la Corporación de Puerto Rico para la Difusión Pública.</w:t>
      </w:r>
    </w:p>
    <w:p w14:paraId="4A325640" w14:textId="77777777" w:rsidR="004C1B5A" w:rsidRDefault="004C1B5A" w:rsidP="004C1B5A">
      <w:pPr>
        <w:jc w:val="both"/>
        <w:rPr>
          <w:rFonts w:ascii="Book Antiqua" w:eastAsia="Book Antiqua" w:hAnsi="Book Antiqua" w:cs="Book Antiqua"/>
        </w:rPr>
      </w:pPr>
    </w:p>
    <w:p w14:paraId="00000025" w14:textId="640481F6"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t xml:space="preserve">Por los fundamentos antes expuestos, la Comisión de Transportación e Infraestructura, somete el presente Informe Positivo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105ECD8" w:rsidR="003867AC" w:rsidRPr="00700566" w:rsidRDefault="0085373F">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FFECA" w14:textId="77777777" w:rsidR="0085373F" w:rsidRDefault="0085373F">
      <w:r>
        <w:separator/>
      </w:r>
    </w:p>
  </w:endnote>
  <w:endnote w:type="continuationSeparator" w:id="0">
    <w:p w14:paraId="33A896C9" w14:textId="77777777" w:rsidR="0085373F" w:rsidRDefault="00853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0D9031E-01B8-45C5-9B62-1D2673581B08}"/>
  </w:font>
  <w:font w:name="Helvetica">
    <w:panose1 w:val="020B0604020202020204"/>
    <w:charset w:val="00"/>
    <w:family w:val="auto"/>
    <w:notTrueType/>
    <w:pitch w:val="variable"/>
    <w:sig w:usb0="E00002FF" w:usb1="5000785B" w:usb2="00000000" w:usb3="00000000" w:csb0="0000019F" w:csb1="00000000"/>
    <w:embedRegular r:id="rId2" w:fontKey="{09326E7D-A708-4F74-A1DD-B85DC9AE43D9}"/>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CD130ACD-12D8-452F-9AE4-060B2E89F3A9}"/>
  </w:font>
  <w:font w:name="Georgia">
    <w:panose1 w:val="02040502050405020303"/>
    <w:charset w:val="00"/>
    <w:family w:val="roman"/>
    <w:pitch w:val="variable"/>
    <w:sig w:usb0="00000287" w:usb1="00000000" w:usb2="00000000" w:usb3="00000000" w:csb0="0000009F" w:csb1="00000000"/>
    <w:embedRegular r:id="rId4" w:fontKey="{FD8A086E-5B74-4C5A-B860-FDB67F5E608B}"/>
    <w:embedItalic r:id="rId5" w:fontKey="{AAC95263-EA07-4487-9271-A4BF62792F61}"/>
  </w:font>
  <w:font w:name="Book Antiqua">
    <w:panose1 w:val="02040602050305030304"/>
    <w:charset w:val="00"/>
    <w:family w:val="roman"/>
    <w:pitch w:val="variable"/>
    <w:sig w:usb0="00000287" w:usb1="00000000" w:usb2="00000000" w:usb3="00000000" w:csb0="0000009F" w:csb1="00000000"/>
    <w:embedRegular r:id="rId6" w:fontKey="{0D0FAB10-263E-4073-8473-267438A6BD53}"/>
    <w:embedBold r:id="rId7" w:fontKey="{E8EB4812-20A6-4766-8236-AE3560C43DF6}"/>
  </w:font>
  <w:font w:name="Helvetica Neue">
    <w:charset w:val="00"/>
    <w:family w:val="auto"/>
    <w:pitch w:val="default"/>
    <w:embedRegular r:id="rId8" w:fontKey="{DE2C4378-FB0A-4D0C-A522-DA11CFE1FFC1}"/>
  </w:font>
  <w:font w:name="Lustria">
    <w:charset w:val="00"/>
    <w:family w:val="auto"/>
    <w:pitch w:val="default"/>
    <w:embedRegular r:id="rId9" w:fontKey="{76A4D82B-F93A-4E7F-AB86-CAE5C163441E}"/>
    <w:embedBoldItalic r:id="rId10" w:fontKey="{A2346F1F-3571-46B7-BA67-B2DC8BCF5F0B}"/>
  </w:font>
  <w:font w:name="Cambria">
    <w:panose1 w:val="02040503050406030204"/>
    <w:charset w:val="00"/>
    <w:family w:val="roman"/>
    <w:pitch w:val="variable"/>
    <w:sig w:usb0="E00006FF" w:usb1="420024FF" w:usb2="02000000" w:usb3="00000000" w:csb0="0000019F" w:csb1="00000000"/>
    <w:embedRegular r:id="rId11" w:fontKey="{9519BBFB-4ACB-4CA6-92CF-501792FCC36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2A914" w14:textId="77777777" w:rsidR="0085373F" w:rsidRDefault="0085373F">
      <w:r>
        <w:separator/>
      </w:r>
    </w:p>
  </w:footnote>
  <w:footnote w:type="continuationSeparator" w:id="0">
    <w:p w14:paraId="5F41E254" w14:textId="77777777" w:rsidR="0085373F" w:rsidRDefault="008537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201D834D"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465ECA">
      <w:rPr>
        <w:rFonts w:ascii="Lustria" w:eastAsia="Lustria" w:hAnsi="Lustria" w:cs="Lustria"/>
        <w:b/>
        <w:i/>
        <w:sz w:val="22"/>
        <w:szCs w:val="22"/>
      </w:rPr>
      <w:t>25</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B1453"/>
    <w:rsid w:val="000C0630"/>
    <w:rsid w:val="00142992"/>
    <w:rsid w:val="001B7B4C"/>
    <w:rsid w:val="00294E5A"/>
    <w:rsid w:val="00330BEF"/>
    <w:rsid w:val="003867AC"/>
    <w:rsid w:val="003D5C07"/>
    <w:rsid w:val="00465ECA"/>
    <w:rsid w:val="004C1B5A"/>
    <w:rsid w:val="004D4B21"/>
    <w:rsid w:val="006212C5"/>
    <w:rsid w:val="006D110C"/>
    <w:rsid w:val="00700566"/>
    <w:rsid w:val="007276A1"/>
    <w:rsid w:val="007D7D6A"/>
    <w:rsid w:val="007E0FCE"/>
    <w:rsid w:val="0085373F"/>
    <w:rsid w:val="008F30F0"/>
    <w:rsid w:val="00AC77D8"/>
    <w:rsid w:val="00C86EC0"/>
    <w:rsid w:val="00CE34E6"/>
    <w:rsid w:val="00D74285"/>
    <w:rsid w:val="00DC6066"/>
    <w:rsid w:val="00DD6D1E"/>
    <w:rsid w:val="00E13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967</Words>
  <Characters>5515</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Kristal Rivera Sanchez</cp:lastModifiedBy>
  <cp:revision>2</cp:revision>
  <cp:lastPrinted>2025-04-03T14:08:00Z</cp:lastPrinted>
  <dcterms:created xsi:type="dcterms:W3CDTF">2025-04-08T16:06:00Z</dcterms:created>
  <dcterms:modified xsi:type="dcterms:W3CDTF">2025-04-08T16:06:00Z</dcterms:modified>
</cp:coreProperties>
</file>