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94D64" w14:textId="77777777" w:rsidR="00474C6B" w:rsidRPr="00474C6B" w:rsidRDefault="00474C6B" w:rsidP="00474C6B">
      <w:pPr>
        <w:suppressAutoHyphens/>
        <w:jc w:val="center"/>
        <w:rPr>
          <w:rFonts w:ascii="Book Antiqua" w:hAnsi="Book Antiqua"/>
          <w:b/>
          <w:bCs/>
          <w:szCs w:val="24"/>
          <w:lang w:val="es-PR"/>
        </w:rPr>
      </w:pPr>
      <w:bookmarkStart w:id="0" w:name="_Hlk138253982"/>
      <w:r w:rsidRPr="00474C6B">
        <w:rPr>
          <w:rFonts w:ascii="Book Antiqua" w:hAnsi="Book Antiqua"/>
          <w:b/>
          <w:bCs/>
          <w:sz w:val="28"/>
          <w:szCs w:val="28"/>
          <w:lang w:val="es-PR"/>
        </w:rPr>
        <w:t>(</w:t>
      </w:r>
      <w:r w:rsidRPr="00474C6B">
        <w:rPr>
          <w:rFonts w:ascii="Book Antiqua" w:hAnsi="Book Antiqua"/>
          <w:b/>
          <w:bCs/>
          <w:szCs w:val="24"/>
          <w:lang w:val="es-PR"/>
        </w:rPr>
        <w:t>TEXTO DE APROBACIÓN FINAL POR LA CÁMARA)</w:t>
      </w:r>
      <w:r w:rsidRPr="00474C6B">
        <w:rPr>
          <w:rFonts w:ascii="Book Antiqua" w:hAnsi="Book Antiqua"/>
          <w:b/>
          <w:bCs/>
          <w:szCs w:val="24"/>
          <w:lang w:val="es-ES"/>
        </w:rPr>
        <w:fldChar w:fldCharType="begin"/>
      </w:r>
      <w:r w:rsidRPr="00474C6B">
        <w:rPr>
          <w:rFonts w:ascii="Book Antiqua" w:hAnsi="Book Antiqua"/>
          <w:b/>
          <w:bCs/>
          <w:szCs w:val="24"/>
          <w:lang w:val="es-PR"/>
        </w:rPr>
        <w:instrText xml:space="preserve">PRIVATE </w:instrText>
      </w:r>
      <w:r w:rsidRPr="00474C6B">
        <w:rPr>
          <w:rFonts w:ascii="Book Antiqua" w:hAnsi="Book Antiqua"/>
          <w:b/>
          <w:bCs/>
          <w:szCs w:val="24"/>
          <w:lang w:val="es-ES"/>
        </w:rPr>
        <w:fldChar w:fldCharType="end"/>
      </w:r>
    </w:p>
    <w:p w14:paraId="047AB4A6" w14:textId="77777777" w:rsidR="00474C6B" w:rsidRPr="00474C6B" w:rsidRDefault="00474C6B" w:rsidP="00474C6B">
      <w:pPr>
        <w:suppressAutoHyphens/>
        <w:jc w:val="center"/>
        <w:rPr>
          <w:rFonts w:ascii="Book Antiqua" w:hAnsi="Book Antiqua"/>
          <w:b/>
          <w:bCs/>
          <w:szCs w:val="24"/>
          <w:lang w:val="es-PR"/>
        </w:rPr>
      </w:pPr>
      <w:r w:rsidRPr="00474C6B">
        <w:rPr>
          <w:rFonts w:ascii="Book Antiqua" w:hAnsi="Book Antiqua"/>
          <w:b/>
          <w:bCs/>
          <w:szCs w:val="24"/>
          <w:lang w:val="es-PR"/>
        </w:rPr>
        <w:t>(12 DE JUNIO DE 2025)</w:t>
      </w:r>
    </w:p>
    <w:p w14:paraId="7270E412" w14:textId="3797AC50" w:rsidR="00474C6B" w:rsidRPr="00474C6B" w:rsidRDefault="00474C6B" w:rsidP="00474C6B">
      <w:pPr>
        <w:suppressAutoHyphens/>
        <w:jc w:val="center"/>
        <w:rPr>
          <w:rFonts w:ascii="Book Antiqua" w:hAnsi="Book Antiqua"/>
          <w:b/>
          <w:bCs/>
          <w:szCs w:val="24"/>
          <w:lang w:val="es-ES_tradnl"/>
        </w:rPr>
      </w:pPr>
      <w:r w:rsidRPr="00474C6B">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790AC94B" wp14:editId="54B179BA">
                <wp:simplePos x="0" y="0"/>
                <wp:positionH relativeFrom="margin">
                  <wp:posOffset>0</wp:posOffset>
                </wp:positionH>
                <wp:positionV relativeFrom="paragraph">
                  <wp:posOffset>0</wp:posOffset>
                </wp:positionV>
                <wp:extent cx="5943600" cy="22860"/>
                <wp:effectExtent l="0" t="0" r="0" b="0"/>
                <wp:wrapNone/>
                <wp:docPr id="120488018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D0B1C4"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C543A2E" w14:textId="760C5BC7" w:rsidR="00FF6BD2" w:rsidRDefault="009A326C" w:rsidP="009A326C">
      <w:pPr>
        <w:jc w:val="center"/>
        <w:rPr>
          <w:rFonts w:ascii="Book Antiqua" w:hAnsi="Book Antiqua"/>
          <w:sz w:val="28"/>
          <w:lang w:val="es-ES_tradnl"/>
        </w:rPr>
      </w:pPr>
      <w:r>
        <w:rPr>
          <w:rFonts w:ascii="Book Antiqua" w:hAnsi="Book Antiqua"/>
          <w:sz w:val="28"/>
          <w:lang w:val="es-ES_tradnl"/>
        </w:rPr>
        <w:t>GOBIERNO</w:t>
      </w:r>
      <w:r w:rsidR="009241B7">
        <w:rPr>
          <w:rFonts w:ascii="Book Antiqua" w:hAnsi="Book Antiqua"/>
          <w:sz w:val="28"/>
          <w:lang w:val="es-ES_tradnl"/>
        </w:rPr>
        <w:t xml:space="preserve"> DE PUERTO RICO</w:t>
      </w:r>
    </w:p>
    <w:p w14:paraId="4648EE99" w14:textId="77777777" w:rsidR="009241B7" w:rsidRPr="009A326C" w:rsidRDefault="009241B7" w:rsidP="009A326C">
      <w:pPr>
        <w:jc w:val="center"/>
        <w:rPr>
          <w:rFonts w:ascii="Book Antiqua" w:hAnsi="Book Antiqua"/>
          <w:szCs w:val="18"/>
          <w:lang w:val="es-ES_tradnl"/>
        </w:rPr>
      </w:pPr>
    </w:p>
    <w:p w14:paraId="76F62F08" w14:textId="26F46813" w:rsidR="009241B7" w:rsidRPr="0022423F" w:rsidRDefault="0022423F" w:rsidP="0022423F">
      <w:pPr>
        <w:pStyle w:val="Title2"/>
        <w:tabs>
          <w:tab w:val="clear" w:pos="648"/>
          <w:tab w:val="clear" w:pos="7776"/>
          <w:tab w:val="clear" w:pos="7848"/>
        </w:tabs>
        <w:rPr>
          <w:rFonts w:ascii="Book Antiqua" w:hAnsi="Book Antiqua"/>
          <w:lang w:val="it-IT"/>
        </w:rPr>
      </w:pPr>
      <w:r w:rsidRPr="0022423F">
        <w:rPr>
          <w:rFonts w:ascii="Book Antiqua" w:hAnsi="Book Antiqua"/>
          <w:lang w:val="it-IT"/>
        </w:rPr>
        <w:t>20ma.</w:t>
      </w:r>
      <w:r>
        <w:rPr>
          <w:rFonts w:ascii="Book Antiqua" w:hAnsi="Book Antiqua"/>
          <w:lang w:val="it-IT"/>
        </w:rPr>
        <w:t xml:space="preserve"> </w:t>
      </w:r>
      <w:r w:rsidR="009241B7" w:rsidRPr="0022423F">
        <w:rPr>
          <w:rFonts w:ascii="Book Antiqua" w:hAnsi="Book Antiqua"/>
          <w:lang w:val="it-IT"/>
        </w:rPr>
        <w:t>Asamblea</w:t>
      </w:r>
      <w:r w:rsidR="009241B7" w:rsidRPr="0022423F">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1ra. </w:t>
      </w:r>
      <w:r w:rsidR="009241B7" w:rsidRPr="0022423F">
        <w:rPr>
          <w:rFonts w:ascii="Book Antiqua" w:hAnsi="Book Antiqua"/>
          <w:lang w:val="it-IT"/>
        </w:rPr>
        <w:t>Sesión</w:t>
      </w:r>
    </w:p>
    <w:p w14:paraId="5D7742BC" w14:textId="094973A0" w:rsidR="009241B7" w:rsidRPr="0022423F" w:rsidRDefault="009241B7" w:rsidP="0022423F">
      <w:pPr>
        <w:pStyle w:val="Title2"/>
        <w:tabs>
          <w:tab w:val="clear" w:pos="648"/>
          <w:tab w:val="clear" w:pos="7776"/>
          <w:tab w:val="clear" w:pos="7848"/>
        </w:tabs>
        <w:rPr>
          <w:rFonts w:ascii="Book Antiqua" w:hAnsi="Book Antiqua"/>
          <w:lang w:val="it-IT"/>
        </w:rPr>
      </w:pPr>
      <w:r w:rsidRPr="0022423F">
        <w:rPr>
          <w:rFonts w:ascii="Book Antiqua" w:hAnsi="Book Antiqua"/>
          <w:lang w:val="it-IT"/>
        </w:rPr>
        <w:tab/>
        <w:t>Legislativa</w:t>
      </w:r>
      <w:r w:rsidRPr="0022423F">
        <w:rPr>
          <w:rFonts w:ascii="Book Antiqua" w:hAnsi="Book Antiqua"/>
          <w:lang w:val="it-IT"/>
        </w:rPr>
        <w:tab/>
      </w:r>
      <w:r w:rsidRPr="0022423F">
        <w:rPr>
          <w:rFonts w:ascii="Book Antiqua" w:hAnsi="Book Antiqua"/>
          <w:lang w:val="it-IT"/>
        </w:rPr>
        <w:tab/>
      </w:r>
      <w:r w:rsidR="0022423F">
        <w:rPr>
          <w:rFonts w:ascii="Book Antiqua" w:hAnsi="Book Antiqua"/>
          <w:lang w:val="it-IT"/>
        </w:rPr>
        <w:t xml:space="preserve">                                                                                          </w:t>
      </w:r>
      <w:r w:rsidRPr="0022423F">
        <w:rPr>
          <w:rFonts w:ascii="Book Antiqua" w:hAnsi="Book Antiqua"/>
          <w:lang w:val="it-IT"/>
        </w:rPr>
        <w:t>Ordinaria</w:t>
      </w:r>
    </w:p>
    <w:p w14:paraId="434817D0" w14:textId="77777777" w:rsidR="009241B7" w:rsidRPr="0022423F" w:rsidRDefault="009241B7" w:rsidP="009A326C">
      <w:pPr>
        <w:rPr>
          <w:lang w:val="it-IT"/>
        </w:rPr>
      </w:pPr>
    </w:p>
    <w:p w14:paraId="3FC66785" w14:textId="77777777" w:rsidR="009241B7" w:rsidRDefault="009241B7" w:rsidP="009A326C">
      <w:pPr>
        <w:jc w:val="center"/>
        <w:rPr>
          <w:rFonts w:ascii="Book Antiqua" w:hAnsi="Book Antiqua"/>
          <w:b/>
          <w:sz w:val="36"/>
          <w:lang w:val="es-ES_tradnl"/>
        </w:rPr>
      </w:pPr>
      <w:r>
        <w:rPr>
          <w:rFonts w:ascii="Book Antiqua" w:hAnsi="Book Antiqua"/>
          <w:b/>
          <w:sz w:val="36"/>
          <w:lang w:val="es-ES_tradnl"/>
        </w:rPr>
        <w:t>CÁMARA DE REPRESENTANTES</w:t>
      </w:r>
    </w:p>
    <w:p w14:paraId="397E34CE" w14:textId="77777777" w:rsidR="009241B7" w:rsidRPr="009A326C" w:rsidRDefault="009241B7" w:rsidP="009A326C">
      <w:pPr>
        <w:jc w:val="center"/>
        <w:rPr>
          <w:rFonts w:ascii="Book Antiqua" w:hAnsi="Book Antiqua"/>
          <w:b/>
          <w:szCs w:val="24"/>
          <w:lang w:val="es-ES_tradnl"/>
        </w:rPr>
      </w:pPr>
    </w:p>
    <w:p w14:paraId="39BC945C" w14:textId="35C172AD" w:rsidR="009241B7" w:rsidRDefault="009241B7" w:rsidP="009A326C">
      <w:pPr>
        <w:jc w:val="center"/>
        <w:rPr>
          <w:rFonts w:ascii="Book Antiqua" w:hAnsi="Book Antiqua"/>
          <w:b/>
          <w:sz w:val="52"/>
          <w:lang w:val="es-ES_tradnl"/>
        </w:rPr>
      </w:pPr>
      <w:r>
        <w:rPr>
          <w:rFonts w:ascii="Book Antiqua" w:hAnsi="Book Antiqua"/>
          <w:b/>
          <w:sz w:val="52"/>
          <w:lang w:val="es-ES_tradnl"/>
        </w:rPr>
        <w:t xml:space="preserve">R. C. de la C. </w:t>
      </w:r>
      <w:r w:rsidR="00BC66C7">
        <w:rPr>
          <w:rFonts w:ascii="Book Antiqua" w:hAnsi="Book Antiqua"/>
          <w:b/>
          <w:sz w:val="52"/>
          <w:lang w:val="es-ES_tradnl"/>
        </w:rPr>
        <w:t>30</w:t>
      </w:r>
    </w:p>
    <w:p w14:paraId="74BEA646" w14:textId="77777777" w:rsidR="009A326C" w:rsidRPr="009A326C" w:rsidRDefault="009A326C" w:rsidP="009A326C">
      <w:pPr>
        <w:jc w:val="center"/>
        <w:rPr>
          <w:rFonts w:ascii="Book Antiqua" w:hAnsi="Book Antiqua"/>
          <w:b/>
          <w:szCs w:val="24"/>
          <w:lang w:val="es-ES_tradnl"/>
        </w:rPr>
      </w:pPr>
    </w:p>
    <w:p w14:paraId="129458E1" w14:textId="6A9D86FF" w:rsidR="009241B7" w:rsidRDefault="00BC66C7" w:rsidP="009A326C">
      <w:pPr>
        <w:jc w:val="center"/>
        <w:rPr>
          <w:rFonts w:ascii="Book Antiqua" w:hAnsi="Book Antiqua"/>
          <w:lang w:val="es-ES_tradnl"/>
        </w:rPr>
      </w:pPr>
      <w:r>
        <w:rPr>
          <w:rFonts w:ascii="Book Antiqua" w:hAnsi="Book Antiqua"/>
          <w:lang w:val="es-ES_tradnl"/>
        </w:rPr>
        <w:t xml:space="preserve">13 </w:t>
      </w:r>
      <w:r w:rsidR="009241B7">
        <w:rPr>
          <w:rFonts w:ascii="Book Antiqua" w:hAnsi="Book Antiqua"/>
          <w:lang w:val="es-ES_tradnl"/>
        </w:rPr>
        <w:t xml:space="preserve">DE </w:t>
      </w:r>
      <w:r w:rsidR="00FF120F">
        <w:rPr>
          <w:rFonts w:ascii="Book Antiqua" w:hAnsi="Book Antiqua"/>
          <w:lang w:val="es-ES_tradnl"/>
        </w:rPr>
        <w:t>ENERO</w:t>
      </w:r>
      <w:r w:rsidR="009241B7">
        <w:rPr>
          <w:rFonts w:ascii="Book Antiqua" w:hAnsi="Book Antiqua"/>
          <w:lang w:val="es-ES_tradnl"/>
        </w:rPr>
        <w:t xml:space="preserve"> DE 202</w:t>
      </w:r>
      <w:r w:rsidR="00FD13AE">
        <w:rPr>
          <w:rFonts w:ascii="Book Antiqua" w:hAnsi="Book Antiqua"/>
          <w:lang w:val="es-ES_tradnl"/>
        </w:rPr>
        <w:t>5</w:t>
      </w:r>
    </w:p>
    <w:p w14:paraId="331DDBBD" w14:textId="77777777" w:rsidR="009A326C" w:rsidRDefault="009A326C" w:rsidP="009A326C">
      <w:pPr>
        <w:jc w:val="center"/>
        <w:rPr>
          <w:rFonts w:ascii="Book Antiqua" w:hAnsi="Book Antiqua"/>
          <w:lang w:val="es-ES_tradnl"/>
        </w:rPr>
      </w:pPr>
    </w:p>
    <w:p w14:paraId="60225FD7" w14:textId="77777777" w:rsidR="009241B7" w:rsidRDefault="009241B7" w:rsidP="009A326C">
      <w:pPr>
        <w:jc w:val="center"/>
        <w:rPr>
          <w:rFonts w:ascii="Book Antiqua" w:hAnsi="Book Antiqua"/>
          <w:i/>
          <w:lang w:val="es-ES_tradnl"/>
        </w:rPr>
      </w:pPr>
      <w:r>
        <w:rPr>
          <w:rFonts w:ascii="Book Antiqua" w:hAnsi="Book Antiqua"/>
          <w:lang w:val="es-ES_tradnl"/>
        </w:rPr>
        <w:t xml:space="preserve">Presentada por el representante </w:t>
      </w:r>
      <w:r>
        <w:rPr>
          <w:rFonts w:ascii="Book Antiqua" w:hAnsi="Book Antiqua"/>
          <w:i/>
          <w:lang w:val="es-ES_tradnl"/>
        </w:rPr>
        <w:t>Rodríguez Aguiló</w:t>
      </w:r>
    </w:p>
    <w:p w14:paraId="257B292B" w14:textId="77777777" w:rsidR="009A326C" w:rsidRDefault="009A326C" w:rsidP="009A326C">
      <w:pPr>
        <w:jc w:val="center"/>
        <w:rPr>
          <w:rFonts w:ascii="Book Antiqua" w:hAnsi="Book Antiqua"/>
          <w:lang w:val="es-ES_tradnl"/>
        </w:rPr>
      </w:pPr>
    </w:p>
    <w:p w14:paraId="79704538" w14:textId="77777777" w:rsidR="00FB107A" w:rsidRPr="00FB107A" w:rsidRDefault="00FB107A" w:rsidP="00FB107A">
      <w:pPr>
        <w:jc w:val="center"/>
        <w:rPr>
          <w:rFonts w:ascii="Book Antiqua" w:hAnsi="Book Antiqua"/>
          <w:lang w:val="es-ES_tradnl"/>
        </w:rPr>
      </w:pPr>
      <w:r w:rsidRPr="00FB107A">
        <w:rPr>
          <w:rFonts w:ascii="Book Antiqua" w:hAnsi="Book Antiqua"/>
          <w:lang w:val="es-ES_tradnl"/>
        </w:rPr>
        <w:t>Referida a la Comisión de Agricultura</w:t>
      </w:r>
    </w:p>
    <w:p w14:paraId="6ABC70FA" w14:textId="77777777" w:rsidR="009241B7" w:rsidRDefault="009241B7" w:rsidP="00FB107A">
      <w:pPr>
        <w:jc w:val="center"/>
        <w:rPr>
          <w:rFonts w:ascii="Book Antiqua" w:hAnsi="Book Antiqua"/>
          <w:lang w:val="es-ES_tradnl"/>
        </w:rPr>
      </w:pPr>
    </w:p>
    <w:p w14:paraId="5A470A8C" w14:textId="77777777" w:rsidR="009241B7" w:rsidRDefault="009241B7" w:rsidP="009A326C">
      <w:pPr>
        <w:jc w:val="center"/>
        <w:rPr>
          <w:rFonts w:ascii="Book Antiqua" w:hAnsi="Book Antiqua"/>
          <w:b/>
          <w:sz w:val="28"/>
          <w:lang w:val="es-ES_tradnl"/>
        </w:rPr>
      </w:pPr>
      <w:r>
        <w:rPr>
          <w:rFonts w:ascii="Book Antiqua" w:hAnsi="Book Antiqua"/>
          <w:b/>
          <w:sz w:val="28"/>
          <w:lang w:val="es-ES_tradnl"/>
        </w:rPr>
        <w:t>RESOLUCIÓN CONJUNTA</w:t>
      </w:r>
    </w:p>
    <w:p w14:paraId="726C93FE" w14:textId="77777777" w:rsidR="009241B7" w:rsidRDefault="009241B7" w:rsidP="009A326C">
      <w:pPr>
        <w:jc w:val="both"/>
        <w:rPr>
          <w:rFonts w:ascii="Book Antiqua" w:hAnsi="Book Antiqua"/>
          <w:lang w:val="es-ES_tradnl"/>
        </w:rPr>
      </w:pPr>
    </w:p>
    <w:p w14:paraId="4A767022" w14:textId="3BF126BE" w:rsidR="001B5D9A" w:rsidRPr="0022423F" w:rsidRDefault="009241B7" w:rsidP="0022423F">
      <w:pPr>
        <w:ind w:left="720" w:hanging="720"/>
        <w:jc w:val="both"/>
        <w:rPr>
          <w:rFonts w:ascii="Book Antiqua" w:hAnsi="Book Antiqua"/>
          <w:lang w:val="es-ES_tradnl"/>
        </w:rPr>
      </w:pPr>
      <w:r>
        <w:rPr>
          <w:rFonts w:ascii="Book Antiqua" w:hAnsi="Book Antiqua"/>
          <w:lang w:val="es-ES_tradnl"/>
        </w:rPr>
        <w:t xml:space="preserve">Para </w:t>
      </w:r>
      <w:r w:rsidR="00E279D7" w:rsidRPr="00950448">
        <w:rPr>
          <w:rFonts w:ascii="Book Antiqua" w:hAnsi="Book Antiqua"/>
          <w:lang w:val="es-ES_tradnl"/>
        </w:rPr>
        <w:t xml:space="preserve">ordenar </w:t>
      </w:r>
      <w:r w:rsidR="00E279D7" w:rsidRPr="00180D52">
        <w:rPr>
          <w:rFonts w:ascii="Book Antiqua" w:hAnsi="Book Antiqua"/>
          <w:lang w:val="es-ES_tradnl"/>
        </w:rPr>
        <w:t xml:space="preserve">al Departamento de Agricultura y a la Junta de Planificación de Puerto Rico, </w:t>
      </w:r>
      <w:r w:rsidR="00E279D7" w:rsidRPr="0022423F">
        <w:rPr>
          <w:rFonts w:ascii="Book Antiqua" w:hAnsi="Book Antiqua"/>
          <w:lang w:val="es-ES_tradnl"/>
        </w:rPr>
        <w:t xml:space="preserve">a proceder con la liberación de las condiciones y restricciones </w:t>
      </w:r>
      <w:r w:rsidR="00E279D7" w:rsidRPr="0022423F">
        <w:rPr>
          <w:rFonts w:ascii="Book Antiqua" w:hAnsi="Book Antiqua"/>
          <w:lang w:val="es-PR"/>
        </w:rPr>
        <w:t xml:space="preserve">sobre preservación e indivisión previamente impuestas y anotadas, según dispuesto por la Ley 107 de 3 de julio de 1974, según enmendada, del predio de terreno </w:t>
      </w:r>
      <w:r w:rsidR="00E279D7" w:rsidRPr="0022423F">
        <w:rPr>
          <w:rFonts w:ascii="Book Antiqua" w:hAnsi="Book Antiqua"/>
          <w:lang w:val="es-ES_tradnl"/>
        </w:rPr>
        <w:t xml:space="preserve">marcado con el número cuatro (4), en el plano de subdivisión del Proyecto </w:t>
      </w:r>
      <w:proofErr w:type="spellStart"/>
      <w:r w:rsidR="00E279D7" w:rsidRPr="0022423F">
        <w:rPr>
          <w:rFonts w:ascii="Book Antiqua" w:hAnsi="Book Antiqua"/>
          <w:lang w:val="es-ES_tradnl"/>
        </w:rPr>
        <w:t>Mayaguecillo</w:t>
      </w:r>
      <w:proofErr w:type="spellEnd"/>
      <w:r w:rsidR="00E279D7" w:rsidRPr="0022423F">
        <w:rPr>
          <w:rFonts w:ascii="Book Antiqua" w:hAnsi="Book Antiqua"/>
          <w:lang w:val="es-ES_tradnl"/>
        </w:rPr>
        <w:t xml:space="preserve">, localizado en el barrio Maravilla Sur del término municipal de Las Marías, Puerto Rico y según consta en la Certificación de Título otorgada por la Corporación para el Desarrollo Rural de Puerto Rico a favor de Don Jesús </w:t>
      </w:r>
      <w:proofErr w:type="spellStart"/>
      <w:r w:rsidR="00E279D7" w:rsidRPr="0022423F">
        <w:rPr>
          <w:rFonts w:ascii="Book Antiqua" w:hAnsi="Book Antiqua"/>
          <w:lang w:val="es-ES_tradnl"/>
        </w:rPr>
        <w:t>Laracuente</w:t>
      </w:r>
      <w:proofErr w:type="spellEnd"/>
      <w:r w:rsidR="00E279D7" w:rsidRPr="0022423F">
        <w:rPr>
          <w:rFonts w:ascii="Book Antiqua" w:hAnsi="Book Antiqua"/>
          <w:lang w:val="es-ES_tradnl"/>
        </w:rPr>
        <w:t xml:space="preserve"> Rodríguez y Doña Irene Aponte Mora; y para otros fines pertinentes</w:t>
      </w:r>
      <w:r w:rsidR="00950448" w:rsidRPr="0022423F">
        <w:rPr>
          <w:rFonts w:ascii="Book Antiqua" w:hAnsi="Book Antiqua"/>
          <w:lang w:val="es-ES_tradnl"/>
        </w:rPr>
        <w:t>.</w:t>
      </w:r>
    </w:p>
    <w:p w14:paraId="3CB8A1BE" w14:textId="77777777" w:rsidR="009241B7" w:rsidRDefault="00950448" w:rsidP="009A326C">
      <w:pPr>
        <w:ind w:left="360" w:hanging="360"/>
        <w:jc w:val="both"/>
        <w:rPr>
          <w:rFonts w:ascii="Book Antiqua" w:hAnsi="Book Antiqua"/>
          <w:lang w:val="es-ES_tradnl"/>
        </w:rPr>
      </w:pPr>
      <w:r w:rsidRPr="00950448">
        <w:rPr>
          <w:rFonts w:ascii="Book Antiqua" w:hAnsi="Book Antiqua"/>
          <w:lang w:val="es-ES_tradnl"/>
        </w:rPr>
        <w:t xml:space="preserve">  </w:t>
      </w:r>
    </w:p>
    <w:p w14:paraId="1221C440" w14:textId="77777777" w:rsidR="009241B7" w:rsidRDefault="009241B7" w:rsidP="00DF0A87">
      <w:pPr>
        <w:jc w:val="center"/>
        <w:rPr>
          <w:rFonts w:ascii="Book Antiqua" w:hAnsi="Book Antiqua"/>
          <w:lang w:val="es-ES_tradnl"/>
        </w:rPr>
      </w:pPr>
      <w:r>
        <w:rPr>
          <w:rFonts w:ascii="Book Antiqua" w:hAnsi="Book Antiqua"/>
          <w:lang w:val="es-ES_tradnl"/>
        </w:rPr>
        <w:t>EXPOSICIÓN DE MOTIVOS</w:t>
      </w:r>
    </w:p>
    <w:p w14:paraId="6563DA05" w14:textId="77777777" w:rsidR="009A326C" w:rsidRDefault="009A326C" w:rsidP="009A326C">
      <w:pPr>
        <w:ind w:firstLine="360"/>
        <w:jc w:val="center"/>
        <w:rPr>
          <w:rFonts w:ascii="Book Antiqua" w:hAnsi="Book Antiqua"/>
          <w:lang w:val="es-ES_tradnl"/>
        </w:rPr>
      </w:pPr>
    </w:p>
    <w:p w14:paraId="26850412" w14:textId="77777777" w:rsidR="00ED28DB" w:rsidRPr="0022423F" w:rsidRDefault="00ED28DB" w:rsidP="0022423F">
      <w:pPr>
        <w:ind w:firstLine="720"/>
        <w:jc w:val="both"/>
        <w:rPr>
          <w:rFonts w:ascii="Book Antiqua" w:hAnsi="Book Antiqua"/>
          <w:lang w:val="es-ES_tradnl"/>
        </w:rPr>
      </w:pPr>
      <w:r w:rsidRPr="0022423F">
        <w:rPr>
          <w:rFonts w:ascii="Book Antiqua" w:hAnsi="Book Antiqua"/>
          <w:lang w:val="es-ES_tradnl"/>
        </w:rPr>
        <w:t xml:space="preserve">La Ley Núm. 107 de 3 de julio de 1974, según enmendada, creó el Programa de Fincas de Tipo Familiar, conocido como “Título VI de la Ley de Tierras”.  Conforme a la citada disposición legal, el </w:t>
      </w:r>
      <w:proofErr w:type="gramStart"/>
      <w:r w:rsidRPr="0022423F">
        <w:rPr>
          <w:rFonts w:ascii="Book Antiqua" w:hAnsi="Book Antiqua"/>
          <w:lang w:val="es-ES_tradnl"/>
        </w:rPr>
        <w:t>Secretario</w:t>
      </w:r>
      <w:proofErr w:type="gramEnd"/>
      <w:r w:rsidRPr="0022423F">
        <w:rPr>
          <w:rFonts w:ascii="Book Antiqua" w:hAnsi="Book Antiqua"/>
          <w:lang w:val="es-ES_tradnl"/>
        </w:rPr>
        <w:t xml:space="preserve"> de Agricultura está facultado para disponer de terrenos para uso agrícola, mediante cesión, venta, arrendamiento o usufructo, bajo una serie de condiciones y restricciones que forman parte de la escritura o de la Certificación de Título que emite el Departamento de Agricultura. De igual manera, la Ley Núm. 107, supra, establece condiciones y restricciones de no segregación ni cambio de uso agrícola a las fincas adscritas a dicho Programa.  Como regla general, esta disposición legal le </w:t>
      </w:r>
      <w:r w:rsidRPr="0022423F">
        <w:rPr>
          <w:rFonts w:ascii="Book Antiqua" w:hAnsi="Book Antiqua"/>
          <w:lang w:val="es-ES_tradnl"/>
        </w:rPr>
        <w:lastRenderedPageBreak/>
        <w:t>prohíbe a la Junta de Planificación de Puerto Rico aprobar proyectos que intenten segregar dichas unidades agrícolas o dedicarlas a un uso que no sea agrícola.</w:t>
      </w:r>
    </w:p>
    <w:p w14:paraId="57F9E34E" w14:textId="77777777" w:rsidR="00ED28DB" w:rsidRDefault="00ED28DB" w:rsidP="0022423F">
      <w:pPr>
        <w:ind w:firstLine="720"/>
        <w:jc w:val="both"/>
        <w:rPr>
          <w:rFonts w:ascii="Book Antiqua" w:hAnsi="Book Antiqua"/>
          <w:lang w:val="es-ES_tradnl"/>
        </w:rPr>
      </w:pPr>
      <w:r w:rsidRPr="00FF120F">
        <w:rPr>
          <w:rFonts w:ascii="Book Antiqua" w:hAnsi="Book Antiqua"/>
          <w:lang w:val="es-ES_tradnl"/>
        </w:rPr>
        <w:t xml:space="preserve"> </w:t>
      </w:r>
    </w:p>
    <w:p w14:paraId="28920D17" w14:textId="77777777" w:rsidR="00ED28DB" w:rsidRPr="0022423F" w:rsidRDefault="00ED28DB" w:rsidP="0022423F">
      <w:pPr>
        <w:ind w:firstLine="720"/>
        <w:jc w:val="both"/>
        <w:rPr>
          <w:rFonts w:ascii="Book Antiqua" w:hAnsi="Book Antiqua"/>
          <w:lang w:val="es-PR"/>
        </w:rPr>
      </w:pPr>
      <w:r w:rsidRPr="0022423F">
        <w:rPr>
          <w:rFonts w:ascii="Book Antiqua" w:hAnsi="Book Antiqua"/>
          <w:lang w:val="es-ES_tradnl"/>
        </w:rPr>
        <w:t xml:space="preserve">A su vez, la Ley Núm. 107, antes citada, establece varias excepciones para permitir que los terrenos fueran cambiados de uso y pudieran ser segregados, luego de cumplir con los requisitos expresados en dicha legislación. Finalmente, la propia Ley establece que la Asamblea Legislativa tiene la facultad para liberar las restricciones antes mencionadas.  </w:t>
      </w:r>
      <w:r w:rsidRPr="0022423F">
        <w:rPr>
          <w:rFonts w:ascii="Book Antiqua" w:hAnsi="Book Antiqua"/>
          <w:lang w:val="es-PR"/>
        </w:rPr>
        <w:t xml:space="preserve">Específicamente, el Artículo 3 de la Ley Núm. 107, supra, reconoce ya la facultad inherente de esta Asamblea Legislativa para ordenar que se liberen las restricciones que establece la propia Ley en aquellos casos que lo estimare meritorio. </w:t>
      </w:r>
    </w:p>
    <w:p w14:paraId="060CF876" w14:textId="77777777" w:rsidR="00ED28DB" w:rsidRPr="0022423F" w:rsidRDefault="00ED28DB" w:rsidP="0022423F">
      <w:pPr>
        <w:ind w:firstLine="720"/>
        <w:jc w:val="both"/>
        <w:rPr>
          <w:rFonts w:ascii="Book Antiqua" w:hAnsi="Book Antiqua"/>
          <w:lang w:val="es-PR"/>
        </w:rPr>
      </w:pPr>
    </w:p>
    <w:p w14:paraId="3AA476D2" w14:textId="378EABB3" w:rsidR="00ED28DB" w:rsidRPr="0022423F" w:rsidRDefault="00ED28DB" w:rsidP="0022423F">
      <w:pPr>
        <w:ind w:firstLine="720"/>
        <w:jc w:val="both"/>
        <w:rPr>
          <w:rFonts w:ascii="Book Antiqua" w:hAnsi="Book Antiqua"/>
          <w:lang w:val="es-PR"/>
        </w:rPr>
      </w:pPr>
      <w:r w:rsidRPr="0022423F">
        <w:rPr>
          <w:rFonts w:ascii="Book Antiqua" w:hAnsi="Book Antiqua"/>
          <w:lang w:val="es-PR"/>
        </w:rPr>
        <w:t xml:space="preserve">En su origen la finalidad del Programa de Fincas de Tipo Familiar, establecido por la Ley Núm. 107, supra, era promover la agricultura en pequeños predios. No obstante, a lo largo de cuatro décadas de cambios sociales, económicos y demográficos en Puerto Rico. </w:t>
      </w:r>
      <w:r w:rsidR="00A85974">
        <w:rPr>
          <w:rFonts w:ascii="Book Antiqua" w:hAnsi="Book Antiqua"/>
          <w:lang w:val="es-PR"/>
        </w:rPr>
        <w:t>L</w:t>
      </w:r>
      <w:r w:rsidRPr="0022423F">
        <w:rPr>
          <w:rFonts w:ascii="Book Antiqua" w:hAnsi="Book Antiqua"/>
          <w:lang w:val="es-PR"/>
        </w:rPr>
        <w:t>a realidad es que los hijos de aquellos primeros beneficiarios del programa necesitaron un lugar donde vivir y desarrollarse en momentos de un auge poblacional. Por ello, fueron ampliando el entorno a través del establecimiento de comunidades en dichas tierras. Es una realidad actual que muchas de estas fincas albergan las viviendas de los hijos de los titulares originales.  Sin embargos, estos hijos, en igual de condiciones, se ven impedidos de llevar a cabo la división y segregación de los predios donde enclavan sus residencias.</w:t>
      </w:r>
    </w:p>
    <w:p w14:paraId="526F39B8" w14:textId="77777777" w:rsidR="00ED28DB" w:rsidRPr="006D4978" w:rsidRDefault="00ED28DB" w:rsidP="0022423F">
      <w:pPr>
        <w:ind w:firstLine="720"/>
        <w:jc w:val="both"/>
        <w:rPr>
          <w:rFonts w:ascii="Book Antiqua" w:hAnsi="Book Antiqua"/>
          <w:lang w:val="es-PR"/>
        </w:rPr>
      </w:pPr>
    </w:p>
    <w:p w14:paraId="1006231C" w14:textId="77777777" w:rsidR="00ED28DB" w:rsidRDefault="00ED28DB" w:rsidP="0022423F">
      <w:pPr>
        <w:ind w:firstLine="720"/>
        <w:jc w:val="both"/>
        <w:rPr>
          <w:rFonts w:ascii="Book Antiqua" w:hAnsi="Book Antiqua"/>
          <w:lang w:val="es-ES_tradnl"/>
        </w:rPr>
      </w:pPr>
      <w:r>
        <w:rPr>
          <w:rFonts w:ascii="Book Antiqua" w:hAnsi="Book Antiqua"/>
          <w:lang w:val="es-ES_tradnl"/>
        </w:rPr>
        <w:t xml:space="preserve">Tal es el caso de las fincas </w:t>
      </w:r>
      <w:r w:rsidRPr="00FD4A2B">
        <w:rPr>
          <w:rFonts w:ascii="Book Antiqua" w:hAnsi="Book Antiqua"/>
          <w:lang w:val="es-ES_tradnl"/>
        </w:rPr>
        <w:t xml:space="preserve">del Proyecto </w:t>
      </w:r>
      <w:proofErr w:type="spellStart"/>
      <w:r w:rsidRPr="00FD4A2B">
        <w:rPr>
          <w:rFonts w:ascii="Book Antiqua" w:hAnsi="Book Antiqua"/>
          <w:lang w:val="es-ES_tradnl"/>
        </w:rPr>
        <w:t>Mayaguecillo</w:t>
      </w:r>
      <w:proofErr w:type="spellEnd"/>
      <w:r w:rsidRPr="00FD4A2B">
        <w:rPr>
          <w:rFonts w:ascii="Book Antiqua" w:hAnsi="Book Antiqua"/>
          <w:lang w:val="es-ES_tradnl"/>
        </w:rPr>
        <w:t>, localizado en el barrio Maravilla Sur del término municipal de Las Marías</w:t>
      </w:r>
      <w:r>
        <w:rPr>
          <w:rFonts w:ascii="Book Antiqua" w:hAnsi="Book Antiqua"/>
          <w:lang w:val="es-ES_tradnl"/>
        </w:rPr>
        <w:t xml:space="preserve">.  </w:t>
      </w:r>
      <w:r w:rsidRPr="00443EB0">
        <w:rPr>
          <w:rFonts w:ascii="Book Antiqua" w:hAnsi="Book Antiqua"/>
          <w:lang w:val="es-ES_tradnl"/>
        </w:rPr>
        <w:t xml:space="preserve">Mediante Certificación de Título con Restricciones de 2 de febrero de 2004, la Corporación para el Desarrollo Rural de Puerto Rico, le vendió, cedió y traspaso el Título de la Finca que se describe a continuación a Don Jesús </w:t>
      </w:r>
      <w:proofErr w:type="spellStart"/>
      <w:r w:rsidRPr="00443EB0">
        <w:rPr>
          <w:rFonts w:ascii="Book Antiqua" w:hAnsi="Book Antiqua"/>
          <w:lang w:val="es-ES_tradnl"/>
        </w:rPr>
        <w:t>Laracuente</w:t>
      </w:r>
      <w:proofErr w:type="spellEnd"/>
      <w:r w:rsidRPr="00443EB0">
        <w:rPr>
          <w:rFonts w:ascii="Book Antiqua" w:hAnsi="Book Antiqua"/>
          <w:lang w:val="es-ES_tradnl"/>
        </w:rPr>
        <w:t xml:space="preserve"> Rodríguez y Doña Irene Aponte Mora. </w:t>
      </w:r>
    </w:p>
    <w:p w14:paraId="567DA5CA" w14:textId="77777777" w:rsidR="00ED28DB" w:rsidRPr="00443EB0" w:rsidRDefault="00ED28DB" w:rsidP="009A326C">
      <w:pPr>
        <w:ind w:firstLine="567"/>
        <w:jc w:val="both"/>
        <w:rPr>
          <w:rFonts w:ascii="Book Antiqua" w:hAnsi="Book Antiqua"/>
          <w:lang w:val="es-ES_tradnl"/>
        </w:rPr>
      </w:pPr>
    </w:p>
    <w:p w14:paraId="2D4E0E33" w14:textId="77777777" w:rsidR="00ED28DB" w:rsidRDefault="00ED28DB" w:rsidP="009A326C">
      <w:pPr>
        <w:ind w:left="720" w:right="720" w:firstLine="567"/>
        <w:jc w:val="both"/>
        <w:rPr>
          <w:rFonts w:ascii="Book Antiqua" w:hAnsi="Book Antiqua"/>
          <w:lang w:val="es-ES_tradnl"/>
        </w:rPr>
      </w:pPr>
      <w:r>
        <w:rPr>
          <w:rFonts w:ascii="Book Antiqua" w:hAnsi="Book Antiqua"/>
          <w:lang w:val="es-ES_tradnl"/>
        </w:rPr>
        <w:t>-----</w:t>
      </w:r>
      <w:r w:rsidRPr="00443EB0">
        <w:rPr>
          <w:rFonts w:ascii="Book Antiqua" w:hAnsi="Book Antiqua"/>
          <w:lang w:val="es-ES_tradnl"/>
        </w:rPr>
        <w:t xml:space="preserve">Rustica: </w:t>
      </w:r>
      <w:r>
        <w:rPr>
          <w:rFonts w:ascii="Book Antiqua" w:hAnsi="Book Antiqua"/>
          <w:lang w:val="es-ES_tradnl"/>
        </w:rPr>
        <w:t>Predio</w:t>
      </w:r>
      <w:r w:rsidRPr="00443EB0">
        <w:rPr>
          <w:rFonts w:ascii="Book Antiqua" w:hAnsi="Book Antiqua"/>
          <w:lang w:val="es-ES_tradnl"/>
        </w:rPr>
        <w:t xml:space="preserve"> de terreno marcado con el número cuatro (4), en el plano de subdivisión del Proyecto </w:t>
      </w:r>
      <w:proofErr w:type="spellStart"/>
      <w:r w:rsidRPr="00443EB0">
        <w:rPr>
          <w:rFonts w:ascii="Book Antiqua" w:hAnsi="Book Antiqua"/>
          <w:lang w:val="es-ES_tradnl"/>
        </w:rPr>
        <w:t>Mayaguecillo</w:t>
      </w:r>
      <w:proofErr w:type="spellEnd"/>
      <w:r w:rsidRPr="00443EB0">
        <w:rPr>
          <w:rFonts w:ascii="Book Antiqua" w:hAnsi="Book Antiqua"/>
          <w:lang w:val="es-ES_tradnl"/>
        </w:rPr>
        <w:t xml:space="preserve">, localizado en el barrio Maravilla Sur del término municipal de Las Marías, Puerto Rico, compuesta de cuarenta cuerdas con dos céntimas de otra (40.02), equivalentes a ciento cincuenta y siete mil doscientos noventa y cuatros metros cuadrados con cuatro mil trescientos diecinueve diezmilésimas de otro (157, 294. 4319). Colinda por el Norte con la finca número cinco (5) y con terrenos de Fernando Acevedo; por el Sur, con camino que separa de las fincas número uno (1), dos (2) y tres </w:t>
      </w:r>
      <w:r>
        <w:rPr>
          <w:rFonts w:ascii="Book Antiqua" w:hAnsi="Book Antiqua"/>
          <w:lang w:val="es-ES_tradnl"/>
        </w:rPr>
        <w:t>(</w:t>
      </w:r>
      <w:r w:rsidRPr="00443EB0">
        <w:rPr>
          <w:rFonts w:ascii="Book Antiqua" w:hAnsi="Book Antiqua"/>
          <w:lang w:val="es-ES_tradnl"/>
        </w:rPr>
        <w:t xml:space="preserve">3); por el Este, con terrenos de Esteban Pacheco, Isidro Ramos, Genoveva Rivera y Francisco Bey: y por el Oeste, con la finca número cinco (5). </w:t>
      </w:r>
    </w:p>
    <w:p w14:paraId="26838FDF" w14:textId="77777777" w:rsidR="00ED28DB" w:rsidRPr="00443EB0" w:rsidRDefault="00ED28DB" w:rsidP="009A326C">
      <w:pPr>
        <w:ind w:left="720" w:right="720" w:firstLine="567"/>
        <w:jc w:val="both"/>
        <w:rPr>
          <w:rFonts w:ascii="Book Antiqua" w:hAnsi="Book Antiqua"/>
          <w:lang w:val="es-ES_tradnl"/>
        </w:rPr>
      </w:pPr>
    </w:p>
    <w:p w14:paraId="20333395" w14:textId="77777777" w:rsidR="00ED28DB" w:rsidRPr="00443EB0" w:rsidRDefault="00ED28DB" w:rsidP="009A326C">
      <w:pPr>
        <w:ind w:left="720" w:right="720" w:firstLine="567"/>
        <w:jc w:val="both"/>
        <w:rPr>
          <w:rFonts w:ascii="Book Antiqua" w:hAnsi="Book Antiqua"/>
          <w:lang w:val="es-ES_tradnl"/>
        </w:rPr>
      </w:pPr>
      <w:r>
        <w:rPr>
          <w:rFonts w:ascii="Book Antiqua" w:hAnsi="Book Antiqua"/>
          <w:lang w:val="es-ES_tradnl"/>
        </w:rPr>
        <w:t>-----</w:t>
      </w:r>
      <w:r w:rsidRPr="00443EB0">
        <w:rPr>
          <w:rFonts w:ascii="Book Antiqua" w:hAnsi="Book Antiqua"/>
          <w:lang w:val="es-ES_tradnl"/>
        </w:rPr>
        <w:t xml:space="preserve">Consta inscrita al Folio Dos (2) del Tomo ciento ochenta y tres (183) de Las Marías, Finca número cinco mil ochocientos sesenta y nueve (5869).  </w:t>
      </w:r>
    </w:p>
    <w:p w14:paraId="674E9F3D" w14:textId="77777777" w:rsidR="00ED28DB" w:rsidRDefault="00ED28DB" w:rsidP="009A326C">
      <w:pPr>
        <w:ind w:left="720" w:right="720" w:firstLine="567"/>
        <w:jc w:val="both"/>
        <w:rPr>
          <w:rFonts w:ascii="Book Antiqua" w:hAnsi="Book Antiqua"/>
          <w:lang w:val="es-ES_tradnl"/>
        </w:rPr>
      </w:pPr>
      <w:r>
        <w:rPr>
          <w:rFonts w:ascii="Book Antiqua" w:hAnsi="Book Antiqua"/>
          <w:lang w:val="es-ES_tradnl"/>
        </w:rPr>
        <w:lastRenderedPageBreak/>
        <w:t>-----</w:t>
      </w:r>
      <w:r w:rsidRPr="00443EB0">
        <w:rPr>
          <w:rFonts w:ascii="Book Antiqua" w:hAnsi="Book Antiqua"/>
          <w:lang w:val="es-ES_tradnl"/>
        </w:rPr>
        <w:t xml:space="preserve">La propiedad está identificada para fines catastrales con el número </w:t>
      </w:r>
      <w:proofErr w:type="gramStart"/>
      <w:r w:rsidRPr="00443EB0">
        <w:rPr>
          <w:rFonts w:ascii="Book Antiqua" w:hAnsi="Book Antiqua"/>
          <w:lang w:val="es-ES_tradnl"/>
        </w:rPr>
        <w:t>doscientos diez guion</w:t>
      </w:r>
      <w:proofErr w:type="gramEnd"/>
      <w:r w:rsidRPr="00443EB0">
        <w:rPr>
          <w:rFonts w:ascii="Book Antiqua" w:hAnsi="Book Antiqua"/>
          <w:lang w:val="es-ES_tradnl"/>
        </w:rPr>
        <w:t xml:space="preserve"> cero </w:t>
      </w:r>
      <w:proofErr w:type="spellStart"/>
      <w:r w:rsidRPr="00443EB0">
        <w:rPr>
          <w:rFonts w:ascii="Book Antiqua" w:hAnsi="Book Antiqua"/>
          <w:lang w:val="es-ES_tradnl"/>
        </w:rPr>
        <w:t>cero</w:t>
      </w:r>
      <w:proofErr w:type="spellEnd"/>
      <w:r w:rsidRPr="00443EB0">
        <w:rPr>
          <w:rFonts w:ascii="Book Antiqua" w:hAnsi="Book Antiqua"/>
          <w:lang w:val="es-ES_tradnl"/>
        </w:rPr>
        <w:t xml:space="preserve"> </w:t>
      </w:r>
      <w:proofErr w:type="spellStart"/>
      <w:proofErr w:type="gramStart"/>
      <w:r w:rsidRPr="00443EB0">
        <w:rPr>
          <w:rFonts w:ascii="Book Antiqua" w:hAnsi="Book Antiqua"/>
          <w:lang w:val="es-ES_tradnl"/>
        </w:rPr>
        <w:t>cero</w:t>
      </w:r>
      <w:proofErr w:type="spellEnd"/>
      <w:r w:rsidRPr="00443EB0">
        <w:rPr>
          <w:rFonts w:ascii="Book Antiqua" w:hAnsi="Book Antiqua"/>
          <w:lang w:val="es-ES_tradnl"/>
        </w:rPr>
        <w:t xml:space="preserve"> guion</w:t>
      </w:r>
      <w:proofErr w:type="gramEnd"/>
      <w:r w:rsidRPr="00443EB0">
        <w:rPr>
          <w:rFonts w:ascii="Book Antiqua" w:hAnsi="Book Antiqua"/>
          <w:lang w:val="es-ES_tradnl"/>
        </w:rPr>
        <w:t xml:space="preserve"> cero </w:t>
      </w:r>
      <w:proofErr w:type="spellStart"/>
      <w:r w:rsidRPr="00443EB0">
        <w:rPr>
          <w:rFonts w:ascii="Book Antiqua" w:hAnsi="Book Antiqua"/>
          <w:lang w:val="es-ES_tradnl"/>
        </w:rPr>
        <w:t>cero</w:t>
      </w:r>
      <w:proofErr w:type="spellEnd"/>
      <w:r w:rsidRPr="00443EB0">
        <w:rPr>
          <w:rFonts w:ascii="Book Antiqua" w:hAnsi="Book Antiqua"/>
          <w:lang w:val="es-ES_tradnl"/>
        </w:rPr>
        <w:t xml:space="preserve"> </w:t>
      </w:r>
      <w:proofErr w:type="gramStart"/>
      <w:r w:rsidRPr="00443EB0">
        <w:rPr>
          <w:rFonts w:ascii="Book Antiqua" w:hAnsi="Book Antiqua"/>
          <w:lang w:val="es-ES_tradnl"/>
        </w:rPr>
        <w:t>seis guion</w:t>
      </w:r>
      <w:proofErr w:type="gramEnd"/>
      <w:r w:rsidRPr="00443EB0">
        <w:rPr>
          <w:rFonts w:ascii="Book Antiqua" w:hAnsi="Book Antiqua"/>
          <w:lang w:val="es-ES_tradnl"/>
        </w:rPr>
        <w:t xml:space="preserve"> dieciséis (210-000-006-16).</w:t>
      </w:r>
    </w:p>
    <w:p w14:paraId="4E3FC545" w14:textId="77777777" w:rsidR="00ED28DB" w:rsidRPr="00443EB0" w:rsidRDefault="00ED28DB" w:rsidP="009A326C">
      <w:pPr>
        <w:ind w:left="720" w:right="720" w:firstLine="567"/>
        <w:jc w:val="both"/>
        <w:rPr>
          <w:rFonts w:ascii="Book Antiqua" w:hAnsi="Book Antiqua"/>
          <w:lang w:val="es-ES_tradnl"/>
        </w:rPr>
      </w:pPr>
    </w:p>
    <w:p w14:paraId="7F7FC74C" w14:textId="77777777" w:rsidR="00ED28DB" w:rsidRDefault="00ED28DB" w:rsidP="0022423F">
      <w:pPr>
        <w:ind w:firstLine="720"/>
        <w:jc w:val="both"/>
        <w:rPr>
          <w:rFonts w:ascii="Book Antiqua" w:hAnsi="Book Antiqua"/>
          <w:lang w:val="es-ES_tradnl"/>
        </w:rPr>
      </w:pPr>
      <w:r w:rsidRPr="00FF120F">
        <w:rPr>
          <w:rFonts w:ascii="Book Antiqua" w:hAnsi="Book Antiqua"/>
          <w:lang w:val="es-ES_tradnl"/>
        </w:rPr>
        <w:t xml:space="preserve">El citado inmueble sostiene las </w:t>
      </w:r>
      <w:r>
        <w:rPr>
          <w:rFonts w:ascii="Book Antiqua" w:hAnsi="Book Antiqua"/>
          <w:lang w:val="es-ES_tradnl"/>
        </w:rPr>
        <w:t xml:space="preserve">condiciones y </w:t>
      </w:r>
      <w:r w:rsidRPr="00FF120F">
        <w:rPr>
          <w:rFonts w:ascii="Book Antiqua" w:hAnsi="Book Antiqua"/>
          <w:lang w:val="es-ES_tradnl"/>
        </w:rPr>
        <w:t>restricciones impuestas por la Ley Núm. 107</w:t>
      </w:r>
      <w:r>
        <w:rPr>
          <w:rFonts w:ascii="Book Antiqua" w:hAnsi="Book Antiqua"/>
          <w:lang w:val="es-ES_tradnl"/>
        </w:rPr>
        <w:t>, supra,</w:t>
      </w:r>
      <w:r w:rsidRPr="00FF120F">
        <w:rPr>
          <w:rFonts w:ascii="Book Antiqua" w:hAnsi="Book Antiqua"/>
          <w:lang w:val="es-ES_tradnl"/>
        </w:rPr>
        <w:t xml:space="preserve"> y las disposiciones relativas a la opción preferente del Departamento de Agricultura.  Así consta en la Certificación de Título emitida el </w:t>
      </w:r>
      <w:r>
        <w:rPr>
          <w:rFonts w:ascii="Book Antiqua" w:hAnsi="Book Antiqua"/>
          <w:lang w:val="es-ES_tradnl"/>
        </w:rPr>
        <w:t>2</w:t>
      </w:r>
      <w:r w:rsidRPr="00FF120F">
        <w:rPr>
          <w:rFonts w:ascii="Book Antiqua" w:hAnsi="Book Antiqua"/>
          <w:lang w:val="es-ES_tradnl"/>
        </w:rPr>
        <w:t xml:space="preserve"> de febrero de 200</w:t>
      </w:r>
      <w:r>
        <w:rPr>
          <w:rFonts w:ascii="Book Antiqua" w:hAnsi="Book Antiqua"/>
          <w:lang w:val="es-ES_tradnl"/>
        </w:rPr>
        <w:t xml:space="preserve">4 </w:t>
      </w:r>
      <w:r w:rsidRPr="00FF120F">
        <w:rPr>
          <w:rFonts w:ascii="Book Antiqua" w:hAnsi="Book Antiqua"/>
          <w:lang w:val="es-ES_tradnl"/>
        </w:rPr>
        <w:t>por el Corporación de Desarrollo Rural de Puerto Rico, adscrita al Departamento de Agricultura, bajo el acápite Condiciones Restrictivas.</w:t>
      </w:r>
      <w:r>
        <w:rPr>
          <w:rFonts w:ascii="Book Antiqua" w:hAnsi="Book Antiqua"/>
          <w:lang w:val="es-ES_tradnl"/>
        </w:rPr>
        <w:t xml:space="preserve">  </w:t>
      </w:r>
    </w:p>
    <w:p w14:paraId="640DA9A4" w14:textId="77777777" w:rsidR="00ED28DB" w:rsidRPr="00FF120F" w:rsidRDefault="00ED28DB" w:rsidP="0022423F">
      <w:pPr>
        <w:ind w:firstLine="720"/>
        <w:jc w:val="both"/>
        <w:rPr>
          <w:rFonts w:ascii="Book Antiqua" w:hAnsi="Book Antiqua"/>
          <w:lang w:val="es-ES_tradnl"/>
        </w:rPr>
      </w:pPr>
    </w:p>
    <w:p w14:paraId="7B31DC4E" w14:textId="77777777" w:rsidR="00ED28DB" w:rsidRDefault="00ED28DB" w:rsidP="0022423F">
      <w:pPr>
        <w:ind w:firstLine="720"/>
        <w:jc w:val="both"/>
        <w:rPr>
          <w:rFonts w:ascii="Book Antiqua" w:hAnsi="Book Antiqua"/>
          <w:lang w:val="es-PR"/>
        </w:rPr>
      </w:pPr>
      <w:r w:rsidRPr="00443EB0">
        <w:rPr>
          <w:rFonts w:ascii="Book Antiqua" w:hAnsi="Book Antiqua"/>
          <w:lang w:val="es-ES_tradnl"/>
        </w:rPr>
        <w:t xml:space="preserve">Don Jesús </w:t>
      </w:r>
      <w:proofErr w:type="spellStart"/>
      <w:r w:rsidRPr="00443EB0">
        <w:rPr>
          <w:rFonts w:ascii="Book Antiqua" w:hAnsi="Book Antiqua"/>
          <w:lang w:val="es-ES_tradnl"/>
        </w:rPr>
        <w:t>Laracuente</w:t>
      </w:r>
      <w:proofErr w:type="spellEnd"/>
      <w:r w:rsidRPr="00443EB0">
        <w:rPr>
          <w:rFonts w:ascii="Book Antiqua" w:hAnsi="Book Antiqua"/>
          <w:lang w:val="es-ES_tradnl"/>
        </w:rPr>
        <w:t xml:space="preserve"> Rodríguez falleció el 4 de noviembre de 2014 y conforme a la Resolución sobre Declaratoria de Herederos emitida 14 diciembre de 2015, el Tribunal de Primera Instancia declaró herederos a sus hijos, Elizabeth, </w:t>
      </w:r>
      <w:proofErr w:type="spellStart"/>
      <w:r w:rsidRPr="00443EB0">
        <w:rPr>
          <w:rFonts w:ascii="Book Antiqua" w:hAnsi="Book Antiqua"/>
          <w:lang w:val="es-ES_tradnl"/>
        </w:rPr>
        <w:t>Aracelia</w:t>
      </w:r>
      <w:proofErr w:type="spellEnd"/>
      <w:r w:rsidRPr="00443EB0">
        <w:rPr>
          <w:rFonts w:ascii="Book Antiqua" w:hAnsi="Book Antiqua"/>
          <w:lang w:val="es-ES_tradnl"/>
        </w:rPr>
        <w:t xml:space="preserve">, Neftalí, María, Modesto, Jesús, Julio Antonio, Pablo, Noemi, Elías, Vilma, Moisés y Judith, todos de apellidos </w:t>
      </w:r>
      <w:proofErr w:type="spellStart"/>
      <w:r w:rsidRPr="00443EB0">
        <w:rPr>
          <w:rFonts w:ascii="Book Antiqua" w:hAnsi="Book Antiqua"/>
          <w:lang w:val="es-ES_tradnl"/>
        </w:rPr>
        <w:t>Laracuente</w:t>
      </w:r>
      <w:proofErr w:type="spellEnd"/>
      <w:r w:rsidRPr="00443EB0">
        <w:rPr>
          <w:rFonts w:ascii="Book Antiqua" w:hAnsi="Book Antiqua"/>
          <w:lang w:val="es-ES_tradnl"/>
        </w:rPr>
        <w:t xml:space="preserve"> Aponte</w:t>
      </w:r>
      <w:r>
        <w:rPr>
          <w:rFonts w:ascii="Book Antiqua" w:hAnsi="Book Antiqua"/>
          <w:lang w:val="es-ES_tradnl"/>
        </w:rPr>
        <w:t xml:space="preserve"> y a Judith </w:t>
      </w:r>
      <w:proofErr w:type="spellStart"/>
      <w:r>
        <w:rPr>
          <w:rFonts w:ascii="Book Antiqua" w:hAnsi="Book Antiqua"/>
          <w:lang w:val="es-ES_tradnl"/>
        </w:rPr>
        <w:t>Laracuente</w:t>
      </w:r>
      <w:proofErr w:type="spellEnd"/>
      <w:r>
        <w:rPr>
          <w:rFonts w:ascii="Book Antiqua" w:hAnsi="Book Antiqua"/>
          <w:lang w:val="es-ES_tradnl"/>
        </w:rPr>
        <w:t xml:space="preserve"> Padilla</w:t>
      </w:r>
      <w:r w:rsidRPr="00443EB0">
        <w:rPr>
          <w:rFonts w:ascii="Book Antiqua" w:hAnsi="Book Antiqua"/>
          <w:lang w:val="es-ES_tradnl"/>
        </w:rPr>
        <w:t>.</w:t>
      </w:r>
      <w:r>
        <w:rPr>
          <w:rFonts w:ascii="Book Antiqua" w:hAnsi="Book Antiqua"/>
          <w:lang w:val="es-ES_tradnl"/>
        </w:rPr>
        <w:t xml:space="preserve">  Por disposición expresa de la Ley 107, supra, la Junta de Planificación solamente permitió la segregación de tres solares donde ubican las residencias solamente de tres de sus herederos, dejando desprovistos a los demás herederos de poder dividir y segregar </w:t>
      </w:r>
      <w:r w:rsidRPr="006D4978">
        <w:rPr>
          <w:rFonts w:ascii="Book Antiqua" w:hAnsi="Book Antiqua"/>
          <w:lang w:val="es-PR"/>
        </w:rPr>
        <w:t>los predios donde enclavan sus residencias</w:t>
      </w:r>
      <w:r>
        <w:rPr>
          <w:rFonts w:ascii="Book Antiqua" w:hAnsi="Book Antiqua"/>
          <w:lang w:val="es-PR"/>
        </w:rPr>
        <w:t xml:space="preserve">.  </w:t>
      </w:r>
      <w:r w:rsidRPr="005E62A9">
        <w:rPr>
          <w:rFonts w:ascii="Book Antiqua" w:hAnsi="Book Antiqua"/>
          <w:lang w:val="es-PR"/>
        </w:rPr>
        <w:t>El ordenamiento jurídico puertorriqueño, incluyendo la Constitución de Puerto Rico, Artículo II, Sección 1, atribuye a todos los hijos e hijas idénticos derechos, facultades, obligaciones, deberes, incompatibilidades y prohibiciones dentro de la organización de la familia y de la sociedad. El Tribunal Supremo ha expresado que carece de validez toda disposición estatutaria, sentencia, decreto o fallo judicial que, en contravención con la letra de la ley para establecer la igualdad de derecho de los hijos, le conceda, reconozca o atribuya al estado de hijo de un ser humano sólo parte de los derechos unitarios de que disfruta otro hijo. Véase, Ocasio v. Díaz, 88 DPR 676, 726 (1963).</w:t>
      </w:r>
      <w:r>
        <w:rPr>
          <w:rFonts w:ascii="Book Antiqua" w:hAnsi="Book Antiqua"/>
          <w:lang w:val="es-PR"/>
        </w:rPr>
        <w:t xml:space="preserve">  Por consiguiente, e</w:t>
      </w:r>
      <w:r w:rsidRPr="006D4978">
        <w:rPr>
          <w:rFonts w:ascii="Book Antiqua" w:hAnsi="Book Antiqua"/>
          <w:lang w:val="es-PR"/>
        </w:rPr>
        <w:t>s meritorio y necesario ordenar que se liberen las condiciones restrictivas de la finca antes aludida por la situación particular de los titulares y sus familias que poseen allí sus viviendas</w:t>
      </w:r>
      <w:r>
        <w:rPr>
          <w:rFonts w:ascii="Book Antiqua" w:hAnsi="Book Antiqua"/>
          <w:lang w:val="es-PR"/>
        </w:rPr>
        <w:t xml:space="preserve">. </w:t>
      </w:r>
    </w:p>
    <w:p w14:paraId="42DD9379" w14:textId="77777777" w:rsidR="00ED28DB" w:rsidRPr="00FF120F" w:rsidRDefault="00ED28DB" w:rsidP="0022423F">
      <w:pPr>
        <w:ind w:firstLine="720"/>
        <w:jc w:val="both"/>
        <w:rPr>
          <w:rFonts w:ascii="Book Antiqua" w:hAnsi="Book Antiqua"/>
          <w:lang w:val="es-ES_tradnl"/>
        </w:rPr>
      </w:pPr>
    </w:p>
    <w:p w14:paraId="274E86EE" w14:textId="37ADFF74" w:rsidR="009241B7" w:rsidRDefault="00ED28DB" w:rsidP="0022423F">
      <w:pPr>
        <w:ind w:firstLine="720"/>
        <w:jc w:val="both"/>
        <w:rPr>
          <w:rFonts w:ascii="Book Antiqua" w:hAnsi="Book Antiqua"/>
          <w:lang w:val="es-ES_tradnl"/>
        </w:rPr>
      </w:pPr>
      <w:r w:rsidRPr="00FF120F">
        <w:rPr>
          <w:rFonts w:ascii="Book Antiqua" w:hAnsi="Book Antiqua"/>
          <w:lang w:val="es-ES_tradnl"/>
        </w:rPr>
        <w:t xml:space="preserve">A tenor con las propias disposiciones de la Ley Núm. 107, </w:t>
      </w:r>
      <w:r w:rsidRPr="0022423F">
        <w:rPr>
          <w:rFonts w:ascii="Book Antiqua" w:hAnsi="Book Antiqua"/>
          <w:i/>
          <w:iCs/>
          <w:lang w:val="es-ES_tradnl"/>
        </w:rPr>
        <w:t>supra</w:t>
      </w:r>
      <w:r w:rsidRPr="00FF120F">
        <w:rPr>
          <w:rFonts w:ascii="Book Antiqua" w:hAnsi="Book Antiqua"/>
          <w:lang w:val="es-ES_tradnl"/>
        </w:rPr>
        <w:t>, esta Asamblea Legislativa estima meritorio liberar el inmueble en cuestión de las condiciones y restricciones a las cuales está sujeto</w:t>
      </w:r>
      <w:r w:rsidR="00FF120F" w:rsidRPr="00FF120F">
        <w:rPr>
          <w:rFonts w:ascii="Book Antiqua" w:hAnsi="Book Antiqua"/>
          <w:lang w:val="es-ES_tradnl"/>
        </w:rPr>
        <w:t xml:space="preserve">. </w:t>
      </w:r>
    </w:p>
    <w:p w14:paraId="611AA5FB" w14:textId="77777777" w:rsidR="009A326C" w:rsidRDefault="009A326C" w:rsidP="009A326C">
      <w:pPr>
        <w:ind w:firstLine="360"/>
        <w:jc w:val="both"/>
        <w:rPr>
          <w:rFonts w:ascii="Book Antiqua" w:hAnsi="Book Antiqua"/>
          <w:lang w:val="es-ES_tradnl"/>
        </w:rPr>
      </w:pPr>
    </w:p>
    <w:p w14:paraId="0A9B2E1C" w14:textId="77777777" w:rsidR="009241B7" w:rsidRDefault="009241B7" w:rsidP="009A326C">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7E448CE2" w14:textId="77777777" w:rsidR="009241B7" w:rsidRDefault="009241B7" w:rsidP="009241B7">
      <w:pPr>
        <w:spacing w:line="480" w:lineRule="auto"/>
        <w:jc w:val="both"/>
        <w:rPr>
          <w:rFonts w:ascii="Book Antiqua" w:hAnsi="Book Antiqua"/>
          <w:lang w:val="es-ES_tradnl"/>
        </w:rPr>
        <w:sectPr w:rsidR="009241B7" w:rsidSect="00FC44B3">
          <w:headerReference w:type="default" r:id="rId7"/>
          <w:type w:val="continuous"/>
          <w:pgSz w:w="12240" w:h="15840" w:code="1"/>
          <w:pgMar w:top="1440" w:right="1440" w:bottom="1440" w:left="1440" w:header="720" w:footer="720" w:gutter="0"/>
          <w:cols w:space="720"/>
          <w:titlePg/>
        </w:sectPr>
      </w:pPr>
    </w:p>
    <w:p w14:paraId="5A953219" w14:textId="156CC454" w:rsidR="008F1FBC" w:rsidRDefault="00A87E1A" w:rsidP="0022423F">
      <w:pPr>
        <w:spacing w:line="480" w:lineRule="auto"/>
        <w:ind w:firstLine="720"/>
        <w:jc w:val="both"/>
        <w:rPr>
          <w:rFonts w:ascii="Book Antiqua" w:hAnsi="Book Antiqua"/>
          <w:lang w:val="es-ES_tradnl"/>
        </w:rPr>
      </w:pPr>
      <w:r w:rsidRPr="003F0004">
        <w:rPr>
          <w:rFonts w:ascii="Book Antiqua" w:hAnsi="Book Antiqua"/>
          <w:lang w:val="es-ES_tradnl"/>
        </w:rPr>
        <w:t>Sección 1.-</w:t>
      </w:r>
      <w:bookmarkStart w:id="1" w:name="_Hlk156485308"/>
      <w:r w:rsidR="008F1FBC" w:rsidRPr="0098097A">
        <w:rPr>
          <w:rFonts w:ascii="Book Antiqua" w:hAnsi="Book Antiqua"/>
          <w:lang w:val="es-ES_tradnl"/>
        </w:rPr>
        <w:t xml:space="preserve">Ordenar al Departamento de Agricultura </w:t>
      </w:r>
      <w:r w:rsidR="008F1FBC">
        <w:rPr>
          <w:rFonts w:ascii="Book Antiqua" w:hAnsi="Book Antiqua"/>
          <w:lang w:val="es-ES_tradnl"/>
        </w:rPr>
        <w:t xml:space="preserve">y a la Junta de Planificación </w:t>
      </w:r>
      <w:r w:rsidR="008F1FBC" w:rsidRPr="0098097A">
        <w:rPr>
          <w:rFonts w:ascii="Book Antiqua" w:hAnsi="Book Antiqua"/>
          <w:lang w:val="es-ES_tradnl"/>
        </w:rPr>
        <w:t>a proceder con la liberación de las condicion</w:t>
      </w:r>
      <w:r w:rsidR="008F1FBC">
        <w:rPr>
          <w:rFonts w:ascii="Book Antiqua" w:hAnsi="Book Antiqua"/>
          <w:lang w:val="es-ES_tradnl"/>
        </w:rPr>
        <w:t xml:space="preserve">es y restricciones </w:t>
      </w:r>
      <w:r w:rsidR="008F1FBC" w:rsidRPr="00932B0A">
        <w:rPr>
          <w:rFonts w:ascii="Book Antiqua" w:hAnsi="Book Antiqua"/>
          <w:lang w:val="es-PR"/>
        </w:rPr>
        <w:t>impuestas y anotadas, según dispuesto por la Ley 107 de 3 de julio de 1974, según enmendada</w:t>
      </w:r>
      <w:r w:rsidR="008F1FBC">
        <w:rPr>
          <w:rFonts w:ascii="Book Antiqua" w:hAnsi="Book Antiqua"/>
          <w:lang w:val="es-ES_tradnl"/>
        </w:rPr>
        <w:t xml:space="preserve">, del </w:t>
      </w:r>
      <w:r w:rsidR="008F1FBC" w:rsidRPr="00A96B38">
        <w:rPr>
          <w:rFonts w:ascii="Book Antiqua" w:hAnsi="Book Antiqua"/>
          <w:lang w:val="es-ES_tradnl"/>
        </w:rPr>
        <w:t xml:space="preserve">Predio de terreno marcado con el número cuatro (4), en el plano de subdivisión del Proyecto </w:t>
      </w:r>
      <w:proofErr w:type="spellStart"/>
      <w:r w:rsidR="008F1FBC" w:rsidRPr="00A96B38">
        <w:rPr>
          <w:rFonts w:ascii="Book Antiqua" w:hAnsi="Book Antiqua"/>
          <w:lang w:val="es-ES_tradnl"/>
        </w:rPr>
        <w:t>Mayaguecillo</w:t>
      </w:r>
      <w:proofErr w:type="spellEnd"/>
      <w:r w:rsidR="008F1FBC" w:rsidRPr="00A96B38">
        <w:rPr>
          <w:rFonts w:ascii="Book Antiqua" w:hAnsi="Book Antiqua"/>
          <w:lang w:val="es-ES_tradnl"/>
        </w:rPr>
        <w:t xml:space="preserve">, </w:t>
      </w:r>
      <w:r w:rsidR="008F1FBC" w:rsidRPr="00A96B38">
        <w:rPr>
          <w:rFonts w:ascii="Book Antiqua" w:hAnsi="Book Antiqua"/>
          <w:lang w:val="es-ES_tradnl"/>
        </w:rPr>
        <w:lastRenderedPageBreak/>
        <w:t>localizado en el barrio Maravilla Sur del término municipal de Las Marías, Puerto Rico</w:t>
      </w:r>
      <w:r w:rsidR="008F1FBC">
        <w:rPr>
          <w:rFonts w:ascii="Book Antiqua" w:hAnsi="Book Antiqua"/>
          <w:lang w:val="es-ES_tradnl"/>
        </w:rPr>
        <w:t xml:space="preserve">, Finca Número </w:t>
      </w:r>
      <w:r w:rsidR="008F1FBC" w:rsidRPr="00A96B38">
        <w:rPr>
          <w:rFonts w:ascii="Book Antiqua" w:hAnsi="Book Antiqua"/>
          <w:lang w:val="es-ES_tradnl"/>
        </w:rPr>
        <w:t>cinco mil ochocientos sesenta y nueve (5869)</w:t>
      </w:r>
      <w:r w:rsidR="008F1FBC">
        <w:rPr>
          <w:rFonts w:ascii="Book Antiqua" w:hAnsi="Book Antiqua"/>
          <w:lang w:val="es-ES_tradnl"/>
        </w:rPr>
        <w:t>, inscrita en el Folio 2, del Tomo 183 de Las Marías y según consta</w:t>
      </w:r>
      <w:r w:rsidR="008F1FBC" w:rsidRPr="0098097A">
        <w:rPr>
          <w:rFonts w:ascii="Book Antiqua" w:hAnsi="Book Antiqua"/>
          <w:lang w:val="es-ES_tradnl"/>
        </w:rPr>
        <w:t xml:space="preserve"> en la Certificación </w:t>
      </w:r>
      <w:r w:rsidR="008F1FBC">
        <w:rPr>
          <w:rFonts w:ascii="Book Antiqua" w:hAnsi="Book Antiqua"/>
          <w:lang w:val="es-ES_tradnl"/>
        </w:rPr>
        <w:t>de Título otor</w:t>
      </w:r>
      <w:r w:rsidR="008F1FBC" w:rsidRPr="0098097A">
        <w:rPr>
          <w:rFonts w:ascii="Book Antiqua" w:hAnsi="Book Antiqua"/>
          <w:lang w:val="es-ES_tradnl"/>
        </w:rPr>
        <w:t xml:space="preserve">gada por la Corporación para el Desarrollo Rural de Puerto Rico </w:t>
      </w:r>
      <w:r w:rsidR="008F1FBC">
        <w:rPr>
          <w:rFonts w:ascii="Book Antiqua" w:hAnsi="Book Antiqua"/>
          <w:lang w:val="es-ES_tradnl"/>
        </w:rPr>
        <w:t>a favor de</w:t>
      </w:r>
      <w:bookmarkEnd w:id="1"/>
      <w:r w:rsidR="008F1FBC">
        <w:rPr>
          <w:rFonts w:ascii="Book Antiqua" w:hAnsi="Book Antiqua"/>
          <w:lang w:val="es-ES_tradnl"/>
        </w:rPr>
        <w:t xml:space="preserve"> </w:t>
      </w:r>
      <w:r w:rsidR="008F1FBC" w:rsidRPr="00443EB0">
        <w:rPr>
          <w:rFonts w:ascii="Book Antiqua" w:hAnsi="Book Antiqua"/>
          <w:lang w:val="es-ES_tradnl"/>
        </w:rPr>
        <w:t xml:space="preserve">Don Jesús </w:t>
      </w:r>
      <w:proofErr w:type="spellStart"/>
      <w:r w:rsidR="008F1FBC" w:rsidRPr="00443EB0">
        <w:rPr>
          <w:rFonts w:ascii="Book Antiqua" w:hAnsi="Book Antiqua"/>
          <w:lang w:val="es-ES_tradnl"/>
        </w:rPr>
        <w:t>Laracuente</w:t>
      </w:r>
      <w:proofErr w:type="spellEnd"/>
      <w:r w:rsidR="008F1FBC" w:rsidRPr="00443EB0">
        <w:rPr>
          <w:rFonts w:ascii="Book Antiqua" w:hAnsi="Book Antiqua"/>
          <w:lang w:val="es-ES_tradnl"/>
        </w:rPr>
        <w:t xml:space="preserve"> Rodríguez y Doña Irene Aponte Mora</w:t>
      </w:r>
      <w:r w:rsidR="008F1FBC">
        <w:rPr>
          <w:rFonts w:ascii="Book Antiqua" w:hAnsi="Book Antiqua"/>
          <w:lang w:val="es-ES_tradnl"/>
        </w:rPr>
        <w:t xml:space="preserve">, </w:t>
      </w:r>
      <w:r w:rsidR="008F1FBC" w:rsidRPr="0098097A">
        <w:rPr>
          <w:rFonts w:ascii="Book Antiqua" w:hAnsi="Book Antiqua"/>
          <w:lang w:val="es-ES_tradnl"/>
        </w:rPr>
        <w:t xml:space="preserve">expedida en San Juan, Puerto Rico, </w:t>
      </w:r>
      <w:r w:rsidR="008F1FBC" w:rsidRPr="00FF120F">
        <w:rPr>
          <w:rFonts w:ascii="Book Antiqua" w:hAnsi="Book Antiqua"/>
          <w:lang w:val="es-ES_tradnl"/>
        </w:rPr>
        <w:t xml:space="preserve">el </w:t>
      </w:r>
      <w:r w:rsidR="008F1FBC">
        <w:rPr>
          <w:rFonts w:ascii="Book Antiqua" w:hAnsi="Book Antiqua"/>
          <w:lang w:val="es-ES_tradnl"/>
        </w:rPr>
        <w:t>2</w:t>
      </w:r>
      <w:r w:rsidR="008F1FBC" w:rsidRPr="00FF120F">
        <w:rPr>
          <w:rFonts w:ascii="Book Antiqua" w:hAnsi="Book Antiqua"/>
          <w:lang w:val="es-ES_tradnl"/>
        </w:rPr>
        <w:t xml:space="preserve"> de febrero de 200</w:t>
      </w:r>
      <w:r w:rsidR="008F1FBC">
        <w:rPr>
          <w:rFonts w:ascii="Book Antiqua" w:hAnsi="Book Antiqua"/>
          <w:lang w:val="es-ES_tradnl"/>
        </w:rPr>
        <w:t>4.</w:t>
      </w:r>
    </w:p>
    <w:p w14:paraId="28AFE04B" w14:textId="77777777" w:rsidR="008F1FBC" w:rsidRDefault="008F1FBC" w:rsidP="0022423F">
      <w:pPr>
        <w:spacing w:line="480" w:lineRule="auto"/>
        <w:ind w:firstLine="720"/>
        <w:jc w:val="both"/>
        <w:rPr>
          <w:rFonts w:ascii="Book Antiqua" w:hAnsi="Book Antiqua"/>
          <w:lang w:val="es-ES_tradnl"/>
        </w:rPr>
      </w:pPr>
      <w:r w:rsidRPr="00E60661">
        <w:rPr>
          <w:rFonts w:ascii="Book Antiqua" w:hAnsi="Book Antiqua"/>
          <w:lang w:val="es-ES_tradnl"/>
        </w:rPr>
        <w:t>Sección 2.-El Departamento de Agricultura de Puerto Rico procederá con la liberación de las condiciones y restricciones del predio de terreno identificado en la Sección 1 de esta Resolución Conjunta en un término no mayor de ciento veinte (120) días a partir de la aprobación de esta Resolución Conjunta.</w:t>
      </w:r>
    </w:p>
    <w:p w14:paraId="33E6F458" w14:textId="1007DB95" w:rsidR="009241B7" w:rsidRPr="009241B7" w:rsidRDefault="008F1FBC" w:rsidP="0022423F">
      <w:pPr>
        <w:spacing w:line="480" w:lineRule="auto"/>
        <w:ind w:firstLine="720"/>
        <w:jc w:val="both"/>
        <w:rPr>
          <w:rFonts w:ascii="Book Antiqua" w:hAnsi="Book Antiqua"/>
          <w:lang w:val="es-ES_tradnl"/>
        </w:rPr>
      </w:pPr>
      <w:r w:rsidRPr="00A85974">
        <w:rPr>
          <w:rFonts w:ascii="Book Antiqua" w:hAnsi="Book Antiqua"/>
          <w:lang w:val="es-ES_tradnl"/>
        </w:rPr>
        <w:t xml:space="preserve">Sección </w:t>
      </w:r>
      <w:r w:rsidR="00207D16" w:rsidRPr="00A85974">
        <w:rPr>
          <w:rFonts w:ascii="Book Antiqua" w:hAnsi="Book Antiqua"/>
          <w:lang w:val="es-ES_tradnl"/>
        </w:rPr>
        <w:t>3</w:t>
      </w:r>
      <w:r w:rsidRPr="00A85974">
        <w:rPr>
          <w:rFonts w:ascii="Book Antiqua" w:hAnsi="Book Antiqua"/>
          <w:lang w:val="es-ES_tradnl"/>
        </w:rPr>
        <w:t>.-</w:t>
      </w:r>
      <w:r w:rsidRPr="003F0004">
        <w:rPr>
          <w:rFonts w:ascii="Book Antiqua" w:hAnsi="Book Antiqua"/>
          <w:lang w:val="es-ES_tradnl"/>
        </w:rPr>
        <w:t>Esta Resolución Conjunta comenzará a regir inmediatamente después de su aprobación.</w:t>
      </w:r>
    </w:p>
    <w:sectPr w:rsidR="009241B7" w:rsidRPr="009241B7" w:rsidSect="00FC44B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9BABD" w14:textId="77777777" w:rsidR="00FC44B3" w:rsidRDefault="00FC44B3">
      <w:r>
        <w:separator/>
      </w:r>
    </w:p>
  </w:endnote>
  <w:endnote w:type="continuationSeparator" w:id="0">
    <w:p w14:paraId="63E5118D" w14:textId="77777777" w:rsidR="00FC44B3" w:rsidRDefault="00FC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7F8CC" w14:textId="77777777" w:rsidR="00FC44B3" w:rsidRDefault="00FC44B3">
      <w:r>
        <w:separator/>
      </w:r>
    </w:p>
  </w:footnote>
  <w:footnote w:type="continuationSeparator" w:id="0">
    <w:p w14:paraId="113A6F67" w14:textId="77777777" w:rsidR="00FC44B3" w:rsidRDefault="00FC44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E406A"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91B6D">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41B7"/>
    <w:rsid w:val="00020BBB"/>
    <w:rsid w:val="000301B7"/>
    <w:rsid w:val="00033513"/>
    <w:rsid w:val="00056024"/>
    <w:rsid w:val="00083FD6"/>
    <w:rsid w:val="00095AE1"/>
    <w:rsid w:val="000A6B6C"/>
    <w:rsid w:val="000B0DBB"/>
    <w:rsid w:val="000F0AAD"/>
    <w:rsid w:val="00104F43"/>
    <w:rsid w:val="00111E71"/>
    <w:rsid w:val="00127C6A"/>
    <w:rsid w:val="001363FE"/>
    <w:rsid w:val="00140648"/>
    <w:rsid w:val="0017132B"/>
    <w:rsid w:val="00180D52"/>
    <w:rsid w:val="001A036D"/>
    <w:rsid w:val="001B5D9A"/>
    <w:rsid w:val="001C21E4"/>
    <w:rsid w:val="001D0BF7"/>
    <w:rsid w:val="001F4CA3"/>
    <w:rsid w:val="001F612A"/>
    <w:rsid w:val="00207D16"/>
    <w:rsid w:val="00211396"/>
    <w:rsid w:val="0022423F"/>
    <w:rsid w:val="00226AE6"/>
    <w:rsid w:val="00245B34"/>
    <w:rsid w:val="002536BF"/>
    <w:rsid w:val="00263355"/>
    <w:rsid w:val="00273792"/>
    <w:rsid w:val="002814E4"/>
    <w:rsid w:val="002A5633"/>
    <w:rsid w:val="002D4AC8"/>
    <w:rsid w:val="00320D78"/>
    <w:rsid w:val="0032269B"/>
    <w:rsid w:val="00380FE5"/>
    <w:rsid w:val="003924DD"/>
    <w:rsid w:val="00394FCB"/>
    <w:rsid w:val="003963F4"/>
    <w:rsid w:val="003B2FA3"/>
    <w:rsid w:val="003B5254"/>
    <w:rsid w:val="003B75A6"/>
    <w:rsid w:val="003C2413"/>
    <w:rsid w:val="003E775E"/>
    <w:rsid w:val="004061CA"/>
    <w:rsid w:val="00415689"/>
    <w:rsid w:val="0041653A"/>
    <w:rsid w:val="004440CB"/>
    <w:rsid w:val="004713D2"/>
    <w:rsid w:val="00474C6B"/>
    <w:rsid w:val="004A25FB"/>
    <w:rsid w:val="0051430A"/>
    <w:rsid w:val="00521639"/>
    <w:rsid w:val="00523CEF"/>
    <w:rsid w:val="00532BB7"/>
    <w:rsid w:val="005332E4"/>
    <w:rsid w:val="0053550C"/>
    <w:rsid w:val="00543C85"/>
    <w:rsid w:val="00555018"/>
    <w:rsid w:val="005723DC"/>
    <w:rsid w:val="005C0F94"/>
    <w:rsid w:val="005C0FB8"/>
    <w:rsid w:val="005F3436"/>
    <w:rsid w:val="00616013"/>
    <w:rsid w:val="006210DC"/>
    <w:rsid w:val="006316C9"/>
    <w:rsid w:val="0064349D"/>
    <w:rsid w:val="00652338"/>
    <w:rsid w:val="00674349"/>
    <w:rsid w:val="00675020"/>
    <w:rsid w:val="00683802"/>
    <w:rsid w:val="00685549"/>
    <w:rsid w:val="00691B6D"/>
    <w:rsid w:val="006B3FD0"/>
    <w:rsid w:val="006B7365"/>
    <w:rsid w:val="006C2D81"/>
    <w:rsid w:val="006C7DF8"/>
    <w:rsid w:val="006D4978"/>
    <w:rsid w:val="006E08DF"/>
    <w:rsid w:val="006F1406"/>
    <w:rsid w:val="00700727"/>
    <w:rsid w:val="00750FC8"/>
    <w:rsid w:val="007533D0"/>
    <w:rsid w:val="00755069"/>
    <w:rsid w:val="007A53D5"/>
    <w:rsid w:val="007B0660"/>
    <w:rsid w:val="007C21DA"/>
    <w:rsid w:val="007E3868"/>
    <w:rsid w:val="0081331E"/>
    <w:rsid w:val="00820C41"/>
    <w:rsid w:val="00850256"/>
    <w:rsid w:val="00895412"/>
    <w:rsid w:val="008F1FBC"/>
    <w:rsid w:val="009241B7"/>
    <w:rsid w:val="0093686F"/>
    <w:rsid w:val="00942FD4"/>
    <w:rsid w:val="00950448"/>
    <w:rsid w:val="00951997"/>
    <w:rsid w:val="0098097A"/>
    <w:rsid w:val="00990352"/>
    <w:rsid w:val="009A326C"/>
    <w:rsid w:val="009A7EF8"/>
    <w:rsid w:val="009C2646"/>
    <w:rsid w:val="009E2083"/>
    <w:rsid w:val="00A03405"/>
    <w:rsid w:val="00A1528A"/>
    <w:rsid w:val="00A33918"/>
    <w:rsid w:val="00A40B1A"/>
    <w:rsid w:val="00A7629F"/>
    <w:rsid w:val="00A774AE"/>
    <w:rsid w:val="00A838C8"/>
    <w:rsid w:val="00A85974"/>
    <w:rsid w:val="00A87E1A"/>
    <w:rsid w:val="00AD06DD"/>
    <w:rsid w:val="00AF0CEE"/>
    <w:rsid w:val="00B667AD"/>
    <w:rsid w:val="00B84C38"/>
    <w:rsid w:val="00B86C00"/>
    <w:rsid w:val="00B947F6"/>
    <w:rsid w:val="00BB4BD8"/>
    <w:rsid w:val="00BC66C7"/>
    <w:rsid w:val="00BF16AA"/>
    <w:rsid w:val="00C129E0"/>
    <w:rsid w:val="00C354B8"/>
    <w:rsid w:val="00C4156F"/>
    <w:rsid w:val="00C52517"/>
    <w:rsid w:val="00C60921"/>
    <w:rsid w:val="00C62936"/>
    <w:rsid w:val="00C653F2"/>
    <w:rsid w:val="00C679E6"/>
    <w:rsid w:val="00C908F9"/>
    <w:rsid w:val="00C92893"/>
    <w:rsid w:val="00CA0917"/>
    <w:rsid w:val="00CA0D60"/>
    <w:rsid w:val="00CA1099"/>
    <w:rsid w:val="00CB2CA5"/>
    <w:rsid w:val="00CC644F"/>
    <w:rsid w:val="00CE3830"/>
    <w:rsid w:val="00CF2F27"/>
    <w:rsid w:val="00D417C2"/>
    <w:rsid w:val="00D60936"/>
    <w:rsid w:val="00D709EB"/>
    <w:rsid w:val="00D74714"/>
    <w:rsid w:val="00D805F9"/>
    <w:rsid w:val="00D82F3F"/>
    <w:rsid w:val="00D921C6"/>
    <w:rsid w:val="00D958C2"/>
    <w:rsid w:val="00DA7FE1"/>
    <w:rsid w:val="00DF0A87"/>
    <w:rsid w:val="00DF3CD1"/>
    <w:rsid w:val="00DF49C7"/>
    <w:rsid w:val="00E04AB5"/>
    <w:rsid w:val="00E16FFB"/>
    <w:rsid w:val="00E25582"/>
    <w:rsid w:val="00E279D7"/>
    <w:rsid w:val="00E50EEA"/>
    <w:rsid w:val="00E52F58"/>
    <w:rsid w:val="00E60661"/>
    <w:rsid w:val="00EA4D86"/>
    <w:rsid w:val="00EC26AA"/>
    <w:rsid w:val="00EC5D3B"/>
    <w:rsid w:val="00EC7933"/>
    <w:rsid w:val="00ED28DB"/>
    <w:rsid w:val="00ED7A53"/>
    <w:rsid w:val="00EE4273"/>
    <w:rsid w:val="00F02004"/>
    <w:rsid w:val="00F042CB"/>
    <w:rsid w:val="00F54B84"/>
    <w:rsid w:val="00F60A20"/>
    <w:rsid w:val="00F770B3"/>
    <w:rsid w:val="00F85CCC"/>
    <w:rsid w:val="00FB107A"/>
    <w:rsid w:val="00FC0A95"/>
    <w:rsid w:val="00FC3D9C"/>
    <w:rsid w:val="00FC44B3"/>
    <w:rsid w:val="00FC474E"/>
    <w:rsid w:val="00FD13AE"/>
    <w:rsid w:val="00FF0153"/>
    <w:rsid w:val="00FF120F"/>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8E032"/>
  <w15:chartTrackingRefBased/>
  <w15:docId w15:val="{6FC243AE-0E59-4A1C-92DF-3FF641E6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5F34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4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762129">
      <w:bodyDiv w:val="1"/>
      <w:marLeft w:val="0"/>
      <w:marRight w:val="0"/>
      <w:marTop w:val="0"/>
      <w:marBottom w:val="0"/>
      <w:divBdr>
        <w:top w:val="none" w:sz="0" w:space="0" w:color="auto"/>
        <w:left w:val="none" w:sz="0" w:space="0" w:color="auto"/>
        <w:bottom w:val="none" w:sz="0" w:space="0" w:color="auto"/>
        <w:right w:val="none" w:sz="0" w:space="0" w:color="auto"/>
      </w:divBdr>
    </w:div>
    <w:div w:id="621810766">
      <w:bodyDiv w:val="1"/>
      <w:marLeft w:val="0"/>
      <w:marRight w:val="0"/>
      <w:marTop w:val="0"/>
      <w:marBottom w:val="0"/>
      <w:divBdr>
        <w:top w:val="none" w:sz="0" w:space="0" w:color="auto"/>
        <w:left w:val="none" w:sz="0" w:space="0" w:color="auto"/>
        <w:bottom w:val="none" w:sz="0" w:space="0" w:color="auto"/>
        <w:right w:val="none" w:sz="0" w:space="0" w:color="auto"/>
      </w:divBdr>
    </w:div>
    <w:div w:id="959923038">
      <w:bodyDiv w:val="1"/>
      <w:marLeft w:val="0"/>
      <w:marRight w:val="0"/>
      <w:marTop w:val="0"/>
      <w:marBottom w:val="0"/>
      <w:divBdr>
        <w:top w:val="none" w:sz="0" w:space="0" w:color="auto"/>
        <w:left w:val="none" w:sz="0" w:space="0" w:color="auto"/>
        <w:bottom w:val="none" w:sz="0" w:space="0" w:color="auto"/>
        <w:right w:val="none" w:sz="0" w:space="0" w:color="auto"/>
      </w:divBdr>
    </w:div>
    <w:div w:id="1629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1312</Words>
  <Characters>7022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Victor E. Vélez Cucuta</cp:lastModifiedBy>
  <cp:revision>2</cp:revision>
  <cp:lastPrinted>2025-06-16T13:28:00Z</cp:lastPrinted>
  <dcterms:created xsi:type="dcterms:W3CDTF">2025-06-16T13:28:00Z</dcterms:created>
  <dcterms:modified xsi:type="dcterms:W3CDTF">2025-06-16T13:28:00Z</dcterms:modified>
</cp:coreProperties>
</file>