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A9007D"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F6697F">
        <w:rPr>
          <w:rFonts w:ascii="Book Antiqua" w:eastAsia="Times New Roman" w:hAnsi="Book Antiqua" w:cs="Times New Roman"/>
          <w:b/>
          <w:color w:val="000000"/>
          <w:kern w:val="0"/>
          <w:sz w:val="28"/>
          <w:szCs w:val="28"/>
          <w14:ligatures w14:val="none"/>
        </w:rPr>
        <w:t>GO</w:t>
      </w:r>
      <w:r w:rsidRPr="00A9007D">
        <w:rPr>
          <w:rFonts w:ascii="Book Antiqua" w:eastAsia="Times New Roman" w:hAnsi="Book Antiqua" w:cs="Times New Roman"/>
          <w:b/>
          <w:color w:val="000000"/>
          <w:kern w:val="0"/>
          <w:sz w:val="28"/>
          <w:szCs w:val="28"/>
          <w14:ligatures w14:val="none"/>
        </w:rPr>
        <w:t>BIERNO DE PUERTO RICO</w:t>
      </w:r>
    </w:p>
    <w:p w14:paraId="55131F5B" w14:textId="77777777" w:rsidR="000C5343" w:rsidRPr="00A9007D"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A9007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77777777" w:rsidR="00A54AF0" w:rsidRPr="00A9007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A9007D">
        <w:rPr>
          <w:rFonts w:ascii="Book Antiqua" w:eastAsia="Times New Roman" w:hAnsi="Book Antiqua" w:cs="Times New Roman"/>
          <w:color w:val="000000"/>
          <w:kern w:val="0"/>
          <w:lang w:val="es-ES"/>
          <w14:ligatures w14:val="none"/>
        </w:rPr>
        <w:t>20</w:t>
      </w:r>
      <w:r w:rsidRPr="00A9007D">
        <w:rPr>
          <w:rFonts w:ascii="Book Antiqua" w:eastAsia="Times New Roman" w:hAnsi="Book Antiqua" w:cs="Times New Roman"/>
          <w:color w:val="000000"/>
          <w:kern w:val="0"/>
          <w:position w:val="10"/>
          <w:vertAlign w:val="superscript"/>
          <w:lang w:val="es-ES"/>
          <w14:ligatures w14:val="none"/>
        </w:rPr>
        <w:t xml:space="preserve">ma </w:t>
      </w:r>
      <w:r w:rsidRPr="00A9007D">
        <w:rPr>
          <w:rFonts w:ascii="Book Antiqua" w:eastAsia="Times New Roman" w:hAnsi="Book Antiqua" w:cs="Times New Roman"/>
          <w:color w:val="000000"/>
          <w:kern w:val="0"/>
          <w:lang w:val="es-ES"/>
          <w14:ligatures w14:val="none"/>
        </w:rPr>
        <w:t>Asamblea</w:t>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t xml:space="preserve">                  1</w:t>
      </w:r>
      <w:r w:rsidRPr="00A9007D">
        <w:rPr>
          <w:rFonts w:ascii="Book Antiqua" w:eastAsia="Times New Roman" w:hAnsi="Book Antiqua" w:cs="Times New Roman"/>
          <w:color w:val="000000"/>
          <w:kern w:val="0"/>
          <w:vertAlign w:val="superscript"/>
          <w:lang w:val="es-ES"/>
          <w14:ligatures w14:val="none"/>
        </w:rPr>
        <w:t>ra.</w:t>
      </w:r>
      <w:r w:rsidRPr="00A9007D">
        <w:rPr>
          <w:rFonts w:ascii="Book Antiqua" w:eastAsia="Times New Roman" w:hAnsi="Book Antiqua" w:cs="Times New Roman"/>
          <w:color w:val="000000"/>
          <w:kern w:val="0"/>
          <w:position w:val="10"/>
          <w:vertAlign w:val="superscript"/>
          <w:lang w:val="es-ES"/>
          <w14:ligatures w14:val="none"/>
        </w:rPr>
        <w:t xml:space="preserve"> </w:t>
      </w:r>
      <w:r w:rsidRPr="00A9007D">
        <w:rPr>
          <w:rFonts w:ascii="Book Antiqua" w:eastAsia="Times New Roman" w:hAnsi="Book Antiqua" w:cs="Times New Roman"/>
          <w:color w:val="000000"/>
          <w:kern w:val="0"/>
          <w:lang w:val="es-ES"/>
          <w14:ligatures w14:val="none"/>
        </w:rPr>
        <w:t xml:space="preserve">Sesión </w:t>
      </w:r>
    </w:p>
    <w:p w14:paraId="4C99236B" w14:textId="15E116D3" w:rsidR="00A54AF0" w:rsidRPr="00A9007D"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A9007D">
        <w:rPr>
          <w:rFonts w:ascii="Book Antiqua" w:eastAsia="Times New Roman" w:hAnsi="Book Antiqua" w:cs="Times New Roman"/>
          <w:color w:val="000000"/>
          <w:kern w:val="0"/>
          <w:lang w:val="es-ES"/>
          <w14:ligatures w14:val="none"/>
        </w:rPr>
        <w:t xml:space="preserve">        </w:t>
      </w:r>
      <w:r w:rsidR="000C5343" w:rsidRPr="00A9007D">
        <w:rPr>
          <w:rFonts w:ascii="Book Antiqua" w:eastAsia="Times New Roman" w:hAnsi="Book Antiqua" w:cs="Times New Roman"/>
          <w:color w:val="000000"/>
          <w:kern w:val="0"/>
          <w:lang w:val="es-ES"/>
          <w14:ligatures w14:val="none"/>
        </w:rPr>
        <w:t xml:space="preserve"> </w:t>
      </w:r>
      <w:r w:rsidRPr="00A9007D">
        <w:rPr>
          <w:rFonts w:ascii="Book Antiqua" w:eastAsia="Times New Roman" w:hAnsi="Book Antiqua" w:cs="Times New Roman"/>
          <w:color w:val="000000"/>
          <w:kern w:val="0"/>
          <w:lang w:val="es-ES"/>
          <w14:ligatures w14:val="none"/>
        </w:rPr>
        <w:t>Legislativa</w:t>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r>
      <w:r w:rsidRPr="00A9007D">
        <w:rPr>
          <w:rFonts w:ascii="Book Antiqua" w:eastAsia="Times New Roman" w:hAnsi="Book Antiqua" w:cs="Times New Roman"/>
          <w:color w:val="000000"/>
          <w:kern w:val="0"/>
          <w:lang w:val="es-ES"/>
          <w14:ligatures w14:val="none"/>
        </w:rPr>
        <w:tab/>
        <w:t xml:space="preserve"> </w:t>
      </w:r>
      <w:r w:rsidR="000C5343" w:rsidRPr="00A9007D">
        <w:rPr>
          <w:rFonts w:ascii="Book Antiqua" w:eastAsia="Times New Roman" w:hAnsi="Book Antiqua" w:cs="Times New Roman"/>
          <w:color w:val="000000"/>
          <w:kern w:val="0"/>
          <w:lang w:val="es-ES"/>
          <w14:ligatures w14:val="none"/>
        </w:rPr>
        <w:t xml:space="preserve">           </w:t>
      </w:r>
      <w:r w:rsidRPr="00A9007D">
        <w:rPr>
          <w:rFonts w:ascii="Book Antiqua" w:eastAsia="Times New Roman" w:hAnsi="Book Antiqua" w:cs="Times New Roman"/>
          <w:color w:val="000000"/>
          <w:kern w:val="0"/>
          <w:lang w:val="es-ES"/>
          <w14:ligatures w14:val="none"/>
        </w:rPr>
        <w:t xml:space="preserve">Ordinaria </w:t>
      </w:r>
    </w:p>
    <w:p w14:paraId="29F090CC" w14:textId="77777777" w:rsidR="00A54AF0" w:rsidRPr="00A9007D"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A9007D"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A9007D"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A9007D">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A9007D" w:rsidRDefault="00A54AF0" w:rsidP="00A54AF0">
      <w:pPr>
        <w:spacing w:after="0" w:line="240" w:lineRule="auto"/>
        <w:jc w:val="center"/>
        <w:rPr>
          <w:rFonts w:ascii="Book Antiqua" w:eastAsia="Times New Roman" w:hAnsi="Book Antiqua" w:cs="Times New Roman"/>
          <w:kern w:val="0"/>
          <w14:ligatures w14:val="none"/>
        </w:rPr>
      </w:pPr>
    </w:p>
    <w:p w14:paraId="3895E960" w14:textId="073B6B55" w:rsidR="00A54AF0" w:rsidRPr="00A9007D" w:rsidRDefault="00A54AF0" w:rsidP="00A54AF0">
      <w:pPr>
        <w:spacing w:after="0" w:line="240" w:lineRule="auto"/>
        <w:jc w:val="center"/>
        <w:rPr>
          <w:rFonts w:ascii="Book Antiqua" w:eastAsia="Times New Roman" w:hAnsi="Book Antiqua" w:cs="Times New Roman"/>
          <w:b/>
          <w:kern w:val="0"/>
          <w:sz w:val="52"/>
          <w:szCs w:val="52"/>
          <w14:ligatures w14:val="none"/>
        </w:rPr>
      </w:pPr>
      <w:r w:rsidRPr="00A9007D">
        <w:rPr>
          <w:rFonts w:ascii="Book Antiqua" w:eastAsia="Times New Roman" w:hAnsi="Book Antiqua" w:cs="Times New Roman"/>
          <w:b/>
          <w:kern w:val="0"/>
          <w:sz w:val="52"/>
          <w:szCs w:val="52"/>
          <w14:ligatures w14:val="none"/>
        </w:rPr>
        <w:t>P. de</w:t>
      </w:r>
      <w:r w:rsidR="00836295" w:rsidRPr="00A9007D">
        <w:rPr>
          <w:rFonts w:ascii="Book Antiqua" w:eastAsia="Times New Roman" w:hAnsi="Book Antiqua" w:cs="Times New Roman"/>
          <w:b/>
          <w:kern w:val="0"/>
          <w:sz w:val="52"/>
          <w:szCs w:val="52"/>
          <w14:ligatures w14:val="none"/>
        </w:rPr>
        <w:t>l</w:t>
      </w:r>
      <w:r w:rsidRPr="00A9007D">
        <w:rPr>
          <w:rFonts w:ascii="Book Antiqua" w:eastAsia="Times New Roman" w:hAnsi="Book Antiqua" w:cs="Times New Roman"/>
          <w:b/>
          <w:kern w:val="0"/>
          <w:sz w:val="52"/>
          <w:szCs w:val="52"/>
          <w14:ligatures w14:val="none"/>
        </w:rPr>
        <w:t xml:space="preserve"> </w:t>
      </w:r>
      <w:r w:rsidR="00836295" w:rsidRPr="00A9007D">
        <w:rPr>
          <w:rFonts w:ascii="Book Antiqua" w:eastAsia="Times New Roman" w:hAnsi="Book Antiqua" w:cs="Times New Roman"/>
          <w:b/>
          <w:kern w:val="0"/>
          <w:sz w:val="52"/>
          <w:szCs w:val="52"/>
          <w14:ligatures w14:val="none"/>
        </w:rPr>
        <w:t>S</w:t>
      </w:r>
      <w:r w:rsidRPr="00A9007D">
        <w:rPr>
          <w:rFonts w:ascii="Book Antiqua" w:eastAsia="Times New Roman" w:hAnsi="Book Antiqua" w:cs="Times New Roman"/>
          <w:b/>
          <w:kern w:val="0"/>
          <w:sz w:val="52"/>
          <w:szCs w:val="52"/>
          <w14:ligatures w14:val="none"/>
        </w:rPr>
        <w:t xml:space="preserve">. </w:t>
      </w:r>
      <w:r w:rsidR="00836295" w:rsidRPr="00A9007D">
        <w:rPr>
          <w:rFonts w:ascii="Book Antiqua" w:eastAsia="Times New Roman" w:hAnsi="Book Antiqua" w:cs="Times New Roman"/>
          <w:b/>
          <w:kern w:val="0"/>
          <w:sz w:val="52"/>
          <w:szCs w:val="52"/>
          <w14:ligatures w14:val="none"/>
        </w:rPr>
        <w:t>253</w:t>
      </w:r>
    </w:p>
    <w:p w14:paraId="6A26D0A1" w14:textId="77777777" w:rsidR="00A54AF0" w:rsidRPr="00A9007D"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A9007D">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A9007D"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789CE73A" w:rsidR="00A54AF0" w:rsidRPr="00A9007D" w:rsidRDefault="000C40F8"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20</w:t>
      </w:r>
      <w:r w:rsidR="00A54AF0" w:rsidRPr="00A9007D">
        <w:rPr>
          <w:rFonts w:ascii="Book Antiqua" w:eastAsia="Times New Roman" w:hAnsi="Book Antiqua" w:cs="Times New Roman"/>
          <w:bCs/>
          <w:color w:val="000000"/>
          <w:kern w:val="0"/>
          <w14:ligatures w14:val="none"/>
        </w:rPr>
        <w:t xml:space="preserve"> DE </w:t>
      </w:r>
      <w:r w:rsidR="00D65B74" w:rsidRPr="00A9007D">
        <w:rPr>
          <w:rFonts w:ascii="Book Antiqua" w:eastAsia="Times New Roman" w:hAnsi="Book Antiqua" w:cs="Times New Roman"/>
          <w:bCs/>
          <w:color w:val="000000"/>
          <w:kern w:val="0"/>
          <w14:ligatures w14:val="none"/>
        </w:rPr>
        <w:t>JUNIO</w:t>
      </w:r>
      <w:r w:rsidR="00A54AF0" w:rsidRPr="00A9007D">
        <w:rPr>
          <w:rFonts w:ascii="Book Antiqua" w:eastAsia="Times New Roman" w:hAnsi="Book Antiqua" w:cs="Times New Roman"/>
          <w:bCs/>
          <w:color w:val="000000"/>
          <w:kern w:val="0"/>
          <w14:ligatures w14:val="none"/>
        </w:rPr>
        <w:t xml:space="preserve"> DE 2025</w:t>
      </w:r>
    </w:p>
    <w:p w14:paraId="420645D7" w14:textId="77777777" w:rsidR="00A54AF0" w:rsidRPr="00A9007D"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A9007D" w:rsidRDefault="00A54AF0" w:rsidP="00A54AF0">
      <w:pPr>
        <w:spacing w:after="0" w:line="240" w:lineRule="auto"/>
        <w:ind w:firstLine="720"/>
        <w:rPr>
          <w:rFonts w:ascii="Book Antiqua" w:eastAsia="Times New Roman" w:hAnsi="Book Antiqua" w:cs="Times New Roman"/>
          <w:b/>
          <w:bCs/>
          <w:kern w:val="0"/>
          <w14:ligatures w14:val="none"/>
        </w:rPr>
      </w:pPr>
      <w:r w:rsidRPr="00A9007D">
        <w:rPr>
          <w:rFonts w:ascii="Book Antiqua" w:eastAsia="Times New Roman" w:hAnsi="Book Antiqua" w:cs="Times New Roman"/>
          <w:b/>
          <w:bCs/>
          <w:kern w:val="0"/>
          <w14:ligatures w14:val="none"/>
        </w:rPr>
        <w:t>A LA CÁMARA DE REPRESENTANTES DE PUERTO RICO:</w:t>
      </w:r>
    </w:p>
    <w:p w14:paraId="1DE7F01B" w14:textId="77777777" w:rsidR="00A54AF0" w:rsidRPr="00A9007D" w:rsidRDefault="00A54AF0" w:rsidP="00A54AF0">
      <w:pPr>
        <w:spacing w:after="0" w:line="240" w:lineRule="auto"/>
        <w:rPr>
          <w:rFonts w:ascii="Book Antiqua" w:eastAsia="Times New Roman" w:hAnsi="Book Antiqua" w:cs="Times New Roman"/>
          <w:b/>
          <w:bCs/>
          <w:kern w:val="0"/>
          <w14:ligatures w14:val="none"/>
        </w:rPr>
      </w:pPr>
    </w:p>
    <w:p w14:paraId="65F2FF51" w14:textId="5D836215" w:rsidR="00A54AF0" w:rsidRPr="00A9007D" w:rsidRDefault="00A54AF0" w:rsidP="003C3F3D">
      <w:pPr>
        <w:spacing w:after="0" w:line="360" w:lineRule="auto"/>
        <w:ind w:firstLine="720"/>
        <w:jc w:val="both"/>
        <w:rPr>
          <w:rFonts w:ascii="Book Antiqua" w:eastAsia="Times New Roman" w:hAnsi="Book Antiqua" w:cs="Times New Roman"/>
          <w:kern w:val="0"/>
          <w14:ligatures w14:val="none"/>
        </w:rPr>
      </w:pPr>
      <w:r w:rsidRPr="00A9007D">
        <w:rPr>
          <w:rFonts w:ascii="Book Antiqua" w:eastAsia="Times New Roman" w:hAnsi="Book Antiqua" w:cs="Times New Roman"/>
          <w:kern w:val="0"/>
          <w14:ligatures w14:val="none"/>
        </w:rPr>
        <w:t xml:space="preserve">La </w:t>
      </w:r>
      <w:r w:rsidRPr="00A9007D">
        <w:rPr>
          <w:rFonts w:ascii="Book Antiqua" w:eastAsia="Times New Roman" w:hAnsi="Book Antiqua" w:cs="Times New Roman"/>
          <w:i/>
          <w:iCs/>
          <w:kern w:val="0"/>
          <w:lang w:val="es-ES"/>
          <w14:ligatures w14:val="none"/>
        </w:rPr>
        <w:t>Comisión de Reorganización, Eficiencia y Diligencia</w:t>
      </w:r>
      <w:r w:rsidRPr="00A9007D">
        <w:rPr>
          <w:rFonts w:ascii="Book Antiqua" w:eastAsia="Times New Roman" w:hAnsi="Book Antiqua" w:cs="Times New Roman"/>
          <w:kern w:val="0"/>
          <w14:ligatures w14:val="none"/>
        </w:rPr>
        <w:t xml:space="preserve">, recomienda la aprobación del </w:t>
      </w:r>
      <w:r w:rsidR="00836295" w:rsidRPr="00A9007D">
        <w:rPr>
          <w:rFonts w:ascii="Book Antiqua" w:eastAsia="Times New Roman" w:hAnsi="Book Antiqua" w:cs="Times New Roman"/>
          <w:kern w:val="0"/>
          <w14:ligatures w14:val="none"/>
        </w:rPr>
        <w:t>P. del S. 253</w:t>
      </w:r>
      <w:r w:rsidR="000C5343" w:rsidRPr="00A9007D">
        <w:rPr>
          <w:rFonts w:ascii="Book Antiqua" w:eastAsia="Times New Roman" w:hAnsi="Book Antiqua" w:cs="Times New Roman"/>
          <w:kern w:val="0"/>
          <w14:ligatures w14:val="none"/>
        </w:rPr>
        <w:t>,</w:t>
      </w:r>
      <w:r w:rsidRPr="00A9007D">
        <w:rPr>
          <w:rFonts w:ascii="Book Antiqua" w:eastAsia="Times New Roman" w:hAnsi="Book Antiqua" w:cs="Times New Roman"/>
          <w:kern w:val="0"/>
          <w14:ligatures w14:val="none"/>
        </w:rPr>
        <w:t xml:space="preserve"> </w:t>
      </w:r>
      <w:r w:rsidR="00CA3D5D" w:rsidRPr="00A9007D">
        <w:rPr>
          <w:rFonts w:ascii="Book Antiqua" w:eastAsia="Times New Roman" w:hAnsi="Book Antiqua" w:cs="Times New Roman"/>
          <w:kern w:val="0"/>
          <w14:ligatures w14:val="none"/>
        </w:rPr>
        <w:t>con las enmiendas propuestas en el Entirillado Electrónico</w:t>
      </w:r>
      <w:r w:rsidR="0025467A">
        <w:rPr>
          <w:rFonts w:ascii="Book Antiqua" w:eastAsia="Times New Roman" w:hAnsi="Book Antiqua" w:cs="Times New Roman"/>
          <w:kern w:val="0"/>
          <w14:ligatures w14:val="none"/>
        </w:rPr>
        <w:t xml:space="preserve"> que se acompaña con este informe. </w:t>
      </w:r>
    </w:p>
    <w:p w14:paraId="3639B984" w14:textId="77777777" w:rsidR="00A54AF0" w:rsidRPr="00A9007D"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A9007D"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A9007D">
        <w:rPr>
          <w:rFonts w:ascii="Book Antiqua" w:eastAsia="Times New Roman" w:hAnsi="Book Antiqua" w:cs="Times New Roman"/>
          <w:b/>
          <w:bCs/>
          <w:kern w:val="0"/>
          <w:lang w:eastAsia="x-none"/>
          <w14:ligatures w14:val="none"/>
        </w:rPr>
        <w:t>ALCANCE DE LA MEDIDA</w:t>
      </w:r>
    </w:p>
    <w:p w14:paraId="05D2FB6C" w14:textId="77777777" w:rsidR="00A54AF0" w:rsidRPr="00A9007D" w:rsidRDefault="00A54AF0" w:rsidP="00297F4B">
      <w:pPr>
        <w:spacing w:after="0" w:line="276" w:lineRule="auto"/>
        <w:rPr>
          <w:rFonts w:ascii="Book Antiqua" w:eastAsia="Times New Roman" w:hAnsi="Book Antiqua" w:cs="Times New Roman"/>
          <w:kern w:val="0"/>
          <w:lang w:eastAsia="x-none"/>
          <w14:ligatures w14:val="none"/>
        </w:rPr>
      </w:pPr>
    </w:p>
    <w:p w14:paraId="74C72172" w14:textId="253E6D24" w:rsidR="00D65B74" w:rsidRPr="00A9007D" w:rsidRDefault="00D65B74" w:rsidP="00297F4B">
      <w:pPr>
        <w:pStyle w:val="BodyText"/>
        <w:spacing w:line="276" w:lineRule="auto"/>
        <w:ind w:left="540" w:hanging="540"/>
        <w:rPr>
          <w:rFonts w:ascii="Book Antiqua" w:hAnsi="Book Antiqua"/>
        </w:rPr>
      </w:pPr>
      <w:r w:rsidRPr="00A9007D">
        <w:rPr>
          <w:rFonts w:ascii="Book Antiqua" w:hAnsi="Book Antiqua"/>
        </w:rPr>
        <w:t xml:space="preserve">Para </w:t>
      </w:r>
      <w:r w:rsidR="00836295" w:rsidRPr="00A9007D">
        <w:rPr>
          <w:rFonts w:ascii="Book Antiqua" w:hAnsi="Book Antiqua"/>
        </w:rPr>
        <w:t>derogar la Ley Núm. 48 de 18 de junio de 1959, según enmendada, conocida como “Ley de Narcóticos”; derogar la Ley Núm. 126 de 13 de julio de 1960, según enmendada, conocida como “Ley de Barbitúricos y Otras Drogas peligrosas”, por estar estas leyes completamente obsoletas y ser incongruentes con la legi</w:t>
      </w:r>
      <w:r w:rsidR="009E7AE0" w:rsidRPr="00A9007D">
        <w:rPr>
          <w:rFonts w:ascii="Book Antiqua" w:hAnsi="Book Antiqua"/>
        </w:rPr>
        <w:t>s</w:t>
      </w:r>
      <w:r w:rsidR="00836295" w:rsidRPr="00A9007D">
        <w:rPr>
          <w:rFonts w:ascii="Book Antiqua" w:hAnsi="Book Antiqua"/>
        </w:rPr>
        <w:t>lación</w:t>
      </w:r>
      <w:r w:rsidR="00836295" w:rsidRPr="00A9007D">
        <w:rPr>
          <w:rFonts w:ascii="Book Antiqua" w:hAnsi="Book Antiqua"/>
          <w:color w:val="0F9ED5" w:themeColor="accent4"/>
        </w:rPr>
        <w:t xml:space="preserve"> </w:t>
      </w:r>
      <w:r w:rsidR="00836295" w:rsidRPr="00A9007D">
        <w:rPr>
          <w:rFonts w:ascii="Book Antiqua" w:hAnsi="Book Antiqua"/>
        </w:rPr>
        <w:t xml:space="preserve">vigente; enmendar los Artículos 308 y 601 de la Ley Núm. 4 de 23 de junio de 1971, según enmendada, conocida como “Ley de Sustancias Controladas de </w:t>
      </w:r>
      <w:r w:rsidR="009E7AE0" w:rsidRPr="00A9007D">
        <w:rPr>
          <w:rFonts w:ascii="Book Antiqua" w:hAnsi="Book Antiqua"/>
        </w:rPr>
        <w:t>P</w:t>
      </w:r>
      <w:r w:rsidR="00836295" w:rsidRPr="00A9007D">
        <w:rPr>
          <w:rFonts w:ascii="Book Antiqua" w:hAnsi="Book Antiqua"/>
        </w:rPr>
        <w:t>uerto</w:t>
      </w:r>
      <w:r w:rsidR="00836295" w:rsidRPr="00A9007D">
        <w:rPr>
          <w:rFonts w:ascii="Book Antiqua" w:hAnsi="Book Antiqua"/>
          <w:color w:val="0F9ED5" w:themeColor="accent4"/>
        </w:rPr>
        <w:t xml:space="preserve"> </w:t>
      </w:r>
      <w:r w:rsidR="00836295" w:rsidRPr="00A9007D">
        <w:rPr>
          <w:rFonts w:ascii="Book Antiqua" w:hAnsi="Book Antiqua"/>
        </w:rPr>
        <w:t xml:space="preserve">Rico”, para atemperar sus disposiciones a las de la ley federal “Controlled Substances Act” de 1970, según enmendada; y para otros fines relacionados. </w:t>
      </w:r>
    </w:p>
    <w:p w14:paraId="59170590" w14:textId="77777777" w:rsidR="00A54AF0" w:rsidRPr="00A9007D"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A9007D" w:rsidRDefault="00A54AF0" w:rsidP="00A54AF0">
      <w:pPr>
        <w:spacing w:after="0" w:line="240" w:lineRule="auto"/>
        <w:jc w:val="center"/>
        <w:rPr>
          <w:rFonts w:ascii="Book Antiqua" w:eastAsia="Times New Roman" w:hAnsi="Book Antiqua" w:cs="Times New Roman"/>
          <w:b/>
          <w:bCs/>
          <w:kern w:val="0"/>
          <w14:ligatures w14:val="none"/>
        </w:rPr>
      </w:pPr>
      <w:r w:rsidRPr="00A9007D">
        <w:rPr>
          <w:rFonts w:ascii="Book Antiqua" w:eastAsia="Times New Roman" w:hAnsi="Book Antiqua" w:cs="Times New Roman"/>
          <w:b/>
          <w:bCs/>
          <w:kern w:val="0"/>
          <w14:ligatures w14:val="none"/>
        </w:rPr>
        <w:t>INTRODUCCIÓN</w:t>
      </w:r>
    </w:p>
    <w:p w14:paraId="434FE2F0" w14:textId="77777777" w:rsidR="00A54AF0" w:rsidRPr="00A9007D" w:rsidRDefault="00A54AF0" w:rsidP="00A54AF0">
      <w:pPr>
        <w:spacing w:after="0" w:line="240" w:lineRule="auto"/>
        <w:rPr>
          <w:rFonts w:ascii="Book Antiqua" w:eastAsia="Times New Roman" w:hAnsi="Book Antiqua" w:cs="Times New Roman"/>
          <w:kern w:val="0"/>
          <w14:ligatures w14:val="none"/>
        </w:rPr>
      </w:pPr>
    </w:p>
    <w:p w14:paraId="563F43DD" w14:textId="1E4E943B" w:rsidR="001F12B4" w:rsidRPr="00A9007D" w:rsidRDefault="00836295" w:rsidP="00974095">
      <w:pPr>
        <w:spacing w:line="360" w:lineRule="auto"/>
        <w:ind w:firstLine="720"/>
        <w:jc w:val="both"/>
        <w:rPr>
          <w:rFonts w:ascii="Book Antiqua" w:eastAsia="Times New Roman" w:hAnsi="Book Antiqua"/>
          <w:kern w:val="0"/>
          <w:lang w:val="es-ES_tradnl"/>
          <w14:ligatures w14:val="none"/>
        </w:rPr>
      </w:pPr>
      <w:r w:rsidRPr="00A9007D">
        <w:rPr>
          <w:rFonts w:ascii="Book Antiqua" w:eastAsia="Times New Roman" w:hAnsi="Book Antiqua" w:cs="Times New Roman"/>
          <w:kern w:val="0"/>
          <w:lang w:val="es-ES_tradnl"/>
          <w14:ligatures w14:val="none"/>
        </w:rPr>
        <w:t>El Proyecto del Senado 253 (P. del S. 253 o Proyecto de Ley)</w:t>
      </w:r>
      <w:r w:rsidR="00A71861" w:rsidRPr="00A9007D">
        <w:rPr>
          <w:rFonts w:ascii="Book Antiqua" w:eastAsia="Times New Roman" w:hAnsi="Book Antiqua" w:cs="Times New Roman"/>
          <w:kern w:val="0"/>
          <w:lang w:val="es-ES_tradnl"/>
          <w14:ligatures w14:val="none"/>
        </w:rPr>
        <w:t xml:space="preserve"> </w:t>
      </w:r>
      <w:r w:rsidRPr="00A9007D">
        <w:rPr>
          <w:rFonts w:ascii="Book Antiqua" w:eastAsia="Times New Roman" w:hAnsi="Book Antiqua" w:cs="Times New Roman"/>
          <w:kern w:val="0"/>
          <w:lang w:val="es-ES_tradnl"/>
          <w14:ligatures w14:val="none"/>
        </w:rPr>
        <w:t xml:space="preserve">tiene como propósito derogar dos disposiciones legales, la </w:t>
      </w:r>
      <w:r w:rsidRPr="00A9007D">
        <w:rPr>
          <w:rFonts w:ascii="Book Antiqua" w:hAnsi="Book Antiqua"/>
        </w:rPr>
        <w:t xml:space="preserve">Ley Núm. 48 de 18 de junio de 1959, según </w:t>
      </w:r>
      <w:r w:rsidRPr="00A9007D">
        <w:rPr>
          <w:rFonts w:ascii="Book Antiqua" w:hAnsi="Book Antiqua"/>
        </w:rPr>
        <w:lastRenderedPageBreak/>
        <w:t xml:space="preserve">enmendada, conocida como </w:t>
      </w:r>
      <w:r w:rsidRPr="00A9007D">
        <w:rPr>
          <w:rFonts w:ascii="Book Antiqua" w:hAnsi="Book Antiqua"/>
          <w:i/>
          <w:iCs/>
        </w:rPr>
        <w:t>Ley de Narcóticos</w:t>
      </w:r>
      <w:r w:rsidRPr="00A9007D">
        <w:rPr>
          <w:rStyle w:val="FootnoteReference"/>
          <w:rFonts w:ascii="Book Antiqua" w:hAnsi="Book Antiqua"/>
          <w:i/>
          <w:iCs/>
        </w:rPr>
        <w:footnoteReference w:id="1"/>
      </w:r>
      <w:r w:rsidRPr="00A9007D">
        <w:rPr>
          <w:rFonts w:ascii="Book Antiqua" w:hAnsi="Book Antiqua"/>
        </w:rPr>
        <w:t xml:space="preserve">, y la Ley Núm. 126 de 13 de julio de 1960, según enmendada, conocida como </w:t>
      </w:r>
      <w:r w:rsidRPr="00A9007D">
        <w:rPr>
          <w:rFonts w:ascii="Book Antiqua" w:hAnsi="Book Antiqua"/>
          <w:i/>
          <w:iCs/>
        </w:rPr>
        <w:t>Ley de Barbitúricos y Otras Drogas Peligrosas</w:t>
      </w:r>
      <w:r w:rsidRPr="00A9007D">
        <w:rPr>
          <w:rStyle w:val="FootnoteReference"/>
          <w:rFonts w:ascii="Book Antiqua" w:hAnsi="Book Antiqua"/>
          <w:i/>
          <w:iCs/>
        </w:rPr>
        <w:footnoteReference w:id="2"/>
      </w:r>
      <w:r w:rsidR="00A71861" w:rsidRPr="00A9007D">
        <w:rPr>
          <w:rFonts w:ascii="Book Antiqua" w:hAnsi="Book Antiqua"/>
        </w:rPr>
        <w:t xml:space="preserve"> por entender que ambas disposiciones son obsoletas, adem</w:t>
      </w:r>
      <w:r w:rsidR="007D239F" w:rsidRPr="00A9007D">
        <w:rPr>
          <w:rFonts w:ascii="Book Antiqua" w:hAnsi="Book Antiqua"/>
        </w:rPr>
        <w:t>á</w:t>
      </w:r>
      <w:r w:rsidR="00A71861" w:rsidRPr="00A9007D">
        <w:rPr>
          <w:rFonts w:ascii="Book Antiqua" w:hAnsi="Book Antiqua"/>
        </w:rPr>
        <w:t>s</w:t>
      </w:r>
      <w:r w:rsidR="009E7AE0" w:rsidRPr="00A9007D">
        <w:rPr>
          <w:rFonts w:ascii="Book Antiqua" w:hAnsi="Book Antiqua"/>
        </w:rPr>
        <w:t>,</w:t>
      </w:r>
      <w:r w:rsidR="009E7AE0" w:rsidRPr="00A9007D">
        <w:rPr>
          <w:rFonts w:ascii="Book Antiqua" w:hAnsi="Book Antiqua"/>
          <w:color w:val="0F9ED5" w:themeColor="accent4"/>
        </w:rPr>
        <w:t xml:space="preserve"> </w:t>
      </w:r>
      <w:r w:rsidR="00A71861" w:rsidRPr="00A9007D">
        <w:rPr>
          <w:rFonts w:ascii="Book Antiqua" w:hAnsi="Book Antiqua"/>
        </w:rPr>
        <w:t>incongruentes</w:t>
      </w:r>
      <w:r w:rsidR="009E7AE0" w:rsidRPr="00A9007D">
        <w:rPr>
          <w:rFonts w:ascii="Book Antiqua" w:hAnsi="Book Antiqua"/>
        </w:rPr>
        <w:t xml:space="preserve"> con</w:t>
      </w:r>
      <w:r w:rsidR="00A71861" w:rsidRPr="00A9007D">
        <w:rPr>
          <w:rFonts w:ascii="Book Antiqua" w:hAnsi="Book Antiqua"/>
        </w:rPr>
        <w:t xml:space="preserve"> </w:t>
      </w:r>
      <w:r w:rsidR="007D239F" w:rsidRPr="00A9007D">
        <w:rPr>
          <w:rFonts w:ascii="Book Antiqua" w:hAnsi="Book Antiqua"/>
        </w:rPr>
        <w:t>disposiciones vigentes, tales como la Ley Núm. 4 de 23 de junio de 1971, según enmendada, conocida como</w:t>
      </w:r>
      <w:r w:rsidR="00AF6F98" w:rsidRPr="00A9007D">
        <w:rPr>
          <w:rFonts w:ascii="Book Antiqua" w:hAnsi="Book Antiqua"/>
        </w:rPr>
        <w:t xml:space="preserve"> </w:t>
      </w:r>
      <w:r w:rsidR="00AF6F98" w:rsidRPr="00A9007D">
        <w:rPr>
          <w:rFonts w:ascii="Book Antiqua" w:hAnsi="Book Antiqua"/>
          <w:i/>
          <w:iCs/>
        </w:rPr>
        <w:t>Ley de Sustancias Controladas</w:t>
      </w:r>
      <w:r w:rsidR="00AF6F98" w:rsidRPr="00A9007D">
        <w:rPr>
          <w:rStyle w:val="FootnoteReference"/>
          <w:rFonts w:ascii="Book Antiqua" w:hAnsi="Book Antiqua"/>
          <w:i/>
          <w:iCs/>
        </w:rPr>
        <w:footnoteReference w:id="3"/>
      </w:r>
      <w:r w:rsidR="00AF6F98" w:rsidRPr="00A9007D">
        <w:rPr>
          <w:rFonts w:ascii="Book Antiqua" w:hAnsi="Book Antiqua"/>
        </w:rPr>
        <w:t>, y la</w:t>
      </w:r>
      <w:r w:rsidR="007D239F" w:rsidRPr="00A9007D">
        <w:rPr>
          <w:rFonts w:ascii="Book Antiqua" w:hAnsi="Book Antiqua"/>
        </w:rPr>
        <w:t xml:space="preserve"> Ley Núm. 247-2004, según enmendada, conocida como </w:t>
      </w:r>
      <w:r w:rsidR="007D239F" w:rsidRPr="00A9007D">
        <w:rPr>
          <w:rFonts w:ascii="Book Antiqua" w:hAnsi="Book Antiqua"/>
          <w:i/>
          <w:iCs/>
        </w:rPr>
        <w:t>Ley de Farmacia</w:t>
      </w:r>
      <w:r w:rsidR="007D239F" w:rsidRPr="00A9007D">
        <w:rPr>
          <w:rStyle w:val="FootnoteReference"/>
          <w:rFonts w:ascii="Book Antiqua" w:hAnsi="Book Antiqua"/>
          <w:i/>
          <w:iCs/>
        </w:rPr>
        <w:footnoteReference w:id="4"/>
      </w:r>
      <w:r w:rsidR="001E04C3" w:rsidRPr="00A9007D">
        <w:rPr>
          <w:rFonts w:ascii="Book Antiqua" w:hAnsi="Book Antiqua"/>
        </w:rPr>
        <w:t>.</w:t>
      </w:r>
      <w:r w:rsidR="007D239F" w:rsidRPr="00A9007D">
        <w:rPr>
          <w:rFonts w:ascii="Book Antiqua" w:hAnsi="Book Antiqua"/>
        </w:rPr>
        <w:t xml:space="preserve"> </w:t>
      </w:r>
      <w:r w:rsidR="00A71861" w:rsidRPr="00A9007D">
        <w:rPr>
          <w:rFonts w:ascii="Book Antiqua" w:hAnsi="Book Antiqua"/>
        </w:rPr>
        <w:t xml:space="preserve"> De igual modo, busca enmendar los Artículos 308 y 601 de la Ley Núm. 4 de 23 junio de 1971</w:t>
      </w:r>
      <w:r w:rsidR="007D239F" w:rsidRPr="00A9007D">
        <w:rPr>
          <w:rFonts w:ascii="Book Antiqua" w:hAnsi="Book Antiqua"/>
        </w:rPr>
        <w:t xml:space="preserve">, </w:t>
      </w:r>
      <w:r w:rsidR="007D239F" w:rsidRPr="00A9007D">
        <w:rPr>
          <w:rFonts w:ascii="Book Antiqua" w:hAnsi="Book Antiqua"/>
          <w:i/>
          <w:iCs/>
        </w:rPr>
        <w:t>supra</w:t>
      </w:r>
      <w:r w:rsidR="007D239F" w:rsidRPr="00A9007D">
        <w:rPr>
          <w:rFonts w:ascii="Book Antiqua" w:hAnsi="Book Antiqua"/>
        </w:rPr>
        <w:t xml:space="preserve">, para (1) eliminar las referencias a la Ley Núm. 48, </w:t>
      </w:r>
      <w:r w:rsidR="007D239F" w:rsidRPr="00A9007D">
        <w:rPr>
          <w:rFonts w:ascii="Book Antiqua" w:hAnsi="Book Antiqua"/>
          <w:i/>
          <w:iCs/>
        </w:rPr>
        <w:t>supra</w:t>
      </w:r>
      <w:r w:rsidR="007D239F" w:rsidRPr="00A9007D">
        <w:rPr>
          <w:rFonts w:ascii="Book Antiqua" w:hAnsi="Book Antiqua"/>
        </w:rPr>
        <w:t xml:space="preserve">, y la Ley Núm. 126, </w:t>
      </w:r>
      <w:r w:rsidR="007D239F" w:rsidRPr="00A9007D">
        <w:rPr>
          <w:rFonts w:ascii="Book Antiqua" w:hAnsi="Book Antiqua"/>
          <w:i/>
          <w:iCs/>
        </w:rPr>
        <w:t>supra</w:t>
      </w:r>
      <w:r w:rsidR="007D239F" w:rsidRPr="00A9007D">
        <w:rPr>
          <w:rFonts w:ascii="Book Antiqua" w:hAnsi="Book Antiqua"/>
        </w:rPr>
        <w:t xml:space="preserve">, y (2) atemperar la Ley Núm. 4, </w:t>
      </w:r>
      <w:r w:rsidR="007D239F" w:rsidRPr="00A9007D">
        <w:rPr>
          <w:rFonts w:ascii="Book Antiqua" w:hAnsi="Book Antiqua"/>
          <w:i/>
          <w:iCs/>
        </w:rPr>
        <w:t>supra</w:t>
      </w:r>
      <w:r w:rsidR="007D239F" w:rsidRPr="00A9007D">
        <w:rPr>
          <w:rFonts w:ascii="Book Antiqua" w:hAnsi="Book Antiqua"/>
        </w:rPr>
        <w:t xml:space="preserve">, a la legislación federal vigente. </w:t>
      </w:r>
    </w:p>
    <w:p w14:paraId="385B769F" w14:textId="4799555A" w:rsidR="00974095" w:rsidRPr="00A9007D" w:rsidRDefault="00D65B74" w:rsidP="00974095">
      <w:pPr>
        <w:spacing w:line="360" w:lineRule="auto"/>
        <w:ind w:firstLine="720"/>
        <w:jc w:val="both"/>
        <w:rPr>
          <w:rFonts w:ascii="Book Antiqua" w:hAnsi="Book Antiqua" w:cs="Times New Roman"/>
        </w:rPr>
      </w:pPr>
      <w:r w:rsidRPr="00A9007D">
        <w:rPr>
          <w:rFonts w:ascii="Book Antiqua" w:hAnsi="Book Antiqua" w:cs="Times New Roman"/>
        </w:rPr>
        <w:t xml:space="preserve">La medida se presentó el pasado </w:t>
      </w:r>
      <w:r w:rsidR="00836295" w:rsidRPr="00A9007D">
        <w:rPr>
          <w:rFonts w:ascii="Book Antiqua" w:hAnsi="Book Antiqua" w:cs="Times New Roman"/>
        </w:rPr>
        <w:t>14</w:t>
      </w:r>
      <w:r w:rsidRPr="00A9007D">
        <w:rPr>
          <w:rFonts w:ascii="Book Antiqua" w:hAnsi="Book Antiqua" w:cs="Times New Roman"/>
        </w:rPr>
        <w:t xml:space="preserve"> de enero de 2025, y se asig</w:t>
      </w:r>
      <w:r w:rsidR="009E7AE0" w:rsidRPr="00A9007D">
        <w:rPr>
          <w:rFonts w:ascii="Book Antiqua" w:hAnsi="Book Antiqua" w:cs="Times New Roman"/>
        </w:rPr>
        <w:t>n</w:t>
      </w:r>
      <w:r w:rsidRPr="00A9007D">
        <w:rPr>
          <w:rFonts w:ascii="Book Antiqua" w:hAnsi="Book Antiqua" w:cs="Times New Roman"/>
        </w:rPr>
        <w:t>ó a la</w:t>
      </w:r>
      <w:r w:rsidR="00836295" w:rsidRPr="00A9007D">
        <w:rPr>
          <w:rFonts w:ascii="Book Antiqua" w:hAnsi="Book Antiqua" w:cs="Times New Roman"/>
        </w:rPr>
        <w:t xml:space="preserve">s Comisiones de </w:t>
      </w:r>
      <w:r w:rsidR="00836295" w:rsidRPr="00A9007D">
        <w:rPr>
          <w:rFonts w:ascii="Book Antiqua" w:hAnsi="Book Antiqua" w:cs="Times New Roman"/>
          <w:i/>
          <w:iCs/>
        </w:rPr>
        <w:t>Relaciones Federales y Viabilización del Mandato del Pueblo para la Solución del Estatus</w:t>
      </w:r>
      <w:r w:rsidR="00836295" w:rsidRPr="00A9007D">
        <w:rPr>
          <w:rFonts w:ascii="Book Antiqua" w:hAnsi="Book Antiqua" w:cs="Times New Roman"/>
        </w:rPr>
        <w:t xml:space="preserve">, y de </w:t>
      </w:r>
      <w:r w:rsidR="00836295" w:rsidRPr="00A9007D">
        <w:rPr>
          <w:rFonts w:ascii="Book Antiqua" w:hAnsi="Book Antiqua" w:cs="Times New Roman"/>
          <w:i/>
          <w:iCs/>
        </w:rPr>
        <w:t>Salud</w:t>
      </w:r>
      <w:r w:rsidR="00836295" w:rsidRPr="00A9007D">
        <w:rPr>
          <w:rFonts w:ascii="Book Antiqua" w:hAnsi="Book Antiqua" w:cs="Times New Roman"/>
        </w:rPr>
        <w:t>, las cuales presentaron</w:t>
      </w:r>
      <w:r w:rsidR="005A4A92" w:rsidRPr="00A9007D">
        <w:rPr>
          <w:rFonts w:ascii="Book Antiqua" w:hAnsi="Book Antiqua" w:cs="Times New Roman"/>
        </w:rPr>
        <w:t xml:space="preserve"> un Informe Conjunto el pasado 12 de mayo de 2025, en el cual avalaron la medida, y presentaron enmiendas al texto, junto al correspondiente Entirillado Electrónico. Tras algunas incidencias procesales, el 27 de mayo de 2025 </w:t>
      </w:r>
      <w:r w:rsidR="00AF6F98" w:rsidRPr="00A9007D">
        <w:rPr>
          <w:rFonts w:ascii="Book Antiqua" w:hAnsi="Book Antiqua" w:cs="Times New Roman"/>
        </w:rPr>
        <w:t>el</w:t>
      </w:r>
      <w:r w:rsidR="005A4A92" w:rsidRPr="00A9007D">
        <w:rPr>
          <w:rFonts w:ascii="Book Antiqua" w:hAnsi="Book Antiqua" w:cs="Times New Roman"/>
        </w:rPr>
        <w:t xml:space="preserve"> </w:t>
      </w:r>
      <w:r w:rsidR="00AF6F98" w:rsidRPr="00A9007D">
        <w:rPr>
          <w:rFonts w:ascii="Book Antiqua" w:hAnsi="Book Antiqua" w:cs="Times New Roman"/>
        </w:rPr>
        <w:t>I</w:t>
      </w:r>
      <w:r w:rsidR="005A4A92" w:rsidRPr="00A9007D">
        <w:rPr>
          <w:rFonts w:ascii="Book Antiqua" w:hAnsi="Book Antiqua" w:cs="Times New Roman"/>
        </w:rPr>
        <w:t>nforme</w:t>
      </w:r>
      <w:r w:rsidR="00AF6F98" w:rsidRPr="00A9007D">
        <w:rPr>
          <w:rFonts w:ascii="Book Antiqua" w:hAnsi="Book Antiqua" w:cs="Times New Roman"/>
        </w:rPr>
        <w:t xml:space="preserve"> Conjunto</w:t>
      </w:r>
      <w:r w:rsidR="005A4A92" w:rsidRPr="00A9007D">
        <w:rPr>
          <w:rFonts w:ascii="Book Antiqua" w:hAnsi="Book Antiqua" w:cs="Times New Roman"/>
        </w:rPr>
        <w:t xml:space="preserve"> y la medida fueron aprobadas, con enmiendas adicionales en Sala, con </w:t>
      </w:r>
      <w:r w:rsidR="00AF6F98" w:rsidRPr="00A9007D">
        <w:rPr>
          <w:rFonts w:ascii="Book Antiqua" w:hAnsi="Book Antiqua" w:cs="Times New Roman"/>
        </w:rPr>
        <w:t>veintiseis (</w:t>
      </w:r>
      <w:r w:rsidR="005A4A92" w:rsidRPr="00A9007D">
        <w:rPr>
          <w:rFonts w:ascii="Book Antiqua" w:hAnsi="Book Antiqua" w:cs="Times New Roman"/>
        </w:rPr>
        <w:t>26</w:t>
      </w:r>
      <w:r w:rsidR="00AF6F98" w:rsidRPr="00A9007D">
        <w:rPr>
          <w:rFonts w:ascii="Book Antiqua" w:hAnsi="Book Antiqua" w:cs="Times New Roman"/>
        </w:rPr>
        <w:t>)</w:t>
      </w:r>
      <w:r w:rsidR="005A4A92" w:rsidRPr="00A9007D">
        <w:rPr>
          <w:rFonts w:ascii="Book Antiqua" w:hAnsi="Book Antiqua" w:cs="Times New Roman"/>
        </w:rPr>
        <w:t xml:space="preserve"> votos a favor, un</w:t>
      </w:r>
      <w:r w:rsidR="00AF6F98" w:rsidRPr="00A9007D">
        <w:rPr>
          <w:rFonts w:ascii="Book Antiqua" w:hAnsi="Book Antiqua" w:cs="Times New Roman"/>
        </w:rPr>
        <w:t xml:space="preserve"> (1)</w:t>
      </w:r>
      <w:r w:rsidR="005A4A92" w:rsidRPr="00A9007D">
        <w:rPr>
          <w:rFonts w:ascii="Book Antiqua" w:hAnsi="Book Antiqua" w:cs="Times New Roman"/>
        </w:rPr>
        <w:t xml:space="preserve"> voto en contra y un</w:t>
      </w:r>
      <w:r w:rsidR="00AF6F98" w:rsidRPr="00A9007D">
        <w:rPr>
          <w:rFonts w:ascii="Book Antiqua" w:hAnsi="Book Antiqua" w:cs="Times New Roman"/>
        </w:rPr>
        <w:t xml:space="preserve"> (1)</w:t>
      </w:r>
      <w:r w:rsidR="005A4A92" w:rsidRPr="00A9007D">
        <w:rPr>
          <w:rFonts w:ascii="Book Antiqua" w:hAnsi="Book Antiqua" w:cs="Times New Roman"/>
        </w:rPr>
        <w:t xml:space="preserve"> voto ausente. En esa misma fecha, el Proyecto de Ley fue enrolado y remitido a la Cámara de Representantres. </w:t>
      </w:r>
    </w:p>
    <w:p w14:paraId="71DE224D" w14:textId="57663E04" w:rsidR="005A4A92" w:rsidRPr="00A9007D" w:rsidRDefault="005A4A92" w:rsidP="00974095">
      <w:pPr>
        <w:spacing w:line="360" w:lineRule="auto"/>
        <w:ind w:firstLine="720"/>
        <w:jc w:val="both"/>
        <w:rPr>
          <w:rFonts w:ascii="Book Antiqua" w:hAnsi="Book Antiqua" w:cs="Times New Roman"/>
        </w:rPr>
      </w:pPr>
      <w:r w:rsidRPr="00A9007D">
        <w:rPr>
          <w:rFonts w:ascii="Book Antiqua" w:hAnsi="Book Antiqua" w:cs="Times New Roman"/>
        </w:rPr>
        <w:t xml:space="preserve">El 10 de junio de 2025 el Proyecto de Ley fue asignado a la </w:t>
      </w:r>
      <w:r w:rsidRPr="00A9007D">
        <w:rPr>
          <w:rFonts w:ascii="Book Antiqua" w:hAnsi="Book Antiqua" w:cs="Times New Roman"/>
          <w:i/>
          <w:iCs/>
        </w:rPr>
        <w:t>Comisión de Reorganización Eficiencia y Diligencia (CRED)</w:t>
      </w:r>
      <w:r w:rsidRPr="00A9007D">
        <w:rPr>
          <w:rFonts w:ascii="Book Antiqua" w:hAnsi="Book Antiqua" w:cs="Times New Roman"/>
        </w:rPr>
        <w:t xml:space="preserve">, para el trámite correspondiente. La Comisión evaluó las leyes mencionadas a lo largo del proceso, el </w:t>
      </w:r>
      <w:r w:rsidRPr="00A9007D">
        <w:rPr>
          <w:rFonts w:ascii="Book Antiqua" w:hAnsi="Book Antiqua" w:cs="Times New Roman"/>
          <w:i/>
          <w:iCs/>
        </w:rPr>
        <w:t>Informe Conjunto</w:t>
      </w:r>
      <w:r w:rsidRPr="00A9007D">
        <w:rPr>
          <w:rFonts w:ascii="Book Antiqua" w:hAnsi="Book Antiqua" w:cs="Times New Roman"/>
        </w:rPr>
        <w:t xml:space="preserve"> presentado por las Comisiones del Senado de Puerto Rico, así como los </w:t>
      </w:r>
      <w:r w:rsidRPr="00A9007D">
        <w:rPr>
          <w:rFonts w:ascii="Book Antiqua" w:hAnsi="Book Antiqua" w:cs="Times New Roman"/>
          <w:i/>
          <w:iCs/>
        </w:rPr>
        <w:t>Memoriales Explicativos</w:t>
      </w:r>
      <w:r w:rsidRPr="00A9007D">
        <w:rPr>
          <w:rFonts w:ascii="Book Antiqua" w:hAnsi="Book Antiqua" w:cs="Times New Roman"/>
        </w:rPr>
        <w:t xml:space="preserve"> del Departamento de Salud, la Administración de Servicios de Salud Mental y Contra la Adicción (ASSMCA)</w:t>
      </w:r>
      <w:r w:rsidR="00563ACD" w:rsidRPr="00A9007D">
        <w:rPr>
          <w:rFonts w:ascii="Book Antiqua" w:hAnsi="Book Antiqua" w:cs="Times New Roman"/>
        </w:rPr>
        <w:t>,</w:t>
      </w:r>
      <w:r w:rsidRPr="00A9007D">
        <w:rPr>
          <w:rFonts w:ascii="Book Antiqua" w:hAnsi="Book Antiqua" w:cs="Times New Roman"/>
        </w:rPr>
        <w:t xml:space="preserve"> y el Colegio de Farmacéuticos. </w:t>
      </w:r>
    </w:p>
    <w:p w14:paraId="776FC73B" w14:textId="79707F54" w:rsidR="008361EB" w:rsidRPr="00A9007D" w:rsidRDefault="001F12B4" w:rsidP="006823BA">
      <w:pPr>
        <w:spacing w:line="360" w:lineRule="auto"/>
        <w:ind w:firstLine="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i/>
          <w:iCs/>
          <w:kern w:val="0"/>
          <w:lang w:val="es-ES_tradnl"/>
          <w14:ligatures w14:val="none"/>
        </w:rPr>
        <w:lastRenderedPageBreak/>
        <w:t xml:space="preserve"> </w:t>
      </w:r>
      <w:r w:rsidR="00675DC7" w:rsidRPr="00A9007D">
        <w:rPr>
          <w:rFonts w:ascii="Book Antiqua" w:eastAsia="Times New Roman" w:hAnsi="Book Antiqua" w:cs="Times New Roman"/>
          <w:i/>
          <w:iCs/>
          <w:kern w:val="0"/>
          <w:lang w:val="es-ES_tradnl"/>
          <w14:ligatures w14:val="none"/>
        </w:rPr>
        <w:t xml:space="preserve"> </w:t>
      </w:r>
      <w:r w:rsidR="005A4A92" w:rsidRPr="00A9007D">
        <w:rPr>
          <w:rFonts w:ascii="Book Antiqua" w:eastAsia="Times New Roman" w:hAnsi="Book Antiqua" w:cs="Times New Roman"/>
          <w:kern w:val="0"/>
          <w:lang w:val="es-ES_tradnl"/>
          <w14:ligatures w14:val="none"/>
        </w:rPr>
        <w:t xml:space="preserve">Considerado lo anterior, procedemos a evaluar el P. del S. 253. </w:t>
      </w:r>
      <w:r w:rsidR="00A54AF0" w:rsidRPr="00A9007D">
        <w:rPr>
          <w:rFonts w:ascii="Book Antiqua" w:eastAsia="Times New Roman" w:hAnsi="Book Antiqua" w:cs="Times New Roman"/>
          <w:kern w:val="0"/>
          <w:lang w:val="es-ES_tradnl"/>
          <w14:ligatures w14:val="none"/>
        </w:rPr>
        <w:t xml:space="preserve"> </w:t>
      </w:r>
    </w:p>
    <w:p w14:paraId="6C094670" w14:textId="77777777" w:rsidR="00297F4B" w:rsidRPr="00A9007D" w:rsidRDefault="00297F4B" w:rsidP="008C646F">
      <w:pPr>
        <w:spacing w:after="0" w:line="240" w:lineRule="auto"/>
        <w:rPr>
          <w:rFonts w:ascii="Book Antiqua" w:eastAsia="Times New Roman" w:hAnsi="Book Antiqua" w:cs="Times New Roman"/>
          <w:kern w:val="0"/>
          <w:lang w:val="es-ES_tradnl"/>
          <w14:ligatures w14:val="none"/>
        </w:rPr>
      </w:pPr>
    </w:p>
    <w:p w14:paraId="6D3F4264" w14:textId="107B7A23" w:rsidR="00A54AF0" w:rsidRPr="00A9007D" w:rsidRDefault="00647DED" w:rsidP="00A54AF0">
      <w:pPr>
        <w:spacing w:after="0" w:line="240" w:lineRule="auto"/>
        <w:jc w:val="center"/>
        <w:rPr>
          <w:rFonts w:ascii="Book Antiqua" w:eastAsia="Times New Roman" w:hAnsi="Book Antiqua" w:cs="Times New Roman"/>
          <w:b/>
          <w:kern w:val="0"/>
          <w14:ligatures w14:val="none"/>
        </w:rPr>
      </w:pPr>
      <w:r w:rsidRPr="00A9007D">
        <w:rPr>
          <w:rFonts w:ascii="Book Antiqua" w:eastAsia="Times New Roman" w:hAnsi="Book Antiqua" w:cs="Times New Roman"/>
          <w:b/>
          <w:kern w:val="0"/>
          <w14:ligatures w14:val="none"/>
        </w:rPr>
        <w:t>PONENCIAS</w:t>
      </w:r>
      <w:r w:rsidR="005A4A92" w:rsidRPr="00A9007D">
        <w:rPr>
          <w:rFonts w:ascii="Book Antiqua" w:eastAsia="Times New Roman" w:hAnsi="Book Antiqua" w:cs="Times New Roman"/>
          <w:b/>
          <w:kern w:val="0"/>
          <w14:ligatures w14:val="none"/>
        </w:rPr>
        <w:t xml:space="preserve">, INFORMES </w:t>
      </w:r>
      <w:r w:rsidRPr="00A9007D">
        <w:rPr>
          <w:rFonts w:ascii="Book Antiqua" w:eastAsia="Times New Roman" w:hAnsi="Book Antiqua" w:cs="Times New Roman"/>
          <w:b/>
          <w:kern w:val="0"/>
          <w14:ligatures w14:val="none"/>
        </w:rPr>
        <w:t xml:space="preserve">O </w:t>
      </w:r>
      <w:r w:rsidR="00A54AF0" w:rsidRPr="00A9007D">
        <w:rPr>
          <w:rFonts w:ascii="Book Antiqua" w:eastAsia="Times New Roman" w:hAnsi="Book Antiqua" w:cs="Times New Roman"/>
          <w:b/>
          <w:kern w:val="0"/>
          <w14:ligatures w14:val="none"/>
        </w:rPr>
        <w:t>MEMORIALES RECIBID</w:t>
      </w:r>
      <w:r w:rsidRPr="00A9007D">
        <w:rPr>
          <w:rFonts w:ascii="Book Antiqua" w:eastAsia="Times New Roman" w:hAnsi="Book Antiqua" w:cs="Times New Roman"/>
          <w:b/>
          <w:kern w:val="0"/>
          <w14:ligatures w14:val="none"/>
        </w:rPr>
        <w:t>O</w:t>
      </w:r>
      <w:r w:rsidR="00A54AF0" w:rsidRPr="00A9007D">
        <w:rPr>
          <w:rFonts w:ascii="Book Antiqua" w:eastAsia="Times New Roman" w:hAnsi="Book Antiqua" w:cs="Times New Roman"/>
          <w:b/>
          <w:kern w:val="0"/>
          <w14:ligatures w14:val="none"/>
        </w:rPr>
        <w:t>S</w:t>
      </w:r>
    </w:p>
    <w:p w14:paraId="2EE2EDEA" w14:textId="77777777" w:rsidR="00A54AF0" w:rsidRPr="00A9007D" w:rsidRDefault="00A54AF0" w:rsidP="00A54AF0">
      <w:pPr>
        <w:spacing w:after="0" w:line="240" w:lineRule="auto"/>
        <w:jc w:val="center"/>
        <w:rPr>
          <w:rFonts w:ascii="Book Antiqua" w:eastAsia="Times New Roman" w:hAnsi="Book Antiqua" w:cs="Times New Roman"/>
          <w:b/>
          <w:kern w:val="0"/>
          <w14:ligatures w14:val="none"/>
        </w:rPr>
      </w:pPr>
    </w:p>
    <w:p w14:paraId="64057070" w14:textId="5D29C033" w:rsidR="0073244C" w:rsidRPr="00A9007D" w:rsidRDefault="00A54AF0" w:rsidP="008B6B9B">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sidRPr="00A9007D">
        <w:rPr>
          <w:rFonts w:ascii="Book Antiqua" w:eastAsia="Times New Roman" w:hAnsi="Book Antiqua" w:cs="Times New Roman"/>
          <w:bCs/>
          <w:i/>
          <w:iCs/>
          <w:kern w:val="0"/>
          <w14:ligatures w14:val="none"/>
        </w:rPr>
        <w:t>Memoriales Explicativos</w:t>
      </w:r>
    </w:p>
    <w:p w14:paraId="36E19C55" w14:textId="2E156C5A" w:rsidR="00352764" w:rsidRPr="00A9007D" w:rsidRDefault="005A4A92" w:rsidP="002E53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bookmarkStart w:id="0" w:name="_Hlk191473974"/>
      <w:r w:rsidRPr="00A9007D">
        <w:rPr>
          <w:rFonts w:ascii="Book Antiqua" w:eastAsia="Times New Roman" w:hAnsi="Book Antiqua" w:cs="Times New Roman"/>
          <w:kern w:val="0"/>
          <w:u w:val="single"/>
          <w:lang w:val="es-ES_tradnl"/>
          <w14:ligatures w14:val="none"/>
        </w:rPr>
        <w:t>Departamento de Salud</w:t>
      </w:r>
    </w:p>
    <w:p w14:paraId="46616849" w14:textId="77777777" w:rsidR="00901870" w:rsidRPr="00A9007D" w:rsidRDefault="00901870" w:rsidP="00901870">
      <w:pPr>
        <w:pStyle w:val="ListParagraph"/>
        <w:spacing w:after="0" w:line="240" w:lineRule="auto"/>
        <w:ind w:left="360"/>
        <w:rPr>
          <w:rFonts w:ascii="Book Antiqua" w:eastAsia="Times New Roman" w:hAnsi="Book Antiqua" w:cs="Times New Roman"/>
          <w:kern w:val="0"/>
          <w:u w:val="single"/>
          <w:lang w:val="es-ES_tradnl"/>
          <w14:ligatures w14:val="none"/>
        </w:rPr>
      </w:pPr>
    </w:p>
    <w:p w14:paraId="2846764E" w14:textId="204F4736" w:rsidR="008B6B9B" w:rsidRPr="00A9007D" w:rsidRDefault="00901870" w:rsidP="00A9689A">
      <w:pPr>
        <w:pStyle w:val="ListParagraph"/>
        <w:spacing w:after="0" w:line="360" w:lineRule="auto"/>
        <w:ind w:left="0" w:firstLine="36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El 14 de febrero de 2025, el Departamento de Saludo remitió a las Comisiones del Senado el </w:t>
      </w:r>
      <w:r w:rsidRPr="00A9007D">
        <w:rPr>
          <w:rFonts w:ascii="Book Antiqua" w:eastAsia="Times New Roman" w:hAnsi="Book Antiqua" w:cs="Times New Roman"/>
          <w:i/>
          <w:iCs/>
          <w:kern w:val="0"/>
          <w:lang w:val="es-ES_tradnl"/>
          <w14:ligatures w14:val="none"/>
        </w:rPr>
        <w:t>Memorial Explicativo sobre el Proyecto del Senado Núm. 253</w:t>
      </w:r>
      <w:r w:rsidRPr="00A9007D">
        <w:rPr>
          <w:rStyle w:val="FootnoteReference"/>
          <w:rFonts w:ascii="Book Antiqua" w:eastAsia="Times New Roman" w:hAnsi="Book Antiqua"/>
          <w:i/>
          <w:iCs/>
          <w:kern w:val="0"/>
          <w:lang w:val="es-ES_tradnl"/>
          <w14:ligatures w14:val="none"/>
        </w:rPr>
        <w:footnoteReference w:id="5"/>
      </w:r>
      <w:r w:rsidRPr="00A9007D">
        <w:rPr>
          <w:rFonts w:ascii="Book Antiqua" w:eastAsia="Times New Roman" w:hAnsi="Book Antiqua" w:cs="Times New Roman"/>
          <w:kern w:val="0"/>
          <w:lang w:val="es-ES_tradnl"/>
          <w14:ligatures w14:val="none"/>
        </w:rPr>
        <w:t>. En este expresa que “el Departamento de Saludos se Alinea con la intención legislativa expresada en el P. del S. 253 y la respalda”</w:t>
      </w:r>
      <w:r w:rsidRPr="00A9007D">
        <w:rPr>
          <w:rStyle w:val="FootnoteReference"/>
          <w:rFonts w:ascii="Book Antiqua" w:eastAsia="Times New Roman" w:hAnsi="Book Antiqua"/>
          <w:kern w:val="0"/>
          <w:lang w:val="es-ES_tradnl"/>
          <w14:ligatures w14:val="none"/>
        </w:rPr>
        <w:footnoteReference w:id="6"/>
      </w:r>
      <w:r w:rsidRPr="00A9007D">
        <w:rPr>
          <w:rFonts w:ascii="Book Antiqua" w:eastAsia="Times New Roman" w:hAnsi="Book Antiqua" w:cs="Times New Roman"/>
          <w:kern w:val="0"/>
          <w:lang w:val="es-ES_tradnl"/>
          <w14:ligatures w14:val="none"/>
        </w:rPr>
        <w:t>. Añade que la medida busca “conciliar la política estatal con la federal en relación con las sustancias controladas, buscando prevenir y controlar el desvío hacia usos ilícitos de sustancias con potencial de abuso y dependencia, al mismo tiempo que facilita el acceso a su uso legítimo con fines terapéuticos.”</w:t>
      </w:r>
      <w:r w:rsidRPr="00A9007D">
        <w:rPr>
          <w:rStyle w:val="FootnoteReference"/>
          <w:rFonts w:ascii="Book Antiqua" w:eastAsia="Times New Roman" w:hAnsi="Book Antiqua"/>
          <w:kern w:val="0"/>
          <w:lang w:val="es-ES_tradnl"/>
          <w14:ligatures w14:val="none"/>
        </w:rPr>
        <w:footnoteReference w:id="7"/>
      </w:r>
    </w:p>
    <w:p w14:paraId="65C036CB" w14:textId="59A4B557" w:rsidR="00696447" w:rsidRPr="00A9007D" w:rsidRDefault="00696447" w:rsidP="00A9689A">
      <w:pPr>
        <w:pStyle w:val="ListParagraph"/>
        <w:spacing w:after="0" w:line="360" w:lineRule="auto"/>
        <w:ind w:left="0" w:firstLine="36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Dentro de sus comentarios, avaló la derogación de la Ley Núm. 126, </w:t>
      </w:r>
      <w:r w:rsidRPr="00A9007D">
        <w:rPr>
          <w:rFonts w:ascii="Book Antiqua" w:eastAsia="Times New Roman" w:hAnsi="Book Antiqua" w:cs="Times New Roman"/>
          <w:i/>
          <w:iCs/>
          <w:kern w:val="0"/>
          <w:lang w:val="es-ES_tradnl"/>
          <w14:ligatures w14:val="none"/>
        </w:rPr>
        <w:t>supra</w:t>
      </w:r>
      <w:r w:rsidRPr="00A9007D">
        <w:rPr>
          <w:rFonts w:ascii="Book Antiqua" w:eastAsia="Times New Roman" w:hAnsi="Book Antiqua" w:cs="Times New Roman"/>
          <w:kern w:val="0"/>
          <w:lang w:val="es-ES_tradnl"/>
          <w14:ligatures w14:val="none"/>
        </w:rPr>
        <w:t>;</w:t>
      </w:r>
      <w:r w:rsidR="0058464B" w:rsidRPr="00A9007D">
        <w:rPr>
          <w:rStyle w:val="FootnoteReference"/>
          <w:rFonts w:ascii="Book Antiqua" w:eastAsia="Times New Roman" w:hAnsi="Book Antiqua"/>
          <w:kern w:val="0"/>
          <w:lang w:val="es-ES_tradnl"/>
          <w14:ligatures w14:val="none"/>
        </w:rPr>
        <w:footnoteReference w:id="8"/>
      </w:r>
      <w:r w:rsidRPr="00A9007D">
        <w:rPr>
          <w:rFonts w:ascii="Book Antiqua" w:eastAsia="Times New Roman" w:hAnsi="Book Antiqua" w:cs="Times New Roman"/>
          <w:kern w:val="0"/>
          <w:lang w:val="es-ES_tradnl"/>
          <w14:ligatures w14:val="none"/>
        </w:rPr>
        <w:t xml:space="preserve"> favoreció la eliminación del término de </w:t>
      </w:r>
      <w:r w:rsidRPr="00A9007D">
        <w:rPr>
          <w:rFonts w:ascii="Book Antiqua" w:eastAsia="Times New Roman" w:hAnsi="Book Antiqua" w:cs="Times New Roman"/>
          <w:kern w:val="0"/>
          <w:u w:val="single"/>
          <w:lang w:val="es-ES_tradnl"/>
          <w14:ligatures w14:val="none"/>
        </w:rPr>
        <w:t>dos (2) días</w:t>
      </w:r>
      <w:r w:rsidRPr="00A9007D">
        <w:rPr>
          <w:rFonts w:ascii="Book Antiqua" w:eastAsia="Times New Roman" w:hAnsi="Book Antiqua" w:cs="Times New Roman"/>
          <w:kern w:val="0"/>
          <w:lang w:val="es-ES_tradnl"/>
          <w14:ligatures w14:val="none"/>
        </w:rPr>
        <w:t xml:space="preserve"> </w:t>
      </w:r>
      <w:r w:rsidR="0058464B" w:rsidRPr="00A9007D">
        <w:rPr>
          <w:rFonts w:ascii="Book Antiqua" w:eastAsia="Times New Roman" w:hAnsi="Book Antiqua" w:cs="Times New Roman"/>
          <w:kern w:val="0"/>
          <w:lang w:val="es-ES_tradnl"/>
          <w14:ligatures w14:val="none"/>
        </w:rPr>
        <w:t>para dispensar un medicamento, a partir de la expedición de la receta</w:t>
      </w:r>
      <w:r w:rsidR="0058464B" w:rsidRPr="00A9007D">
        <w:rPr>
          <w:rStyle w:val="FootnoteReference"/>
          <w:rFonts w:ascii="Book Antiqua" w:eastAsia="Times New Roman" w:hAnsi="Book Antiqua"/>
          <w:kern w:val="0"/>
          <w:lang w:val="es-ES_tradnl"/>
          <w14:ligatures w14:val="none"/>
        </w:rPr>
        <w:footnoteReference w:id="9"/>
      </w:r>
      <w:r w:rsidR="0058464B" w:rsidRPr="00A9007D">
        <w:rPr>
          <w:rFonts w:ascii="Book Antiqua" w:eastAsia="Times New Roman" w:hAnsi="Book Antiqua" w:cs="Times New Roman"/>
          <w:kern w:val="0"/>
          <w:lang w:val="es-ES_tradnl"/>
          <w14:ligatures w14:val="none"/>
        </w:rPr>
        <w:t xml:space="preserve">, y sugirió modificaciones al texto de la medida para establecer el término de </w:t>
      </w:r>
      <w:r w:rsidR="0058464B" w:rsidRPr="00A9007D">
        <w:rPr>
          <w:rFonts w:ascii="Book Antiqua" w:eastAsia="Times New Roman" w:hAnsi="Book Antiqua" w:cs="Times New Roman"/>
          <w:kern w:val="0"/>
          <w:u w:val="single"/>
          <w:lang w:val="es-ES_tradnl"/>
          <w14:ligatures w14:val="none"/>
        </w:rPr>
        <w:t>siete (7) días</w:t>
      </w:r>
      <w:r w:rsidR="0058464B" w:rsidRPr="00A9007D">
        <w:rPr>
          <w:rFonts w:ascii="Book Antiqua" w:eastAsia="Times New Roman" w:hAnsi="Book Antiqua" w:cs="Times New Roman"/>
          <w:kern w:val="0"/>
          <w:lang w:val="es-ES_tradnl"/>
          <w14:ligatures w14:val="none"/>
        </w:rPr>
        <w:t xml:space="preserve"> a partir de que el profesional que prescribió oralmente el medicamento, para poner por escrito o generar electrónicamente la receta</w:t>
      </w:r>
      <w:r w:rsidR="0058464B" w:rsidRPr="00A9007D">
        <w:rPr>
          <w:rStyle w:val="FootnoteReference"/>
          <w:rFonts w:ascii="Book Antiqua" w:eastAsia="Times New Roman" w:hAnsi="Book Antiqua"/>
          <w:kern w:val="0"/>
          <w:lang w:val="es-ES_tradnl"/>
          <w14:ligatures w14:val="none"/>
        </w:rPr>
        <w:footnoteReference w:id="10"/>
      </w:r>
      <w:r w:rsidR="0058464B" w:rsidRPr="00A9007D">
        <w:rPr>
          <w:rFonts w:ascii="Book Antiqua" w:eastAsia="Times New Roman" w:hAnsi="Book Antiqua" w:cs="Times New Roman"/>
          <w:kern w:val="0"/>
          <w:lang w:val="es-ES_tradnl"/>
          <w14:ligatures w14:val="none"/>
        </w:rPr>
        <w:t>.</w:t>
      </w:r>
    </w:p>
    <w:p w14:paraId="7DBBCC6A" w14:textId="77777777" w:rsidR="00901870" w:rsidRPr="00A9007D" w:rsidRDefault="00901870" w:rsidP="008B6B9B">
      <w:pPr>
        <w:pStyle w:val="ListParagraph"/>
        <w:spacing w:after="0" w:line="240" w:lineRule="auto"/>
        <w:ind w:left="360"/>
        <w:rPr>
          <w:rFonts w:ascii="Book Antiqua" w:eastAsia="Times New Roman" w:hAnsi="Book Antiqua" w:cs="Times New Roman"/>
          <w:kern w:val="0"/>
          <w:u w:val="single"/>
          <w:lang w:val="es-ES_tradnl"/>
          <w14:ligatures w14:val="none"/>
        </w:rPr>
      </w:pPr>
    </w:p>
    <w:p w14:paraId="4242AD11" w14:textId="2C299037" w:rsidR="00297F4B" w:rsidRPr="008C646F" w:rsidRDefault="005A4A92" w:rsidP="008C646F">
      <w:pPr>
        <w:pStyle w:val="ListParagraph"/>
        <w:numPr>
          <w:ilvl w:val="0"/>
          <w:numId w:val="5"/>
        </w:numPr>
        <w:spacing w:line="240" w:lineRule="auto"/>
        <w:ind w:left="360"/>
        <w:jc w:val="center"/>
        <w:rPr>
          <w:rFonts w:ascii="Book Antiqua" w:eastAsia="Times New Roman" w:hAnsi="Book Antiqua" w:cs="Times New Roman"/>
          <w:kern w:val="0"/>
          <w:u w:val="single"/>
          <w:lang w:val="es-ES_tradnl"/>
          <w14:ligatures w14:val="none"/>
        </w:rPr>
      </w:pPr>
      <w:r w:rsidRPr="00A9007D">
        <w:rPr>
          <w:rFonts w:ascii="Book Antiqua" w:eastAsia="Times New Roman" w:hAnsi="Book Antiqua" w:cs="Times New Roman"/>
          <w:kern w:val="0"/>
          <w:u w:val="single"/>
          <w:lang w:val="es-ES_tradnl"/>
          <w14:ligatures w14:val="none"/>
        </w:rPr>
        <w:t>Administración de Servicios de Salud Mental y Contra la Adicción (ASSMCA)</w:t>
      </w:r>
    </w:p>
    <w:p w14:paraId="116B5D7E" w14:textId="34F4196A" w:rsidR="008D638B" w:rsidRPr="00A9007D" w:rsidRDefault="00297F4B" w:rsidP="00A9689A">
      <w:pPr>
        <w:spacing w:line="360" w:lineRule="auto"/>
        <w:ind w:firstLine="36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El 26 de febrero de 2025 la Administración de Servicios de Salud Mental y Contra la Adicción (ASSMCA) emitió un </w:t>
      </w:r>
      <w:r w:rsidRPr="00A9007D">
        <w:rPr>
          <w:rFonts w:ascii="Book Antiqua" w:eastAsia="Times New Roman" w:hAnsi="Book Antiqua" w:cs="Times New Roman"/>
          <w:i/>
          <w:iCs/>
          <w:kern w:val="0"/>
          <w:lang w:val="es-ES_tradnl"/>
          <w14:ligatures w14:val="none"/>
        </w:rPr>
        <w:t>Memorial Explicativo sobre el Proyecto del Senado 253</w:t>
      </w:r>
      <w:r w:rsidRPr="00A9007D">
        <w:rPr>
          <w:rFonts w:ascii="Book Antiqua" w:eastAsia="Times New Roman" w:hAnsi="Book Antiqua" w:cs="Times New Roman"/>
          <w:kern w:val="0"/>
          <w:lang w:val="es-ES_tradnl"/>
          <w14:ligatures w14:val="none"/>
        </w:rPr>
        <w:t xml:space="preserve">. </w:t>
      </w:r>
      <w:r w:rsidR="008D638B" w:rsidRPr="00A9007D">
        <w:rPr>
          <w:rFonts w:ascii="Book Antiqua" w:eastAsia="Times New Roman" w:hAnsi="Book Antiqua" w:cs="Times New Roman"/>
          <w:kern w:val="0"/>
          <w:lang w:val="es-ES_tradnl"/>
          <w14:ligatures w14:val="none"/>
        </w:rPr>
        <w:t xml:space="preserve">En términos generales, AASMCA entendió que la medida “atiende deficiencias normativas, fortalece la regulación de sustancias controladas y facilita el acceso a tratamientos </w:t>
      </w:r>
      <w:r w:rsidR="008D638B" w:rsidRPr="00A9007D">
        <w:rPr>
          <w:rFonts w:ascii="Book Antiqua" w:eastAsia="Times New Roman" w:hAnsi="Book Antiqua" w:cs="Times New Roman"/>
          <w:kern w:val="0"/>
          <w:lang w:val="es-ES_tradnl"/>
          <w14:ligatures w14:val="none"/>
        </w:rPr>
        <w:lastRenderedPageBreak/>
        <w:t>esenciales s</w:t>
      </w:r>
      <w:r w:rsidR="009E7AE0" w:rsidRPr="00A9007D">
        <w:rPr>
          <w:rFonts w:ascii="Book Antiqua" w:eastAsia="Times New Roman" w:hAnsi="Book Antiqua" w:cs="Times New Roman"/>
          <w:kern w:val="0"/>
          <w:lang w:val="es-ES_tradnl"/>
          <w14:ligatures w14:val="none"/>
        </w:rPr>
        <w:t>i</w:t>
      </w:r>
      <w:r w:rsidR="008D638B" w:rsidRPr="00A9007D">
        <w:rPr>
          <w:rFonts w:ascii="Book Antiqua" w:eastAsia="Times New Roman" w:hAnsi="Book Antiqua" w:cs="Times New Roman"/>
          <w:kern w:val="0"/>
          <w:lang w:val="es-ES_tradnl"/>
          <w14:ligatures w14:val="none"/>
        </w:rPr>
        <w:t>n menoscabar la fiscalización de estos productos.”</w:t>
      </w:r>
      <w:r w:rsidR="008D638B" w:rsidRPr="00A9007D">
        <w:rPr>
          <w:rStyle w:val="FootnoteReference"/>
          <w:rFonts w:ascii="Book Antiqua" w:eastAsia="Times New Roman" w:hAnsi="Book Antiqua"/>
          <w:kern w:val="0"/>
          <w:lang w:val="es-ES_tradnl"/>
          <w14:ligatures w14:val="none"/>
        </w:rPr>
        <w:footnoteReference w:id="11"/>
      </w:r>
      <w:r w:rsidR="008D638B" w:rsidRPr="00A9007D">
        <w:rPr>
          <w:rFonts w:ascii="Book Antiqua" w:eastAsia="Times New Roman" w:hAnsi="Book Antiqua" w:cs="Times New Roman"/>
          <w:kern w:val="0"/>
          <w:lang w:val="es-ES_tradnl"/>
          <w14:ligatures w14:val="none"/>
        </w:rPr>
        <w:t xml:space="preserve"> De igual manera, fundamentó su apoyo en que el Proyecto de Ley satisfacía la necesidad de una legislación moderna y eficiente que facilita el acceso a tratamientos, actualiza el marco legal y promueve una atención a la salud más humana, eliminando barreras innecesarias.</w:t>
      </w:r>
      <w:r w:rsidR="008D638B" w:rsidRPr="00A9007D">
        <w:rPr>
          <w:rStyle w:val="FootnoteReference"/>
          <w:rFonts w:ascii="Book Antiqua" w:eastAsia="Times New Roman" w:hAnsi="Book Antiqua"/>
          <w:kern w:val="0"/>
          <w:lang w:val="es-ES_tradnl"/>
          <w14:ligatures w14:val="none"/>
        </w:rPr>
        <w:footnoteReference w:id="12"/>
      </w:r>
      <w:r w:rsidR="008D638B" w:rsidRPr="00A9007D">
        <w:rPr>
          <w:rFonts w:ascii="Book Antiqua" w:eastAsia="Times New Roman" w:hAnsi="Book Antiqua" w:cs="Times New Roman"/>
          <w:kern w:val="0"/>
          <w:lang w:val="es-ES_tradnl"/>
          <w14:ligatures w14:val="none"/>
        </w:rPr>
        <w:t xml:space="preserve"> Entendió que ello iba en armonía con el avance de las tecnologías de monitoreo y validación de recetas, la implementación de las recetas electrónicas y la transmisión dir</w:t>
      </w:r>
      <w:r w:rsidR="002F0DAB" w:rsidRPr="00A9007D">
        <w:rPr>
          <w:rFonts w:ascii="Book Antiqua" w:eastAsia="Times New Roman" w:hAnsi="Book Antiqua" w:cs="Times New Roman"/>
          <w:kern w:val="0"/>
          <w:lang w:val="es-ES_tradnl"/>
          <w14:ligatures w14:val="none"/>
        </w:rPr>
        <w:t>ecta</w:t>
      </w:r>
      <w:r w:rsidR="008D638B" w:rsidRPr="00A9007D">
        <w:rPr>
          <w:rFonts w:ascii="Book Antiqua" w:eastAsia="Times New Roman" w:hAnsi="Book Antiqua" w:cs="Times New Roman"/>
          <w:kern w:val="0"/>
          <w:lang w:val="es-ES_tradnl"/>
          <w14:ligatures w14:val="none"/>
        </w:rPr>
        <w:t xml:space="preserve"> del prescribiente a la farmacia.</w:t>
      </w:r>
      <w:r w:rsidR="008D638B" w:rsidRPr="00A9007D">
        <w:rPr>
          <w:rStyle w:val="FootnoteReference"/>
          <w:rFonts w:ascii="Book Antiqua" w:eastAsia="Times New Roman" w:hAnsi="Book Antiqua"/>
          <w:kern w:val="0"/>
          <w:lang w:val="es-ES_tradnl"/>
          <w14:ligatures w14:val="none"/>
        </w:rPr>
        <w:footnoteReference w:id="13"/>
      </w:r>
    </w:p>
    <w:p w14:paraId="184DA25F" w14:textId="08B7282F" w:rsidR="008D638B" w:rsidRPr="00A9007D" w:rsidRDefault="008D638B" w:rsidP="00A9689A">
      <w:pPr>
        <w:spacing w:line="360" w:lineRule="auto"/>
        <w:ind w:firstLine="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En términos específicos, </w:t>
      </w:r>
      <w:r w:rsidR="002F0DAB" w:rsidRPr="00A9007D">
        <w:rPr>
          <w:rFonts w:ascii="Book Antiqua" w:eastAsia="Times New Roman" w:hAnsi="Book Antiqua" w:cs="Times New Roman"/>
          <w:kern w:val="0"/>
          <w:lang w:val="es-ES_tradnl"/>
          <w14:ligatures w14:val="none"/>
        </w:rPr>
        <w:t xml:space="preserve">coincidió con la enmienda propuesta al Art. 308 de la Ley Núm. 4, supra, donde se establece el término de siete </w:t>
      </w:r>
      <w:r w:rsidR="00A9007D" w:rsidRPr="00A9007D">
        <w:rPr>
          <w:rFonts w:ascii="Book Antiqua" w:eastAsia="Times New Roman" w:hAnsi="Book Antiqua" w:cs="Times New Roman"/>
          <w:kern w:val="0"/>
          <w:lang w:val="es-ES_tradnl"/>
          <w14:ligatures w14:val="none"/>
        </w:rPr>
        <w:t>(</w:t>
      </w:r>
      <w:r w:rsidR="002F0DAB" w:rsidRPr="00A9007D">
        <w:rPr>
          <w:rFonts w:ascii="Book Antiqua" w:eastAsia="Times New Roman" w:hAnsi="Book Antiqua" w:cs="Times New Roman"/>
          <w:kern w:val="0"/>
          <w:lang w:val="es-ES_tradnl"/>
          <w14:ligatures w14:val="none"/>
        </w:rPr>
        <w:t xml:space="preserve">7) días para que el profesional emita una receta original de manera escrita o electrónica tras efectuar una prescripción oral, mas recomendó lo siguiente: </w:t>
      </w:r>
    </w:p>
    <w:p w14:paraId="0EA3FB6E" w14:textId="15661C71" w:rsidR="008B6B9B" w:rsidRPr="00A9007D" w:rsidRDefault="002F0DAB" w:rsidP="002F0DAB">
      <w:pPr>
        <w:pStyle w:val="ListParagraph"/>
        <w:numPr>
          <w:ilvl w:val="0"/>
          <w:numId w:val="6"/>
        </w:numPr>
        <w:spacing w:after="0" w:line="240" w:lineRule="auto"/>
        <w:ind w:right="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La comunicación de la receta debe realizarse directamente entre el profesional que prescribe y el farmacéutico, sin intervención de un representante autorizado, incluso en situaciones de emergencia. </w:t>
      </w:r>
    </w:p>
    <w:p w14:paraId="3C61F368" w14:textId="77777777" w:rsidR="002F0DAB" w:rsidRPr="00A9007D" w:rsidRDefault="002F0DAB" w:rsidP="002F0DAB">
      <w:pPr>
        <w:pStyle w:val="ListParagraph"/>
        <w:spacing w:after="0" w:line="240" w:lineRule="auto"/>
        <w:ind w:left="1080" w:right="720"/>
        <w:jc w:val="both"/>
        <w:rPr>
          <w:rFonts w:ascii="Book Antiqua" w:eastAsia="Times New Roman" w:hAnsi="Book Antiqua" w:cs="Times New Roman"/>
          <w:kern w:val="0"/>
          <w:lang w:val="es-ES_tradnl"/>
          <w14:ligatures w14:val="none"/>
        </w:rPr>
      </w:pPr>
    </w:p>
    <w:p w14:paraId="6E7B4634" w14:textId="3F24B4FA" w:rsidR="002F0DAB" w:rsidRPr="00A9007D" w:rsidRDefault="002F0DAB" w:rsidP="002F0DAB">
      <w:pPr>
        <w:pStyle w:val="ListParagraph"/>
        <w:numPr>
          <w:ilvl w:val="0"/>
          <w:numId w:val="6"/>
        </w:numPr>
        <w:spacing w:after="0" w:line="240" w:lineRule="auto"/>
        <w:ind w:right="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Esta disposición debe estar en consonancia con la</w:t>
      </w:r>
      <w:r w:rsidR="00A9689A" w:rsidRPr="00A9007D">
        <w:rPr>
          <w:rFonts w:ascii="Book Antiqua" w:eastAsia="Times New Roman" w:hAnsi="Book Antiqua" w:cs="Times New Roman"/>
          <w:kern w:val="0"/>
          <w:lang w:val="es-ES_tradnl"/>
          <w14:ligatures w14:val="none"/>
        </w:rPr>
        <w:t>s</w:t>
      </w:r>
      <w:r w:rsidRPr="00A9007D">
        <w:rPr>
          <w:rFonts w:ascii="Book Antiqua" w:eastAsia="Times New Roman" w:hAnsi="Book Antiqua" w:cs="Times New Roman"/>
          <w:kern w:val="0"/>
          <w:lang w:val="es-ES_tradnl"/>
          <w14:ligatures w14:val="none"/>
        </w:rPr>
        <w:t xml:space="preserve"> regulaciones de la Drug Enforcement Administration (DEA), que establecen protocolos claros sobre la validación de recetas verbales.</w:t>
      </w:r>
      <w:r w:rsidRPr="00A9007D">
        <w:rPr>
          <w:rStyle w:val="FootnoteReference"/>
          <w:rFonts w:ascii="Book Antiqua" w:eastAsia="Times New Roman" w:hAnsi="Book Antiqua"/>
          <w:kern w:val="0"/>
          <w:lang w:val="es-ES_tradnl"/>
          <w14:ligatures w14:val="none"/>
        </w:rPr>
        <w:footnoteReference w:id="14"/>
      </w:r>
      <w:r w:rsidRPr="00A9007D">
        <w:rPr>
          <w:rFonts w:ascii="Book Antiqua" w:eastAsia="Times New Roman" w:hAnsi="Book Antiqua" w:cs="Times New Roman"/>
          <w:kern w:val="0"/>
          <w:lang w:val="es-ES_tradnl"/>
          <w14:ligatures w14:val="none"/>
        </w:rPr>
        <w:t xml:space="preserve"> </w:t>
      </w:r>
    </w:p>
    <w:p w14:paraId="7A656D3E" w14:textId="77777777" w:rsidR="00136DE6" w:rsidRPr="00A9007D" w:rsidRDefault="00136DE6" w:rsidP="00136DE6">
      <w:pPr>
        <w:pStyle w:val="ListParagraph"/>
        <w:rPr>
          <w:rFonts w:ascii="Book Antiqua" w:eastAsia="Times New Roman" w:hAnsi="Book Antiqua" w:cs="Times New Roman"/>
          <w:kern w:val="0"/>
          <w:lang w:val="es-ES_tradnl"/>
          <w14:ligatures w14:val="none"/>
        </w:rPr>
      </w:pPr>
    </w:p>
    <w:p w14:paraId="237C80C9" w14:textId="7E3FA2AC" w:rsidR="00136DE6" w:rsidRPr="00A9007D" w:rsidRDefault="00136DE6" w:rsidP="00A9689A">
      <w:pPr>
        <w:spacing w:after="0" w:line="360" w:lineRule="auto"/>
        <w:ind w:firstLine="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De igual manera, se mostraron de acuerdo con la propuesta de permitir la dispensación parcial de las sustancias controladas de Clasificación II, recomendaron aclarar lo siguiente: </w:t>
      </w:r>
    </w:p>
    <w:p w14:paraId="0D6837EB" w14:textId="77777777" w:rsidR="00136DE6" w:rsidRPr="00A9007D" w:rsidRDefault="00136DE6" w:rsidP="00136DE6">
      <w:pPr>
        <w:spacing w:after="0" w:line="240" w:lineRule="auto"/>
        <w:ind w:right="720"/>
        <w:jc w:val="both"/>
        <w:rPr>
          <w:rFonts w:ascii="Book Antiqua" w:eastAsia="Times New Roman" w:hAnsi="Book Antiqua" w:cs="Times New Roman"/>
          <w:kern w:val="0"/>
          <w:lang w:val="es-ES_tradnl"/>
          <w14:ligatures w14:val="none"/>
        </w:rPr>
      </w:pPr>
    </w:p>
    <w:p w14:paraId="1BB9453C" w14:textId="43085DE3" w:rsidR="00136DE6" w:rsidRPr="00A9007D" w:rsidRDefault="00A9689A" w:rsidP="00136DE6">
      <w:pPr>
        <w:pStyle w:val="ListParagraph"/>
        <w:numPr>
          <w:ilvl w:val="0"/>
          <w:numId w:val="7"/>
        </w:numPr>
        <w:spacing w:after="0" w:line="240" w:lineRule="auto"/>
        <w:ind w:right="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Si, transcurrido el periodo de setenta y dos (72) horas, no se ha completado el suplido del medicamento, este no podrá dispensarse a menos que se reciba una receta nueva. </w:t>
      </w:r>
    </w:p>
    <w:p w14:paraId="631626E5" w14:textId="77777777" w:rsidR="00A9689A" w:rsidRPr="00A9007D" w:rsidRDefault="00A9689A" w:rsidP="00A9689A">
      <w:pPr>
        <w:pStyle w:val="ListParagraph"/>
        <w:spacing w:after="0" w:line="240" w:lineRule="auto"/>
        <w:ind w:right="720"/>
        <w:jc w:val="both"/>
        <w:rPr>
          <w:rFonts w:ascii="Book Antiqua" w:eastAsia="Times New Roman" w:hAnsi="Book Antiqua" w:cs="Times New Roman"/>
          <w:kern w:val="0"/>
          <w:lang w:val="es-ES_tradnl"/>
          <w14:ligatures w14:val="none"/>
        </w:rPr>
      </w:pPr>
    </w:p>
    <w:p w14:paraId="71BB8C75" w14:textId="10DF2D9A" w:rsidR="00A9689A" w:rsidRDefault="00A9689A" w:rsidP="00136DE6">
      <w:pPr>
        <w:pStyle w:val="ListParagraph"/>
        <w:numPr>
          <w:ilvl w:val="0"/>
          <w:numId w:val="7"/>
        </w:numPr>
        <w:spacing w:after="0" w:line="240" w:lineRule="auto"/>
        <w:ind w:right="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En alineación con la DEA, debe aclararse que la farmacia tiene un plazo máximo de setenta y dos </w:t>
      </w:r>
      <w:r w:rsidR="001E04C3" w:rsidRPr="00A9007D">
        <w:rPr>
          <w:rFonts w:ascii="Book Antiqua" w:eastAsia="Times New Roman" w:hAnsi="Book Antiqua" w:cs="Times New Roman"/>
          <w:kern w:val="0"/>
          <w:lang w:val="es-ES_tradnl"/>
          <w14:ligatures w14:val="none"/>
        </w:rPr>
        <w:t>(</w:t>
      </w:r>
      <w:r w:rsidRPr="00A9007D">
        <w:rPr>
          <w:rFonts w:ascii="Book Antiqua" w:eastAsia="Times New Roman" w:hAnsi="Book Antiqua" w:cs="Times New Roman"/>
          <w:kern w:val="0"/>
          <w:lang w:val="es-ES_tradnl"/>
          <w14:ligatures w14:val="none"/>
        </w:rPr>
        <w:t xml:space="preserve">72) horas para tener disponible el suplido, pero </w:t>
      </w:r>
      <w:r w:rsidRPr="00A9007D">
        <w:rPr>
          <w:rFonts w:ascii="Book Antiqua" w:eastAsia="Times New Roman" w:hAnsi="Book Antiqua" w:cs="Times New Roman"/>
          <w:kern w:val="0"/>
          <w:lang w:val="es-ES_tradnl"/>
          <w14:ligatures w14:val="none"/>
        </w:rPr>
        <w:lastRenderedPageBreak/>
        <w:t>no es obligatorio que el paciente recoja la cantidad pendiente dentro de ese periodo.</w:t>
      </w:r>
      <w:r w:rsidRPr="00A9007D">
        <w:rPr>
          <w:rStyle w:val="FootnoteReference"/>
          <w:rFonts w:ascii="Book Antiqua" w:eastAsia="Times New Roman" w:hAnsi="Book Antiqua"/>
          <w:kern w:val="0"/>
          <w:lang w:val="es-ES_tradnl"/>
          <w14:ligatures w14:val="none"/>
        </w:rPr>
        <w:footnoteReference w:id="15"/>
      </w:r>
      <w:r w:rsidRPr="00A9007D">
        <w:rPr>
          <w:rFonts w:ascii="Book Antiqua" w:eastAsia="Times New Roman" w:hAnsi="Book Antiqua" w:cs="Times New Roman"/>
          <w:kern w:val="0"/>
          <w:lang w:val="es-ES_tradnl"/>
          <w14:ligatures w14:val="none"/>
        </w:rPr>
        <w:t xml:space="preserve"> </w:t>
      </w:r>
    </w:p>
    <w:p w14:paraId="0889D9AA" w14:textId="77777777" w:rsidR="00A9689A" w:rsidRDefault="00A9689A" w:rsidP="008C646F">
      <w:pPr>
        <w:spacing w:after="0" w:line="240" w:lineRule="auto"/>
        <w:rPr>
          <w:rFonts w:ascii="Book Antiqua" w:eastAsia="Times New Roman" w:hAnsi="Book Antiqua" w:cs="Times New Roman"/>
          <w:kern w:val="0"/>
          <w:u w:val="single"/>
          <w:lang w:val="es-ES_tradnl"/>
          <w14:ligatures w14:val="none"/>
        </w:rPr>
      </w:pPr>
    </w:p>
    <w:p w14:paraId="111D3B7B" w14:textId="77777777" w:rsidR="008C646F" w:rsidRPr="008C646F" w:rsidRDefault="008C646F" w:rsidP="008C646F">
      <w:pPr>
        <w:spacing w:after="0" w:line="240" w:lineRule="auto"/>
        <w:rPr>
          <w:rFonts w:ascii="Book Antiqua" w:eastAsia="Times New Roman" w:hAnsi="Book Antiqua" w:cs="Times New Roman"/>
          <w:kern w:val="0"/>
          <w:u w:val="single"/>
          <w:lang w:val="es-ES_tradnl"/>
          <w14:ligatures w14:val="none"/>
        </w:rPr>
      </w:pPr>
    </w:p>
    <w:p w14:paraId="5E7AFED3" w14:textId="7AFD6BCB" w:rsidR="005A4A92" w:rsidRPr="00A9007D" w:rsidRDefault="00CA3D5D" w:rsidP="002E53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r w:rsidRPr="00A9007D">
        <w:rPr>
          <w:rFonts w:ascii="Book Antiqua" w:eastAsia="Times New Roman" w:hAnsi="Book Antiqua" w:cs="Times New Roman"/>
          <w:kern w:val="0"/>
          <w:u w:val="single"/>
          <w:lang w:val="es-ES_tradnl"/>
          <w14:ligatures w14:val="none"/>
        </w:rPr>
        <w:t>Colegio de Farmacéuticos</w:t>
      </w:r>
      <w:r w:rsidR="0025279F" w:rsidRPr="00A9007D">
        <w:rPr>
          <w:rFonts w:ascii="Book Antiqua" w:eastAsia="Times New Roman" w:hAnsi="Book Antiqua" w:cs="Times New Roman"/>
          <w:kern w:val="0"/>
          <w:u w:val="single"/>
          <w:lang w:val="es-ES_tradnl"/>
          <w14:ligatures w14:val="none"/>
        </w:rPr>
        <w:t xml:space="preserve"> de Puerto Rico (CFPR)</w:t>
      </w:r>
    </w:p>
    <w:p w14:paraId="660F0F3A" w14:textId="77777777" w:rsidR="008B6B9B" w:rsidRPr="00A9007D" w:rsidRDefault="008B6B9B" w:rsidP="008B6B9B">
      <w:pPr>
        <w:pStyle w:val="ListParagraph"/>
        <w:spacing w:after="0" w:line="240" w:lineRule="auto"/>
        <w:ind w:left="360"/>
        <w:rPr>
          <w:rFonts w:ascii="Book Antiqua" w:eastAsia="Times New Roman" w:hAnsi="Book Antiqua" w:cs="Times New Roman"/>
          <w:kern w:val="0"/>
          <w:u w:val="single"/>
          <w:lang w:val="es-ES_tradnl"/>
          <w14:ligatures w14:val="none"/>
        </w:rPr>
      </w:pPr>
    </w:p>
    <w:p w14:paraId="0101A145" w14:textId="3B69B6E5" w:rsidR="00A9689A" w:rsidRPr="00A9007D" w:rsidRDefault="0025279F" w:rsidP="0025279F">
      <w:pPr>
        <w:pStyle w:val="ListParagraph"/>
        <w:spacing w:after="0" w:line="360" w:lineRule="auto"/>
        <w:ind w:left="0" w:firstLine="720"/>
        <w:jc w:val="both"/>
        <w:rPr>
          <w:rFonts w:ascii="Book Antiqua" w:eastAsia="Times New Roman" w:hAnsi="Book Antiqua" w:cs="Times New Roman"/>
          <w:kern w:val="0"/>
          <w:lang w:val="es-ES_tradnl"/>
          <w14:ligatures w14:val="none"/>
        </w:rPr>
      </w:pPr>
      <w:r w:rsidRPr="00A9007D">
        <w:rPr>
          <w:rFonts w:ascii="Book Antiqua" w:eastAsia="Times New Roman" w:hAnsi="Book Antiqua" w:cs="Times New Roman"/>
          <w:kern w:val="0"/>
          <w:lang w:val="es-ES_tradnl"/>
          <w14:ligatures w14:val="none"/>
        </w:rPr>
        <w:t xml:space="preserve">En febrero de 2025 el Colegio de Farmacéuticos de Puerto Rico (CFPR) presentó su Memorial Explicativo titulado </w:t>
      </w:r>
      <w:r w:rsidRPr="00A9007D">
        <w:rPr>
          <w:rFonts w:ascii="Book Antiqua" w:eastAsia="Times New Roman" w:hAnsi="Book Antiqua" w:cs="Times New Roman"/>
          <w:i/>
          <w:iCs/>
          <w:kern w:val="0"/>
          <w:lang w:val="es-ES_tradnl"/>
          <w14:ligatures w14:val="none"/>
        </w:rPr>
        <w:t>Re: P de S 253 – Para derogar la Ley Núm. 48 de 18 de junio de 1959, según enmendada, conocida como “Ley de Narcóticos”; derogar la Ley Núm. 126 de 13 de julio de 1960, según enmendada, conocida como “Ley de Barbitúricos y Otras Drogas Peligrosas”</w:t>
      </w:r>
      <w:r w:rsidRPr="00A9007D">
        <w:rPr>
          <w:rStyle w:val="FootnoteReference"/>
          <w:rFonts w:ascii="Book Antiqua" w:eastAsia="Times New Roman" w:hAnsi="Book Antiqua"/>
          <w:i/>
          <w:iCs/>
          <w:kern w:val="0"/>
          <w:lang w:val="es-ES_tradnl"/>
          <w14:ligatures w14:val="none"/>
        </w:rPr>
        <w:footnoteReference w:id="16"/>
      </w:r>
      <w:r w:rsidRPr="00A9007D">
        <w:rPr>
          <w:rFonts w:ascii="Book Antiqua" w:eastAsia="Times New Roman" w:hAnsi="Book Antiqua" w:cs="Times New Roman"/>
          <w:kern w:val="0"/>
          <w:lang w:val="es-ES_tradnl"/>
          <w14:ligatures w14:val="none"/>
        </w:rPr>
        <w:t xml:space="preserve">. Como primer acercamiento, </w:t>
      </w:r>
      <w:r w:rsidR="00AF6D03" w:rsidRPr="00A9007D">
        <w:rPr>
          <w:rFonts w:ascii="Book Antiqua" w:eastAsia="Times New Roman" w:hAnsi="Book Antiqua" w:cs="Times New Roman"/>
          <w:kern w:val="0"/>
          <w:lang w:val="es-ES_tradnl"/>
          <w14:ligatures w14:val="none"/>
        </w:rPr>
        <w:t>se expresó a favor de derogar aquellas leyes que resultaren obsoletas e incongruentes con el ordenamiento vigente</w:t>
      </w:r>
      <w:r w:rsidR="009E7AE0" w:rsidRPr="00A9007D">
        <w:rPr>
          <w:rFonts w:ascii="Book Antiqua" w:eastAsia="Times New Roman" w:hAnsi="Book Antiqua" w:cs="Times New Roman"/>
          <w:kern w:val="0"/>
          <w:lang w:val="es-ES_tradnl"/>
          <w14:ligatures w14:val="none"/>
        </w:rPr>
        <w:t>,</w:t>
      </w:r>
      <w:r w:rsidR="00AF6D03" w:rsidRPr="00A9007D">
        <w:rPr>
          <w:rFonts w:ascii="Book Antiqua" w:eastAsia="Times New Roman" w:hAnsi="Book Antiqua" w:cs="Times New Roman"/>
          <w:kern w:val="0"/>
          <w:lang w:val="es-ES_tradnl"/>
          <w14:ligatures w14:val="none"/>
        </w:rPr>
        <w:t xml:space="preserve"> creado Ley Núm. 4, </w:t>
      </w:r>
      <w:r w:rsidR="00AF6D03" w:rsidRPr="00A9007D">
        <w:rPr>
          <w:rFonts w:ascii="Book Antiqua" w:eastAsia="Times New Roman" w:hAnsi="Book Antiqua" w:cs="Times New Roman"/>
          <w:i/>
          <w:iCs/>
          <w:kern w:val="0"/>
          <w:lang w:val="es-ES_tradnl"/>
          <w14:ligatures w14:val="none"/>
        </w:rPr>
        <w:t>supra,</w:t>
      </w:r>
      <w:r w:rsidR="00AF6D03" w:rsidRPr="00A9007D">
        <w:rPr>
          <w:rFonts w:ascii="Book Antiqua" w:eastAsia="Times New Roman" w:hAnsi="Book Antiqua" w:cs="Times New Roman"/>
          <w:kern w:val="0"/>
          <w:lang w:val="es-ES_tradnl"/>
          <w14:ligatures w14:val="none"/>
        </w:rPr>
        <w:t xml:space="preserve"> y la Ley Núm. 247, </w:t>
      </w:r>
      <w:r w:rsidR="00AF6D03" w:rsidRPr="00A9007D">
        <w:rPr>
          <w:rFonts w:ascii="Book Antiqua" w:eastAsia="Times New Roman" w:hAnsi="Book Antiqua" w:cs="Times New Roman"/>
          <w:i/>
          <w:iCs/>
          <w:kern w:val="0"/>
          <w:lang w:val="es-ES_tradnl"/>
          <w14:ligatures w14:val="none"/>
        </w:rPr>
        <w:t>supra</w:t>
      </w:r>
      <w:r w:rsidR="00AF6D03" w:rsidRPr="00A9007D">
        <w:rPr>
          <w:rFonts w:ascii="Book Antiqua" w:eastAsia="Times New Roman" w:hAnsi="Book Antiqua" w:cs="Times New Roman"/>
          <w:kern w:val="0"/>
          <w:lang w:val="es-ES_tradnl"/>
          <w14:ligatures w14:val="none"/>
        </w:rPr>
        <w:t>.</w:t>
      </w:r>
      <w:r w:rsidR="00AF6D03" w:rsidRPr="00A9007D">
        <w:rPr>
          <w:rStyle w:val="FootnoteReference"/>
          <w:rFonts w:ascii="Book Antiqua" w:eastAsia="Times New Roman" w:hAnsi="Book Antiqua"/>
          <w:kern w:val="0"/>
          <w:lang w:val="es-ES_tradnl"/>
          <w14:ligatures w14:val="none"/>
        </w:rPr>
        <w:t xml:space="preserve"> </w:t>
      </w:r>
      <w:r w:rsidR="00AF6D03" w:rsidRPr="00A9007D">
        <w:rPr>
          <w:rStyle w:val="FootnoteReference"/>
          <w:rFonts w:ascii="Book Antiqua" w:eastAsia="Times New Roman" w:hAnsi="Book Antiqua"/>
          <w:kern w:val="0"/>
          <w:lang w:val="es-ES_tradnl"/>
          <w14:ligatures w14:val="none"/>
        </w:rPr>
        <w:footnoteReference w:id="17"/>
      </w:r>
      <w:r w:rsidR="00AF6D03" w:rsidRPr="00A9007D">
        <w:rPr>
          <w:rFonts w:ascii="Book Antiqua" w:eastAsia="Times New Roman" w:hAnsi="Book Antiqua"/>
          <w:kern w:val="0"/>
          <w:lang w:val="es-ES_tradnl"/>
          <w14:ligatures w14:val="none"/>
        </w:rPr>
        <w:t xml:space="preserve"> De igual manera, expresó que no resultaba claro como la limitación temporal de dos (2) días a partir de la expedición para despachar la receta de narcóticos establecida en el Artículo 21 de la Ley Núm. 48, </w:t>
      </w:r>
      <w:r w:rsidR="00AF6D03" w:rsidRPr="00A9007D">
        <w:rPr>
          <w:rFonts w:ascii="Book Antiqua" w:eastAsia="Times New Roman" w:hAnsi="Book Antiqua"/>
          <w:i/>
          <w:iCs/>
          <w:kern w:val="0"/>
          <w:lang w:val="es-ES_tradnl"/>
          <w14:ligatures w14:val="none"/>
        </w:rPr>
        <w:t>supra</w:t>
      </w:r>
      <w:r w:rsidR="00AF6D03" w:rsidRPr="00A9007D">
        <w:rPr>
          <w:rFonts w:ascii="Book Antiqua" w:eastAsia="Times New Roman" w:hAnsi="Book Antiqua"/>
          <w:kern w:val="0"/>
          <w:lang w:val="es-ES_tradnl"/>
          <w14:ligatures w14:val="none"/>
        </w:rPr>
        <w:t>, propicia el adecuado uso de los fármacos.</w:t>
      </w:r>
      <w:r w:rsidR="00563ACD" w:rsidRPr="00A9007D">
        <w:rPr>
          <w:rFonts w:ascii="Book Antiqua" w:eastAsia="Times New Roman" w:hAnsi="Book Antiqua"/>
          <w:kern w:val="0"/>
          <w:lang w:val="es-ES_tradnl"/>
          <w14:ligatures w14:val="none"/>
        </w:rPr>
        <w:t xml:space="preserve"> También, enumeró varias disposiciones legales que resultaban contradictorias con el mencionado Artículo 21, supra. Por tanto, la CFPR avaló la aprobación del P. del S. 253 toda vez que “elimina barreras al acceso de pacientes a medicamentos que </w:t>
      </w:r>
      <w:r w:rsidR="009E7AE0" w:rsidRPr="00A9007D">
        <w:rPr>
          <w:rFonts w:ascii="Book Antiqua" w:eastAsia="Times New Roman" w:hAnsi="Book Antiqua"/>
          <w:kern w:val="0"/>
          <w:lang w:val="es-ES_tradnl"/>
          <w14:ligatures w14:val="none"/>
        </w:rPr>
        <w:t xml:space="preserve">se </w:t>
      </w:r>
      <w:r w:rsidR="00563ACD" w:rsidRPr="00A9007D">
        <w:rPr>
          <w:rFonts w:ascii="Book Antiqua" w:eastAsia="Times New Roman" w:hAnsi="Book Antiqua"/>
          <w:kern w:val="0"/>
          <w:lang w:val="es-ES_tradnl"/>
          <w14:ligatures w14:val="none"/>
        </w:rPr>
        <w:t>recetan debido a situaciones por disposiciones de leyes promulgadas hace casi seis 96) décadas, y que resultan completamente obsoletas.”</w:t>
      </w:r>
      <w:r w:rsidR="00563ACD" w:rsidRPr="00A9007D">
        <w:rPr>
          <w:rStyle w:val="FootnoteReference"/>
          <w:rFonts w:ascii="Book Antiqua" w:eastAsia="Times New Roman" w:hAnsi="Book Antiqua"/>
          <w:kern w:val="0"/>
          <w:lang w:val="es-ES_tradnl"/>
          <w14:ligatures w14:val="none"/>
        </w:rPr>
        <w:footnoteReference w:id="18"/>
      </w:r>
    </w:p>
    <w:p w14:paraId="730A24F9" w14:textId="77777777" w:rsidR="00CA3D5D" w:rsidRPr="00A9007D" w:rsidRDefault="00CA3D5D" w:rsidP="00CA3D5D">
      <w:pPr>
        <w:pStyle w:val="ListParagraph"/>
        <w:spacing w:after="0" w:line="240" w:lineRule="auto"/>
        <w:ind w:left="360"/>
        <w:rPr>
          <w:rFonts w:ascii="Book Antiqua" w:eastAsia="Times New Roman" w:hAnsi="Book Antiqua" w:cs="Times New Roman"/>
          <w:kern w:val="0"/>
          <w:u w:val="single"/>
          <w:lang w:val="es-ES_tradnl"/>
          <w14:ligatures w14:val="none"/>
        </w:rPr>
      </w:pPr>
    </w:p>
    <w:bookmarkEnd w:id="0"/>
    <w:p w14:paraId="1FB3A56A" w14:textId="068DD491" w:rsidR="00A54AF0" w:rsidRPr="00A9007D" w:rsidRDefault="00A54AF0" w:rsidP="00A54AF0">
      <w:pPr>
        <w:spacing w:after="0" w:line="240" w:lineRule="auto"/>
        <w:jc w:val="center"/>
        <w:rPr>
          <w:rFonts w:ascii="Book Antiqua" w:eastAsia="Times New Roman" w:hAnsi="Book Antiqua" w:cs="Times New Roman"/>
          <w:b/>
          <w:kern w:val="0"/>
          <w14:ligatures w14:val="none"/>
        </w:rPr>
      </w:pPr>
      <w:r w:rsidRPr="00A9007D">
        <w:rPr>
          <w:rFonts w:ascii="Book Antiqua" w:eastAsia="Times New Roman" w:hAnsi="Book Antiqua" w:cs="Times New Roman"/>
          <w:b/>
          <w:kern w:val="0"/>
          <w14:ligatures w14:val="none"/>
        </w:rPr>
        <w:t>VISTA PÚBLICA</w:t>
      </w:r>
    </w:p>
    <w:p w14:paraId="523D9D94" w14:textId="77777777" w:rsidR="00A54AF0" w:rsidRPr="00A9007D" w:rsidRDefault="00A54AF0" w:rsidP="00A54AF0">
      <w:pPr>
        <w:spacing w:after="0" w:line="240" w:lineRule="auto"/>
        <w:jc w:val="center"/>
        <w:rPr>
          <w:rFonts w:ascii="Book Antiqua" w:eastAsia="Times New Roman" w:hAnsi="Book Antiqua" w:cs="Times New Roman"/>
          <w:b/>
          <w:kern w:val="0"/>
          <w14:ligatures w14:val="none"/>
        </w:rPr>
      </w:pPr>
    </w:p>
    <w:p w14:paraId="62FE05C8" w14:textId="09C03369" w:rsidR="00E80B50" w:rsidRPr="00A9007D" w:rsidRDefault="00A54AF0" w:rsidP="008C646F">
      <w:pPr>
        <w:spacing w:after="0" w:line="360" w:lineRule="auto"/>
        <w:ind w:firstLine="360"/>
        <w:jc w:val="both"/>
        <w:rPr>
          <w:rFonts w:ascii="Book Antiqua" w:eastAsia="Times New Roman" w:hAnsi="Book Antiqua" w:cs="Times New Roman"/>
          <w:kern w:val="0"/>
          <w14:ligatures w14:val="none"/>
        </w:rPr>
      </w:pPr>
      <w:r w:rsidRPr="00A9007D">
        <w:rPr>
          <w:rFonts w:ascii="Book Antiqua" w:eastAsia="Times New Roman" w:hAnsi="Book Antiqua" w:cs="Times New Roman"/>
          <w:kern w:val="0"/>
          <w14:ligatures w14:val="none"/>
        </w:rPr>
        <w:t xml:space="preserve">Esta Comisión </w:t>
      </w:r>
      <w:r w:rsidR="002C0EE5" w:rsidRPr="00A9007D">
        <w:rPr>
          <w:rFonts w:ascii="Book Antiqua" w:eastAsia="Times New Roman" w:hAnsi="Book Antiqua" w:cs="Times New Roman"/>
          <w:kern w:val="0"/>
          <w14:ligatures w14:val="none"/>
        </w:rPr>
        <w:t>determinó</w:t>
      </w:r>
      <w:r w:rsidRPr="00A9007D">
        <w:rPr>
          <w:rFonts w:ascii="Book Antiqua" w:eastAsia="Times New Roman" w:hAnsi="Book Antiqua" w:cs="Times New Roman"/>
          <w:kern w:val="0"/>
          <w14:ligatures w14:val="none"/>
        </w:rPr>
        <w:t xml:space="preserve"> no realizar Vistas Públicas, toda vez que la información proporcionada por las entidades antes mencionadas resultó suficiente para ponderar el alcance del proyecto de ley, aprovechando y utilizando así los recursos del Gobierno de </w:t>
      </w:r>
      <w:r w:rsidRPr="00A9007D">
        <w:rPr>
          <w:rFonts w:ascii="Book Antiqua" w:eastAsia="Times New Roman" w:hAnsi="Book Antiqua" w:cs="Times New Roman"/>
          <w:kern w:val="0"/>
          <w14:ligatures w14:val="none"/>
        </w:rPr>
        <w:lastRenderedPageBreak/>
        <w:t xml:space="preserve">Puerto Rico, y en particular la Asamblea Legislativa, de la manera más eficiente y costo-efectiva posible. </w:t>
      </w:r>
    </w:p>
    <w:p w14:paraId="115914DA" w14:textId="78C55A22" w:rsidR="006736F9" w:rsidRPr="00A9007D" w:rsidRDefault="00A54AF0" w:rsidP="006823BA">
      <w:pPr>
        <w:spacing w:line="240" w:lineRule="auto"/>
        <w:jc w:val="center"/>
        <w:rPr>
          <w:rFonts w:ascii="Book Antiqua" w:eastAsia="Times New Roman" w:hAnsi="Book Antiqua" w:cs="Times New Roman"/>
          <w:b/>
          <w:kern w:val="0"/>
          <w14:ligatures w14:val="none"/>
        </w:rPr>
      </w:pPr>
      <w:r w:rsidRPr="00A9007D">
        <w:rPr>
          <w:rFonts w:ascii="Book Antiqua" w:eastAsia="Times New Roman" w:hAnsi="Book Antiqua" w:cs="Times New Roman"/>
          <w:b/>
          <w:kern w:val="0"/>
          <w14:ligatures w14:val="none"/>
        </w:rPr>
        <w:t>ANÁLISIS DE LA MEDIDA</w:t>
      </w:r>
    </w:p>
    <w:p w14:paraId="7DE31334" w14:textId="795D0BB0" w:rsidR="001E04C3" w:rsidRPr="00A9007D" w:rsidRDefault="00E80B50" w:rsidP="001E04C3">
      <w:pPr>
        <w:spacing w:line="360" w:lineRule="auto"/>
        <w:ind w:firstLine="720"/>
        <w:jc w:val="both"/>
        <w:rPr>
          <w:rFonts w:ascii="Book Antiqua" w:hAnsi="Book Antiqua"/>
        </w:rPr>
      </w:pPr>
      <w:r w:rsidRPr="00A9007D">
        <w:rPr>
          <w:rFonts w:ascii="Book Antiqua" w:hAnsi="Book Antiqua"/>
          <w:lang w:val="es-ES_tradnl"/>
        </w:rPr>
        <w:t xml:space="preserve">El </w:t>
      </w:r>
      <w:r w:rsidR="00CA3D5D" w:rsidRPr="00A9007D">
        <w:rPr>
          <w:rFonts w:ascii="Book Antiqua" w:hAnsi="Book Antiqua"/>
          <w:lang w:val="es-ES_tradnl"/>
        </w:rPr>
        <w:t>P. del S. 253</w:t>
      </w:r>
      <w:r w:rsidR="00770604" w:rsidRPr="00A9007D">
        <w:rPr>
          <w:rFonts w:ascii="Book Antiqua" w:hAnsi="Book Antiqua"/>
          <w:lang w:val="es-ES_tradnl"/>
        </w:rPr>
        <w:t xml:space="preserve"> propone</w:t>
      </w:r>
      <w:r w:rsidR="00563ACD" w:rsidRPr="00A9007D">
        <w:rPr>
          <w:rFonts w:ascii="Book Antiqua" w:hAnsi="Book Antiqua"/>
          <w:lang w:val="es-ES_tradnl"/>
        </w:rPr>
        <w:t xml:space="preserve"> </w:t>
      </w:r>
      <w:r w:rsidR="001E04C3" w:rsidRPr="00A9007D">
        <w:rPr>
          <w:rFonts w:ascii="Book Antiqua" w:eastAsia="Times New Roman" w:hAnsi="Book Antiqua" w:cs="Times New Roman"/>
          <w:kern w:val="0"/>
          <w:lang w:val="es-ES_tradnl"/>
          <w14:ligatures w14:val="none"/>
        </w:rPr>
        <w:t xml:space="preserve">derogar la </w:t>
      </w:r>
      <w:r w:rsidR="001E04C3" w:rsidRPr="00A9007D">
        <w:rPr>
          <w:rFonts w:ascii="Book Antiqua" w:hAnsi="Book Antiqua"/>
        </w:rPr>
        <w:t xml:space="preserve">Ley Núm. 48, </w:t>
      </w:r>
      <w:r w:rsidR="001E04C3" w:rsidRPr="00A9007D">
        <w:rPr>
          <w:rFonts w:ascii="Book Antiqua" w:hAnsi="Book Antiqua"/>
          <w:i/>
          <w:iCs/>
        </w:rPr>
        <w:t>supra</w:t>
      </w:r>
      <w:r w:rsidR="001E04C3" w:rsidRPr="00A9007D">
        <w:rPr>
          <w:rFonts w:ascii="Book Antiqua" w:hAnsi="Book Antiqua"/>
        </w:rPr>
        <w:t>, y la Ley Núm. 126, s</w:t>
      </w:r>
      <w:r w:rsidR="001E04C3" w:rsidRPr="00A9007D">
        <w:rPr>
          <w:rFonts w:ascii="Book Antiqua" w:hAnsi="Book Antiqua"/>
          <w:i/>
          <w:iCs/>
        </w:rPr>
        <w:t>upra</w:t>
      </w:r>
      <w:r w:rsidR="001E04C3" w:rsidRPr="00A9007D">
        <w:rPr>
          <w:rFonts w:ascii="Book Antiqua" w:hAnsi="Book Antiqua"/>
        </w:rPr>
        <w:t xml:space="preserve">, por entender que ambas disposiciones son obsoletas, además de incongruentes </w:t>
      </w:r>
      <w:r w:rsidR="009E7AE0" w:rsidRPr="00A9007D">
        <w:rPr>
          <w:rFonts w:ascii="Book Antiqua" w:hAnsi="Book Antiqua"/>
        </w:rPr>
        <w:t xml:space="preserve">con </w:t>
      </w:r>
      <w:r w:rsidR="001E04C3" w:rsidRPr="00A9007D">
        <w:rPr>
          <w:rFonts w:ascii="Book Antiqua" w:hAnsi="Book Antiqua"/>
        </w:rPr>
        <w:t xml:space="preserve">disposiciones vigentes, tales como la Ley Núm. 4, </w:t>
      </w:r>
      <w:r w:rsidR="001E04C3" w:rsidRPr="00A9007D">
        <w:rPr>
          <w:rFonts w:ascii="Book Antiqua" w:hAnsi="Book Antiqua"/>
          <w:i/>
          <w:iCs/>
        </w:rPr>
        <w:t>supra</w:t>
      </w:r>
      <w:r w:rsidR="001E04C3" w:rsidRPr="00A9007D">
        <w:rPr>
          <w:rFonts w:ascii="Book Antiqua" w:hAnsi="Book Antiqua"/>
        </w:rPr>
        <w:t xml:space="preserve">, y la Ley Núm. 247, </w:t>
      </w:r>
      <w:r w:rsidR="001E04C3" w:rsidRPr="00A9007D">
        <w:rPr>
          <w:rFonts w:ascii="Book Antiqua" w:hAnsi="Book Antiqua"/>
          <w:i/>
          <w:iCs/>
        </w:rPr>
        <w:t>supra</w:t>
      </w:r>
      <w:r w:rsidR="001E04C3" w:rsidRPr="00A9007D">
        <w:rPr>
          <w:rFonts w:ascii="Book Antiqua" w:hAnsi="Book Antiqua"/>
        </w:rPr>
        <w:t xml:space="preserve">.  De igual modo, busca enmendar los Artículos 308 y 601 de la Ley Núm. 4 de 23 junio de 1971, </w:t>
      </w:r>
      <w:r w:rsidR="001E04C3" w:rsidRPr="00A9007D">
        <w:rPr>
          <w:rFonts w:ascii="Book Antiqua" w:hAnsi="Book Antiqua"/>
          <w:i/>
          <w:iCs/>
        </w:rPr>
        <w:t>supra</w:t>
      </w:r>
      <w:r w:rsidR="001E04C3" w:rsidRPr="00A9007D">
        <w:rPr>
          <w:rFonts w:ascii="Book Antiqua" w:hAnsi="Book Antiqua"/>
        </w:rPr>
        <w:t xml:space="preserve">, para (1) eliminar las referencias a la Ley Núm. 48, </w:t>
      </w:r>
      <w:r w:rsidR="001E04C3" w:rsidRPr="00A9007D">
        <w:rPr>
          <w:rFonts w:ascii="Book Antiqua" w:hAnsi="Book Antiqua"/>
          <w:i/>
          <w:iCs/>
        </w:rPr>
        <w:t>supra</w:t>
      </w:r>
      <w:r w:rsidR="001E04C3" w:rsidRPr="00A9007D">
        <w:rPr>
          <w:rFonts w:ascii="Book Antiqua" w:hAnsi="Book Antiqua"/>
        </w:rPr>
        <w:t xml:space="preserve">, y la Ley Núm. 126, </w:t>
      </w:r>
      <w:r w:rsidR="001E04C3" w:rsidRPr="00A9007D">
        <w:rPr>
          <w:rFonts w:ascii="Book Antiqua" w:hAnsi="Book Antiqua"/>
          <w:i/>
          <w:iCs/>
        </w:rPr>
        <w:t>supra</w:t>
      </w:r>
      <w:r w:rsidR="001E04C3" w:rsidRPr="00A9007D">
        <w:rPr>
          <w:rFonts w:ascii="Book Antiqua" w:hAnsi="Book Antiqua"/>
        </w:rPr>
        <w:t xml:space="preserve">, y (2) atemperar la Ley Núm. 4, </w:t>
      </w:r>
      <w:r w:rsidR="001E04C3" w:rsidRPr="00A9007D">
        <w:rPr>
          <w:rFonts w:ascii="Book Antiqua" w:hAnsi="Book Antiqua"/>
          <w:i/>
          <w:iCs/>
        </w:rPr>
        <w:t>supra</w:t>
      </w:r>
      <w:r w:rsidR="001E04C3" w:rsidRPr="00A9007D">
        <w:rPr>
          <w:rFonts w:ascii="Book Antiqua" w:hAnsi="Book Antiqua"/>
        </w:rPr>
        <w:t xml:space="preserve">, a la legislación federal vigente. </w:t>
      </w:r>
    </w:p>
    <w:p w14:paraId="450004FA" w14:textId="01964AC3" w:rsidR="001E04C3" w:rsidRPr="00A9007D" w:rsidRDefault="001E04C3" w:rsidP="001E04C3">
      <w:pPr>
        <w:spacing w:line="360" w:lineRule="auto"/>
        <w:ind w:firstLine="720"/>
        <w:jc w:val="both"/>
        <w:rPr>
          <w:rFonts w:ascii="Book Antiqua" w:hAnsi="Book Antiqua"/>
        </w:rPr>
      </w:pPr>
      <w:r w:rsidRPr="00A9007D">
        <w:rPr>
          <w:rFonts w:ascii="Book Antiqua" w:hAnsi="Book Antiqua"/>
        </w:rPr>
        <w:t>Asimismo, las Comisiones del Senado, dentro de su análisis, acogieron la recomendaciones  de ASSMCA  referente al periodo de setenta y dos (72) horas, así como la comunicación que debe existir entre el profesional que prescribe y el farmaceutico. Además, incorporaron una serie de enmiendas de técnica legislativa, y citaron directamente varias disposiciones legales federales en la exposició</w:t>
      </w:r>
      <w:r w:rsidR="009E7AE0" w:rsidRPr="00A9007D">
        <w:rPr>
          <w:rFonts w:ascii="Book Antiqua" w:hAnsi="Book Antiqua"/>
        </w:rPr>
        <w:t>n</w:t>
      </w:r>
      <w:r w:rsidRPr="00A9007D">
        <w:rPr>
          <w:rFonts w:ascii="Book Antiqua" w:hAnsi="Book Antiqua"/>
        </w:rPr>
        <w:t xml:space="preserve"> de motivos, para mayor claridad. </w:t>
      </w:r>
    </w:p>
    <w:p w14:paraId="6AA7A3C2" w14:textId="0E88653B" w:rsidR="00770604" w:rsidRPr="00A9007D" w:rsidRDefault="001E04C3" w:rsidP="001E04C3">
      <w:pPr>
        <w:spacing w:line="360" w:lineRule="auto"/>
        <w:ind w:firstLine="720"/>
        <w:jc w:val="both"/>
        <w:rPr>
          <w:rFonts w:ascii="Book Antiqua" w:eastAsia="Times New Roman" w:hAnsi="Book Antiqua"/>
          <w:kern w:val="0"/>
          <w:lang w:val="es-ES_tradnl"/>
          <w14:ligatures w14:val="none"/>
        </w:rPr>
      </w:pPr>
      <w:r w:rsidRPr="00A9007D">
        <w:rPr>
          <w:rFonts w:ascii="Book Antiqua" w:hAnsi="Book Antiqua"/>
        </w:rPr>
        <w:t xml:space="preserve">Siendo así, más allá de una enmienda en el título, como medida de claridad y técnica legislativa, la CRED recomienda la aprobación del P. del S. 253, con las enmiendas sugeridas en el entirillado electrónico. </w:t>
      </w:r>
    </w:p>
    <w:p w14:paraId="7F409FE1" w14:textId="2E00BED9" w:rsidR="00AF1158" w:rsidRPr="00A9007D" w:rsidRDefault="00AF1158" w:rsidP="006823BA">
      <w:pPr>
        <w:spacing w:line="240" w:lineRule="auto"/>
        <w:jc w:val="center"/>
        <w:rPr>
          <w:rFonts w:ascii="Book Antiqua" w:hAnsi="Book Antiqua"/>
          <w:b/>
          <w:bCs/>
        </w:rPr>
      </w:pPr>
      <w:r w:rsidRPr="00A9007D">
        <w:rPr>
          <w:rFonts w:ascii="Book Antiqua" w:hAnsi="Book Antiqua"/>
          <w:b/>
          <w:bCs/>
        </w:rPr>
        <w:t>ENMIENDA RECOMENDADAS</w:t>
      </w:r>
    </w:p>
    <w:p w14:paraId="55E18FD2" w14:textId="2D80E936" w:rsidR="009859BB" w:rsidRPr="00A9007D" w:rsidRDefault="00F00432" w:rsidP="008C646F">
      <w:pPr>
        <w:spacing w:line="360" w:lineRule="auto"/>
        <w:ind w:firstLine="360"/>
        <w:jc w:val="both"/>
        <w:rPr>
          <w:rFonts w:ascii="Book Antiqua" w:hAnsi="Book Antiqua"/>
        </w:rPr>
      </w:pPr>
      <w:r w:rsidRPr="00A9007D">
        <w:rPr>
          <w:rFonts w:ascii="Book Antiqua" w:hAnsi="Book Antiqua"/>
        </w:rPr>
        <w:t xml:space="preserve">Se proponen </w:t>
      </w:r>
      <w:r w:rsidR="008B6B9B" w:rsidRPr="00A9007D">
        <w:rPr>
          <w:rFonts w:ascii="Book Antiqua" w:hAnsi="Book Antiqua"/>
        </w:rPr>
        <w:t xml:space="preserve">enmiendas </w:t>
      </w:r>
      <w:r w:rsidR="00CA3D5D" w:rsidRPr="00A9007D">
        <w:rPr>
          <w:rFonts w:ascii="Book Antiqua" w:hAnsi="Book Antiqua"/>
        </w:rPr>
        <w:t>al título, según consta en el Entirillado Electrónico</w:t>
      </w:r>
      <w:r w:rsidR="009859BB">
        <w:rPr>
          <w:rFonts w:ascii="Book Antiqua" w:hAnsi="Book Antiqua"/>
        </w:rPr>
        <w:t xml:space="preserve">, y en el texto de la ley se añadió el nombre de la Ley de Sustancias Controladas, cuando correspondió. </w:t>
      </w:r>
    </w:p>
    <w:p w14:paraId="4116B5BF" w14:textId="2C46B98E" w:rsidR="006823BA" w:rsidRPr="00A9007D" w:rsidRDefault="008361EB" w:rsidP="006823BA">
      <w:pPr>
        <w:spacing w:line="360" w:lineRule="auto"/>
        <w:jc w:val="center"/>
        <w:rPr>
          <w:rFonts w:ascii="Book Antiqua" w:eastAsia="Times New Roman" w:hAnsi="Book Antiqua" w:cs="Times New Roman"/>
          <w:b/>
          <w:bCs/>
          <w:spacing w:val="-3"/>
          <w:kern w:val="0"/>
          <w:lang w:val="es-ES" w:eastAsia="x-none"/>
          <w14:ligatures w14:val="none"/>
        </w:rPr>
      </w:pPr>
      <w:r w:rsidRPr="00A9007D">
        <w:rPr>
          <w:rFonts w:ascii="Book Antiqua" w:eastAsia="Times New Roman" w:hAnsi="Book Antiqua" w:cs="Times New Roman"/>
          <w:b/>
          <w:bCs/>
          <w:spacing w:val="-3"/>
          <w:kern w:val="0"/>
          <w:lang w:val="es-ES" w:eastAsia="x-none"/>
          <w14:ligatures w14:val="none"/>
        </w:rPr>
        <w:t>IMPACTO PRESUPUESTARIO</w:t>
      </w:r>
    </w:p>
    <w:p w14:paraId="2D8493A7" w14:textId="65F8BAEB" w:rsidR="008361EB" w:rsidRPr="00A9007D" w:rsidRDefault="0087730C" w:rsidP="002A1EE5">
      <w:pPr>
        <w:keepNext/>
        <w:spacing w:after="0" w:line="360" w:lineRule="auto"/>
        <w:ind w:firstLine="360"/>
        <w:jc w:val="both"/>
        <w:outlineLvl w:val="2"/>
        <w:rPr>
          <w:rFonts w:ascii="Book Antiqua" w:eastAsia="Times New Roman" w:hAnsi="Book Antiqua" w:cs="Times New Roman"/>
          <w:spacing w:val="-3"/>
          <w:kern w:val="0"/>
          <w:lang w:val="es-ES" w:eastAsia="x-none"/>
          <w14:ligatures w14:val="none"/>
        </w:rPr>
      </w:pPr>
      <w:r w:rsidRPr="00A9007D">
        <w:rPr>
          <w:rFonts w:ascii="Book Antiqua" w:eastAsia="Times New Roman" w:hAnsi="Book Antiqua" w:cs="Times New Roman"/>
          <w:spacing w:val="-3"/>
          <w:kern w:val="0"/>
          <w:lang w:val="es-ES" w:eastAsia="x-none"/>
          <w14:ligatures w14:val="none"/>
        </w:rPr>
        <w:t xml:space="preserve">Según expresado </w:t>
      </w:r>
      <w:r w:rsidR="00CA3D5D" w:rsidRPr="00A9007D">
        <w:rPr>
          <w:rFonts w:ascii="Book Antiqua" w:eastAsia="Times New Roman" w:hAnsi="Book Antiqua" w:cs="Times New Roman"/>
          <w:spacing w:val="-3"/>
          <w:kern w:val="0"/>
          <w:lang w:val="es-ES" w:eastAsia="x-none"/>
          <w14:ligatures w14:val="none"/>
        </w:rPr>
        <w:t>por las Co</w:t>
      </w:r>
      <w:r w:rsidR="008B6B9B" w:rsidRPr="00A9007D">
        <w:rPr>
          <w:rFonts w:ascii="Book Antiqua" w:eastAsia="Times New Roman" w:hAnsi="Book Antiqua" w:cs="Times New Roman"/>
          <w:spacing w:val="-3"/>
          <w:kern w:val="0"/>
          <w:lang w:val="es-ES" w:eastAsia="x-none"/>
          <w14:ligatures w14:val="none"/>
        </w:rPr>
        <w:t>m</w:t>
      </w:r>
      <w:r w:rsidR="00CA3D5D" w:rsidRPr="00A9007D">
        <w:rPr>
          <w:rFonts w:ascii="Book Antiqua" w:eastAsia="Times New Roman" w:hAnsi="Book Antiqua" w:cs="Times New Roman"/>
          <w:spacing w:val="-3"/>
          <w:kern w:val="0"/>
          <w:lang w:val="es-ES" w:eastAsia="x-none"/>
          <w14:ligatures w14:val="none"/>
        </w:rPr>
        <w:t>ision</w:t>
      </w:r>
      <w:r w:rsidR="008B6B9B" w:rsidRPr="00A9007D">
        <w:rPr>
          <w:rFonts w:ascii="Book Antiqua" w:eastAsia="Times New Roman" w:hAnsi="Book Antiqua" w:cs="Times New Roman"/>
          <w:spacing w:val="-3"/>
          <w:kern w:val="0"/>
          <w:lang w:val="es-ES" w:eastAsia="x-none"/>
          <w14:ligatures w14:val="none"/>
        </w:rPr>
        <w:t>e</w:t>
      </w:r>
      <w:r w:rsidR="00CA3D5D" w:rsidRPr="00A9007D">
        <w:rPr>
          <w:rFonts w:ascii="Book Antiqua" w:eastAsia="Times New Roman" w:hAnsi="Book Antiqua" w:cs="Times New Roman"/>
          <w:spacing w:val="-3"/>
          <w:kern w:val="0"/>
          <w:lang w:val="es-ES" w:eastAsia="x-none"/>
          <w14:ligatures w14:val="none"/>
        </w:rPr>
        <w:t xml:space="preserve">s de </w:t>
      </w:r>
      <w:r w:rsidR="00563ACD" w:rsidRPr="00A9007D">
        <w:rPr>
          <w:rFonts w:ascii="Book Antiqua" w:hAnsi="Book Antiqua" w:cs="Times New Roman"/>
          <w:i/>
          <w:iCs/>
        </w:rPr>
        <w:t>Relaciones Federales y Viabilización del Mandato del Pueblo para la Solución del Estatus</w:t>
      </w:r>
      <w:r w:rsidR="00563ACD" w:rsidRPr="00A9007D">
        <w:rPr>
          <w:rFonts w:ascii="Book Antiqua" w:hAnsi="Book Antiqua" w:cs="Times New Roman"/>
        </w:rPr>
        <w:t xml:space="preserve">, y de </w:t>
      </w:r>
      <w:r w:rsidR="00563ACD" w:rsidRPr="00A9007D">
        <w:rPr>
          <w:rFonts w:ascii="Book Antiqua" w:hAnsi="Book Antiqua" w:cs="Times New Roman"/>
          <w:i/>
          <w:iCs/>
        </w:rPr>
        <w:t>Salud</w:t>
      </w:r>
      <w:r w:rsidR="00563ACD" w:rsidRPr="00A9007D">
        <w:rPr>
          <w:rFonts w:ascii="Book Antiqua" w:hAnsi="Book Antiqua" w:cs="Times New Roman"/>
        </w:rPr>
        <w:t xml:space="preserve"> del Senado de Puerto Rico, al evaluar el </w:t>
      </w:r>
      <w:r w:rsidR="00563ACD" w:rsidRPr="00A9007D">
        <w:rPr>
          <w:rFonts w:ascii="Book Antiqua" w:hAnsi="Book Antiqua" w:cs="Times New Roman"/>
        </w:rPr>
        <w:lastRenderedPageBreak/>
        <w:t xml:space="preserve">alcance de la media la CRED entiende que la medida no conllevará un impacto presupuestario al erario. </w:t>
      </w:r>
    </w:p>
    <w:p w14:paraId="339877AA" w14:textId="1F6C7477" w:rsidR="00A54AF0" w:rsidRPr="00A9007D" w:rsidRDefault="00A54AF0" w:rsidP="006823BA">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A9007D">
        <w:rPr>
          <w:rFonts w:ascii="Book Antiqua" w:eastAsia="Times New Roman" w:hAnsi="Book Antiqua" w:cs="Times New Roman"/>
          <w:b/>
          <w:bCs/>
          <w:spacing w:val="-3"/>
          <w:kern w:val="0"/>
          <w:lang w:val="es-ES" w:eastAsia="x-none"/>
          <w14:ligatures w14:val="none"/>
        </w:rPr>
        <w:t>CONCLUSIÓN</w:t>
      </w:r>
    </w:p>
    <w:p w14:paraId="11D6CEB9" w14:textId="548EDC4B" w:rsidR="006823BA" w:rsidRPr="00A9007D" w:rsidRDefault="00A54AF0" w:rsidP="00EC7ED8">
      <w:pPr>
        <w:spacing w:line="360" w:lineRule="auto"/>
        <w:ind w:firstLine="360"/>
        <w:jc w:val="both"/>
        <w:rPr>
          <w:rFonts w:ascii="Book Antiqua" w:eastAsia="Times New Roman" w:hAnsi="Book Antiqua" w:cs="Times New Roman"/>
          <w:kern w:val="0"/>
          <w14:ligatures w14:val="none"/>
        </w:rPr>
      </w:pPr>
      <w:r w:rsidRPr="00A9007D">
        <w:rPr>
          <w:rFonts w:ascii="Book Antiqua" w:eastAsia="Times New Roman" w:hAnsi="Book Antiqua" w:cs="Times New Roman"/>
          <w:kern w:val="0"/>
          <w14:ligatures w14:val="none"/>
        </w:rPr>
        <w:t xml:space="preserve">Por los fundamentos antes expuestos, la </w:t>
      </w:r>
      <w:r w:rsidRPr="00A9007D">
        <w:rPr>
          <w:rFonts w:ascii="Book Antiqua" w:eastAsia="Times New Roman" w:hAnsi="Book Antiqua" w:cs="Times New Roman"/>
          <w:kern w:val="0"/>
          <w:lang w:val="es-ES"/>
          <w14:ligatures w14:val="none"/>
        </w:rPr>
        <w:t>Comisión de Reorganización, Eficiencia y Diligencia</w:t>
      </w:r>
      <w:r w:rsidRPr="00A9007D">
        <w:rPr>
          <w:rFonts w:ascii="Book Antiqua" w:eastAsia="Times New Roman" w:hAnsi="Book Antiqua" w:cs="Times New Roman"/>
          <w:kern w:val="0"/>
          <w14:ligatures w14:val="none"/>
        </w:rPr>
        <w:t xml:space="preserve"> somete el presente </w:t>
      </w:r>
      <w:r w:rsidRPr="00A9007D">
        <w:rPr>
          <w:rFonts w:ascii="Book Antiqua" w:eastAsia="Times New Roman" w:hAnsi="Book Antiqua" w:cs="Times New Roman"/>
          <w:b/>
          <w:bCs/>
          <w:kern w:val="0"/>
          <w:u w:val="single"/>
          <w14:ligatures w14:val="none"/>
        </w:rPr>
        <w:t>Informe Positivo</w:t>
      </w:r>
      <w:r w:rsidRPr="00A9007D">
        <w:rPr>
          <w:rFonts w:ascii="Book Antiqua" w:eastAsia="Times New Roman" w:hAnsi="Book Antiqua" w:cs="Times New Roman"/>
          <w:kern w:val="0"/>
          <w14:ligatures w14:val="none"/>
        </w:rPr>
        <w:t xml:space="preserve"> en el que </w:t>
      </w:r>
      <w:r w:rsidRPr="00A9007D">
        <w:rPr>
          <w:rFonts w:ascii="Book Antiqua" w:eastAsia="Times New Roman" w:hAnsi="Book Antiqua" w:cs="Times New Roman"/>
          <w:kern w:val="0"/>
          <w:u w:val="single"/>
          <w14:ligatures w14:val="none"/>
        </w:rPr>
        <w:t>recomienda</w:t>
      </w:r>
      <w:r w:rsidRPr="00A9007D">
        <w:rPr>
          <w:rFonts w:ascii="Book Antiqua" w:eastAsia="Times New Roman" w:hAnsi="Book Antiqua" w:cs="Times New Roman"/>
          <w:kern w:val="0"/>
          <w14:ligatures w14:val="none"/>
        </w:rPr>
        <w:t xml:space="preserve"> a esta Cámara de Representantes que </w:t>
      </w:r>
      <w:r w:rsidRPr="00A9007D">
        <w:rPr>
          <w:rFonts w:ascii="Book Antiqua" w:eastAsia="Times New Roman" w:hAnsi="Book Antiqua" w:cs="Times New Roman"/>
          <w:kern w:val="0"/>
          <w:u w:val="single"/>
          <w14:ligatures w14:val="none"/>
        </w:rPr>
        <w:t>apruebe</w:t>
      </w:r>
      <w:r w:rsidRPr="00A9007D">
        <w:rPr>
          <w:rFonts w:ascii="Book Antiqua" w:eastAsia="Times New Roman" w:hAnsi="Book Antiqua" w:cs="Times New Roman"/>
          <w:kern w:val="0"/>
          <w14:ligatures w14:val="none"/>
        </w:rPr>
        <w:t xml:space="preserve"> el Proyecto </w:t>
      </w:r>
      <w:r w:rsidR="00CA3D5D" w:rsidRPr="00A9007D">
        <w:rPr>
          <w:rFonts w:ascii="Book Antiqua" w:eastAsia="Times New Roman" w:hAnsi="Book Antiqua" w:cs="Times New Roman"/>
          <w:kern w:val="0"/>
          <w14:ligatures w14:val="none"/>
        </w:rPr>
        <w:t>del Senado 253</w:t>
      </w:r>
      <w:r w:rsidRPr="00A9007D">
        <w:rPr>
          <w:rFonts w:ascii="Book Antiqua" w:eastAsia="Times New Roman" w:hAnsi="Book Antiqua" w:cs="Times New Roman"/>
          <w:kern w:val="0"/>
          <w14:ligatures w14:val="none"/>
        </w:rPr>
        <w:t>,</w:t>
      </w:r>
      <w:r w:rsidR="006A0DE7" w:rsidRPr="00A9007D">
        <w:rPr>
          <w:rFonts w:ascii="Book Antiqua" w:eastAsia="Times New Roman" w:hAnsi="Book Antiqua" w:cs="Times New Roman"/>
          <w:kern w:val="0"/>
          <w14:ligatures w14:val="none"/>
        </w:rPr>
        <w:t xml:space="preserve"> </w:t>
      </w:r>
      <w:r w:rsidR="00F00432" w:rsidRPr="00A9007D">
        <w:rPr>
          <w:rFonts w:ascii="Book Antiqua" w:eastAsia="Times New Roman" w:hAnsi="Book Antiqua" w:cs="Times New Roman"/>
          <w:kern w:val="0"/>
          <w14:ligatures w14:val="none"/>
        </w:rPr>
        <w:t xml:space="preserve">con las enmiendas propuestas en el </w:t>
      </w:r>
      <w:r w:rsidR="00CA3D5D" w:rsidRPr="00A9007D">
        <w:rPr>
          <w:rFonts w:ascii="Book Antiqua" w:eastAsia="Times New Roman" w:hAnsi="Book Antiqua" w:cs="Times New Roman"/>
          <w:kern w:val="0"/>
          <w14:ligatures w14:val="none"/>
        </w:rPr>
        <w:t>Entirillado Electrónico</w:t>
      </w:r>
      <w:r w:rsidR="0025467A">
        <w:rPr>
          <w:rFonts w:ascii="Book Antiqua" w:eastAsia="Times New Roman" w:hAnsi="Book Antiqua" w:cs="Times New Roman"/>
          <w:kern w:val="0"/>
          <w14:ligatures w14:val="none"/>
        </w:rPr>
        <w:t xml:space="preserve"> que se acompaña con este informe. </w:t>
      </w:r>
    </w:p>
    <w:p w14:paraId="6B4F35C6" w14:textId="77777777" w:rsidR="00A54AF0" w:rsidRPr="00A9007D" w:rsidRDefault="00A54AF0" w:rsidP="00EC7ED8">
      <w:pPr>
        <w:spacing w:after="0" w:line="360" w:lineRule="auto"/>
        <w:ind w:firstLine="360"/>
        <w:rPr>
          <w:rFonts w:ascii="Book Antiqua" w:eastAsia="Times New Roman" w:hAnsi="Book Antiqua" w:cs="Times New Roman"/>
          <w:kern w:val="0"/>
          <w:lang w:eastAsia="x-none"/>
          <w14:ligatures w14:val="none"/>
        </w:rPr>
      </w:pPr>
      <w:r w:rsidRPr="00A9007D">
        <w:rPr>
          <w:rFonts w:ascii="Book Antiqua" w:eastAsia="Times New Roman" w:hAnsi="Book Antiqua" w:cs="Times New Roman"/>
          <w:kern w:val="0"/>
          <w:lang w:eastAsia="x-none"/>
          <w14:ligatures w14:val="none"/>
        </w:rPr>
        <w:t>Respetuosamente sometido,</w:t>
      </w:r>
    </w:p>
    <w:p w14:paraId="32D798A3" w14:textId="77777777" w:rsidR="00647DED" w:rsidRPr="00A9007D" w:rsidRDefault="00647DED" w:rsidP="00A54AF0">
      <w:pPr>
        <w:spacing w:after="0" w:line="240" w:lineRule="auto"/>
        <w:rPr>
          <w:rFonts w:ascii="Book Antiqua" w:eastAsia="Times New Roman" w:hAnsi="Book Antiqua" w:cs="Times New Roman"/>
          <w:kern w:val="0"/>
          <w:lang w:eastAsia="x-none"/>
          <w14:ligatures w14:val="none"/>
        </w:rPr>
      </w:pPr>
    </w:p>
    <w:p w14:paraId="5E316CE6" w14:textId="77777777" w:rsidR="006A0DE7" w:rsidRPr="00A9007D" w:rsidRDefault="006A0DE7" w:rsidP="00AC29DB">
      <w:pPr>
        <w:spacing w:after="0" w:line="240" w:lineRule="auto"/>
        <w:jc w:val="both"/>
        <w:rPr>
          <w:rFonts w:ascii="Book Antiqua" w:eastAsia="Times New Roman" w:hAnsi="Book Antiqua" w:cs="Times New Roman"/>
          <w:b/>
          <w:bCs/>
          <w:kern w:val="0"/>
          <w:lang w:eastAsia="x-none"/>
          <w14:ligatures w14:val="none"/>
        </w:rPr>
      </w:pPr>
    </w:p>
    <w:p w14:paraId="56FFE5EF" w14:textId="77777777" w:rsidR="00EC7ED8" w:rsidRPr="00A9007D" w:rsidRDefault="00EC7ED8" w:rsidP="00AC29DB">
      <w:pPr>
        <w:spacing w:after="0" w:line="240" w:lineRule="auto"/>
        <w:jc w:val="both"/>
        <w:rPr>
          <w:rFonts w:ascii="Book Antiqua" w:eastAsia="Times New Roman" w:hAnsi="Book Antiqua" w:cs="Times New Roman"/>
          <w:b/>
          <w:bCs/>
          <w:kern w:val="0"/>
          <w:lang w:eastAsia="x-none"/>
          <w14:ligatures w14:val="none"/>
        </w:rPr>
      </w:pPr>
    </w:p>
    <w:p w14:paraId="5AE1325A" w14:textId="3FEBE012" w:rsidR="00A54AF0" w:rsidRPr="00A9007D" w:rsidRDefault="00A54AF0" w:rsidP="00AC29DB">
      <w:pPr>
        <w:spacing w:after="0" w:line="240" w:lineRule="auto"/>
        <w:jc w:val="both"/>
        <w:rPr>
          <w:rFonts w:ascii="Book Antiqua" w:eastAsia="Times New Roman" w:hAnsi="Book Antiqua" w:cs="Times New Roman"/>
          <w:b/>
          <w:bCs/>
          <w:kern w:val="0"/>
          <w:lang w:eastAsia="x-none"/>
          <w14:ligatures w14:val="none"/>
        </w:rPr>
      </w:pPr>
      <w:r w:rsidRPr="00A9007D">
        <w:rPr>
          <w:rFonts w:ascii="Book Antiqua" w:eastAsia="Times New Roman" w:hAnsi="Book Antiqua" w:cs="Times New Roman"/>
          <w:b/>
          <w:bCs/>
          <w:kern w:val="0"/>
          <w:lang w:eastAsia="x-none"/>
          <w14:ligatures w14:val="none"/>
        </w:rPr>
        <w:t>Hon. Ángel A. Morey Noble</w:t>
      </w:r>
      <w:r w:rsidRPr="00A9007D">
        <w:rPr>
          <w:rFonts w:ascii="Book Antiqua" w:eastAsia="Times New Roman" w:hAnsi="Book Antiqua" w:cs="Times New Roman"/>
          <w:b/>
          <w:bCs/>
          <w:kern w:val="0"/>
          <w:lang w:eastAsia="x-none"/>
          <w14:ligatures w14:val="none"/>
        </w:rPr>
        <w:tab/>
        <w:t xml:space="preserve"> </w:t>
      </w:r>
    </w:p>
    <w:p w14:paraId="0C55918C" w14:textId="77777777" w:rsidR="00A54AF0" w:rsidRPr="00A9007D" w:rsidRDefault="00A54AF0" w:rsidP="00AC29DB">
      <w:pPr>
        <w:spacing w:after="0" w:line="240" w:lineRule="auto"/>
        <w:jc w:val="both"/>
        <w:rPr>
          <w:rFonts w:ascii="Book Antiqua" w:eastAsia="Times New Roman" w:hAnsi="Book Antiqua" w:cs="Times New Roman"/>
          <w:i/>
          <w:iCs/>
          <w:kern w:val="0"/>
          <w:lang w:eastAsia="x-none"/>
          <w14:ligatures w14:val="none"/>
        </w:rPr>
      </w:pPr>
      <w:r w:rsidRPr="00A9007D">
        <w:rPr>
          <w:rFonts w:ascii="Book Antiqua" w:eastAsia="Times New Roman" w:hAnsi="Book Antiqua" w:cs="Times New Roman"/>
          <w:i/>
          <w:iCs/>
          <w:kern w:val="0"/>
          <w:lang w:eastAsia="x-none"/>
          <w14:ligatures w14:val="none"/>
        </w:rPr>
        <w:t>Presidente</w:t>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r w:rsidRPr="00A9007D">
        <w:rPr>
          <w:rFonts w:ascii="Book Antiqua" w:eastAsia="Times New Roman" w:hAnsi="Book Antiqua" w:cs="Times New Roman"/>
          <w:i/>
          <w:iCs/>
          <w:kern w:val="0"/>
          <w:lang w:eastAsia="x-none"/>
          <w14:ligatures w14:val="none"/>
        </w:rPr>
        <w:tab/>
      </w:r>
    </w:p>
    <w:p w14:paraId="60E9B1BB" w14:textId="047D4680" w:rsidR="00A54AF0" w:rsidRPr="00A9007D" w:rsidRDefault="00A54AF0" w:rsidP="00AC29DB">
      <w:pPr>
        <w:spacing w:after="0" w:line="240" w:lineRule="auto"/>
        <w:ind w:left="5760" w:hanging="5760"/>
        <w:jc w:val="both"/>
        <w:rPr>
          <w:rFonts w:ascii="Book Antiqua" w:eastAsia="Times New Roman" w:hAnsi="Book Antiqua" w:cs="Times New Roman"/>
          <w:kern w:val="0"/>
          <w:lang w:eastAsia="x-none"/>
          <w14:ligatures w14:val="none"/>
        </w:rPr>
      </w:pPr>
      <w:r w:rsidRPr="00A9007D">
        <w:rPr>
          <w:rFonts w:ascii="Book Antiqua" w:eastAsia="Times New Roman" w:hAnsi="Book Antiqua" w:cs="Times New Roman"/>
          <w:kern w:val="0"/>
          <w:lang w:val="es-ES" w:eastAsia="x-none"/>
          <w14:ligatures w14:val="none"/>
        </w:rPr>
        <w:t>Comisión de Reorganización Eficiencia y Diligencia</w:t>
      </w:r>
    </w:p>
    <w:sectPr w:rsidR="00A54AF0" w:rsidRPr="00A9007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DCB4C" w14:textId="77777777" w:rsidR="002F1DC8" w:rsidRDefault="002F1DC8" w:rsidP="00A54AF0">
      <w:pPr>
        <w:spacing w:after="0" w:line="240" w:lineRule="auto"/>
      </w:pPr>
      <w:r>
        <w:separator/>
      </w:r>
    </w:p>
  </w:endnote>
  <w:endnote w:type="continuationSeparator" w:id="0">
    <w:p w14:paraId="4F6887BF" w14:textId="77777777" w:rsidR="002F1DC8" w:rsidRDefault="002F1DC8"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3C3F3D">
          <w:rPr>
            <w:rFonts w:ascii="Book Antiqua" w:hAnsi="Book Antiqua"/>
          </w:rPr>
          <w:fldChar w:fldCharType="begin"/>
        </w:r>
        <w:r w:rsidRPr="003C3F3D">
          <w:rPr>
            <w:rFonts w:ascii="Book Antiqua" w:hAnsi="Book Antiqua"/>
          </w:rPr>
          <w:instrText xml:space="preserve"> PAGE   \* MERGEFORMAT </w:instrText>
        </w:r>
        <w:r w:rsidRPr="003C3F3D">
          <w:rPr>
            <w:rFonts w:ascii="Book Antiqua" w:hAnsi="Book Antiqua"/>
          </w:rPr>
          <w:fldChar w:fldCharType="separate"/>
        </w:r>
        <w:r w:rsidRPr="003C3F3D">
          <w:rPr>
            <w:rFonts w:ascii="Book Antiqua" w:hAnsi="Book Antiqua"/>
            <w:noProof/>
          </w:rPr>
          <w:t>2</w:t>
        </w:r>
        <w:r w:rsidRPr="003C3F3D">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0A35A" w14:textId="77777777" w:rsidR="002F1DC8" w:rsidRDefault="002F1DC8" w:rsidP="00A54AF0">
      <w:pPr>
        <w:spacing w:after="0" w:line="240" w:lineRule="auto"/>
      </w:pPr>
      <w:r>
        <w:separator/>
      </w:r>
    </w:p>
  </w:footnote>
  <w:footnote w:type="continuationSeparator" w:id="0">
    <w:p w14:paraId="2B60E44A" w14:textId="77777777" w:rsidR="002F1DC8" w:rsidRDefault="002F1DC8" w:rsidP="00A54AF0">
      <w:pPr>
        <w:spacing w:after="0" w:line="240" w:lineRule="auto"/>
      </w:pPr>
      <w:r>
        <w:continuationSeparator/>
      </w:r>
    </w:p>
  </w:footnote>
  <w:footnote w:id="1">
    <w:p w14:paraId="2DE56DDA" w14:textId="0C5091D9" w:rsidR="00836295" w:rsidRPr="00A9007D" w:rsidRDefault="00836295">
      <w:pPr>
        <w:pStyle w:val="FootnoteText"/>
      </w:pPr>
      <w:r>
        <w:rPr>
          <w:rStyle w:val="FootnoteReference"/>
        </w:rPr>
        <w:footnoteRef/>
      </w:r>
      <w:r>
        <w:t xml:space="preserve"> </w:t>
      </w:r>
      <w:r w:rsidRPr="00A9007D">
        <w:tab/>
      </w:r>
      <w:r w:rsidR="00AF6F98">
        <w:rPr>
          <w:rFonts w:ascii="Book Antiqua" w:hAnsi="Book Antiqua"/>
        </w:rPr>
        <w:t xml:space="preserve">Ley Núm. 48 de 18 de junio de 1959, según enmendada, conocida como </w:t>
      </w:r>
      <w:r w:rsidR="00AF6F98" w:rsidRPr="00836295">
        <w:rPr>
          <w:rFonts w:ascii="Book Antiqua" w:hAnsi="Book Antiqua"/>
          <w:i/>
          <w:iCs/>
        </w:rPr>
        <w:t>Ley de Narcóticos</w:t>
      </w:r>
      <w:r w:rsidR="00AF6F98">
        <w:rPr>
          <w:rFonts w:ascii="Book Antiqua" w:hAnsi="Book Antiqua"/>
        </w:rPr>
        <w:t xml:space="preserve">, </w:t>
      </w:r>
    </w:p>
  </w:footnote>
  <w:footnote w:id="2">
    <w:p w14:paraId="1AEE6414" w14:textId="7EE75B7E" w:rsidR="00836295" w:rsidRPr="00A9007D" w:rsidRDefault="00836295" w:rsidP="00297F4B">
      <w:pPr>
        <w:pStyle w:val="FootnoteText"/>
        <w:ind w:left="720" w:hanging="720"/>
        <w:jc w:val="both"/>
        <w:rPr>
          <w:rFonts w:ascii="Book Antiqua" w:hAnsi="Book Antiqua"/>
        </w:rPr>
      </w:pPr>
      <w:r w:rsidRPr="00F073FC">
        <w:rPr>
          <w:rStyle w:val="FootnoteReference"/>
          <w:rFonts w:ascii="Book Antiqua" w:hAnsi="Book Antiqua"/>
        </w:rPr>
        <w:footnoteRef/>
      </w:r>
      <w:r w:rsidRPr="00F073FC">
        <w:rPr>
          <w:rFonts w:ascii="Book Antiqua" w:hAnsi="Book Antiqua"/>
        </w:rPr>
        <w:t xml:space="preserve"> </w:t>
      </w:r>
      <w:r w:rsidRPr="00F073FC">
        <w:rPr>
          <w:rFonts w:ascii="Book Antiqua" w:hAnsi="Book Antiqua"/>
        </w:rPr>
        <w:tab/>
      </w:r>
      <w:r w:rsidR="00AF6F98" w:rsidRPr="00F073FC">
        <w:rPr>
          <w:rFonts w:ascii="Book Antiqua" w:hAnsi="Book Antiqua"/>
        </w:rPr>
        <w:t xml:space="preserve">Ley Núm. 126 de 13 de julio de 1960, según enmendada, conocida como </w:t>
      </w:r>
      <w:r w:rsidR="00AF6F98" w:rsidRPr="00F073FC">
        <w:rPr>
          <w:rFonts w:ascii="Book Antiqua" w:hAnsi="Book Antiqua"/>
          <w:i/>
          <w:iCs/>
        </w:rPr>
        <w:t>Ley de Barbitúricos y Otras Drogas Peligrosas</w:t>
      </w:r>
      <w:r w:rsidR="00F073FC" w:rsidRPr="00F073FC">
        <w:rPr>
          <w:rFonts w:ascii="Book Antiqua" w:hAnsi="Book Antiqua"/>
        </w:rPr>
        <w:t xml:space="preserve">, 24 LPRA sec. 930 </w:t>
      </w:r>
      <w:r w:rsidR="00F073FC" w:rsidRPr="00F073FC">
        <w:rPr>
          <w:rFonts w:ascii="Book Antiqua" w:hAnsi="Book Antiqua"/>
          <w:i/>
          <w:iCs/>
        </w:rPr>
        <w:t>et seq</w:t>
      </w:r>
      <w:r w:rsidR="00F073FC" w:rsidRPr="00F073FC">
        <w:rPr>
          <w:rFonts w:ascii="Book Antiqua" w:hAnsi="Book Antiqua"/>
        </w:rPr>
        <w:t xml:space="preserve">. </w:t>
      </w:r>
    </w:p>
  </w:footnote>
  <w:footnote w:id="3">
    <w:p w14:paraId="4486405B" w14:textId="3F221E42" w:rsidR="00AF6F98" w:rsidRPr="00A9007D" w:rsidRDefault="00AF6F98" w:rsidP="00297F4B">
      <w:pPr>
        <w:pStyle w:val="FootnoteText"/>
        <w:ind w:left="720" w:hanging="720"/>
        <w:jc w:val="both"/>
        <w:rPr>
          <w:rFonts w:ascii="Book Antiqua" w:hAnsi="Book Antiqua"/>
        </w:rPr>
      </w:pPr>
      <w:r w:rsidRPr="00F073FC">
        <w:rPr>
          <w:rStyle w:val="FootnoteReference"/>
          <w:rFonts w:ascii="Book Antiqua" w:hAnsi="Book Antiqua"/>
        </w:rPr>
        <w:footnoteRef/>
      </w:r>
      <w:r w:rsidRPr="00F073FC">
        <w:rPr>
          <w:rFonts w:ascii="Book Antiqua" w:hAnsi="Book Antiqua"/>
        </w:rPr>
        <w:t xml:space="preserve"> </w:t>
      </w:r>
      <w:r w:rsidR="00297F4B" w:rsidRPr="00F073FC">
        <w:rPr>
          <w:rFonts w:ascii="Book Antiqua" w:hAnsi="Book Antiqua"/>
        </w:rPr>
        <w:tab/>
        <w:t xml:space="preserve">Ley Núm. 4 de 23 de junio de 1971, según enmendada, conocida como </w:t>
      </w:r>
      <w:r w:rsidR="00297F4B" w:rsidRPr="00F073FC">
        <w:rPr>
          <w:rFonts w:ascii="Book Antiqua" w:hAnsi="Book Antiqua"/>
          <w:i/>
          <w:iCs/>
        </w:rPr>
        <w:t>Ley de Sustancias Controladas</w:t>
      </w:r>
      <w:r w:rsidR="00F073FC" w:rsidRPr="00F073FC">
        <w:rPr>
          <w:rFonts w:ascii="Book Antiqua" w:hAnsi="Book Antiqua"/>
        </w:rPr>
        <w:t xml:space="preserve">, 24 LPRA sec. 2101 </w:t>
      </w:r>
      <w:r w:rsidR="00F073FC" w:rsidRPr="00F073FC">
        <w:rPr>
          <w:rFonts w:ascii="Book Antiqua" w:hAnsi="Book Antiqua"/>
          <w:i/>
          <w:iCs/>
        </w:rPr>
        <w:t>et seq</w:t>
      </w:r>
      <w:r w:rsidR="00F073FC" w:rsidRPr="00F073FC">
        <w:rPr>
          <w:rFonts w:ascii="Book Antiqua" w:hAnsi="Book Antiqua"/>
        </w:rPr>
        <w:t xml:space="preserve">. </w:t>
      </w:r>
    </w:p>
  </w:footnote>
  <w:footnote w:id="4">
    <w:p w14:paraId="251D99A0" w14:textId="4BC0626F" w:rsidR="007D239F" w:rsidRPr="00A9007D" w:rsidRDefault="007D239F">
      <w:pPr>
        <w:pStyle w:val="FootnoteText"/>
      </w:pPr>
      <w:r w:rsidRPr="00F073FC">
        <w:rPr>
          <w:rStyle w:val="FootnoteReference"/>
          <w:rFonts w:ascii="Book Antiqua" w:hAnsi="Book Antiqua"/>
        </w:rPr>
        <w:footnoteRef/>
      </w:r>
      <w:r w:rsidRPr="00F073FC">
        <w:rPr>
          <w:rFonts w:ascii="Book Antiqua" w:hAnsi="Book Antiqua"/>
        </w:rPr>
        <w:t xml:space="preserve"> </w:t>
      </w:r>
      <w:r w:rsidRPr="00A9007D">
        <w:rPr>
          <w:rFonts w:ascii="Book Antiqua" w:hAnsi="Book Antiqua"/>
        </w:rPr>
        <w:tab/>
      </w:r>
      <w:r w:rsidR="00297F4B" w:rsidRPr="00F073FC">
        <w:rPr>
          <w:rFonts w:ascii="Book Antiqua" w:hAnsi="Book Antiqua"/>
        </w:rPr>
        <w:t xml:space="preserve">Ley Núm. 247-2004, según enmendada, conocida como </w:t>
      </w:r>
      <w:r w:rsidR="00297F4B" w:rsidRPr="00F073FC">
        <w:rPr>
          <w:rFonts w:ascii="Book Antiqua" w:hAnsi="Book Antiqua"/>
          <w:i/>
          <w:iCs/>
        </w:rPr>
        <w:t>Ley de Farmacia</w:t>
      </w:r>
      <w:r w:rsidR="00297F4B" w:rsidRPr="00F073FC">
        <w:rPr>
          <w:rFonts w:ascii="Book Antiqua" w:hAnsi="Book Antiqua"/>
        </w:rPr>
        <w:t xml:space="preserve">, </w:t>
      </w:r>
      <w:r w:rsidR="00F073FC" w:rsidRPr="00F073FC">
        <w:rPr>
          <w:rFonts w:ascii="Book Antiqua" w:hAnsi="Book Antiqua"/>
        </w:rPr>
        <w:t xml:space="preserve">20 LPRA sec. 407 </w:t>
      </w:r>
      <w:r w:rsidR="00F073FC" w:rsidRPr="00F073FC">
        <w:rPr>
          <w:rFonts w:ascii="Book Antiqua" w:hAnsi="Book Antiqua"/>
          <w:i/>
          <w:iCs/>
        </w:rPr>
        <w:t>et seq</w:t>
      </w:r>
      <w:r w:rsidR="00F073FC" w:rsidRPr="00F073FC">
        <w:rPr>
          <w:rFonts w:ascii="Book Antiqua" w:hAnsi="Book Antiqua"/>
        </w:rPr>
        <w:t>.</w:t>
      </w:r>
      <w:r w:rsidR="00F073FC">
        <w:rPr>
          <w:rFonts w:ascii="Book Antiqua" w:hAnsi="Book Antiqua"/>
        </w:rPr>
        <w:t xml:space="preserve"> </w:t>
      </w:r>
    </w:p>
  </w:footnote>
  <w:footnote w:id="5">
    <w:p w14:paraId="1F0AA79C" w14:textId="099BB485" w:rsidR="00901870" w:rsidRPr="00A9007D" w:rsidRDefault="00901870" w:rsidP="002F0DAB">
      <w:pPr>
        <w:pStyle w:val="FootnoteText"/>
        <w:ind w:left="720" w:hanging="720"/>
        <w:rPr>
          <w:rFonts w:ascii="Book Antiqua" w:hAnsi="Book Antiqua"/>
        </w:rPr>
      </w:pPr>
      <w:r w:rsidRPr="008D638B">
        <w:rPr>
          <w:rStyle w:val="FootnoteReference"/>
          <w:rFonts w:ascii="Book Antiqua" w:hAnsi="Book Antiqua"/>
        </w:rPr>
        <w:footnoteRef/>
      </w:r>
      <w:r w:rsidRPr="008D638B">
        <w:rPr>
          <w:rFonts w:ascii="Book Antiqua" w:hAnsi="Book Antiqua"/>
        </w:rPr>
        <w:t xml:space="preserve"> </w:t>
      </w:r>
      <w:r w:rsidRPr="00A9007D">
        <w:rPr>
          <w:rFonts w:ascii="Book Antiqua" w:hAnsi="Book Antiqua"/>
        </w:rPr>
        <w:tab/>
      </w:r>
      <w:r w:rsidR="002F0DAB" w:rsidRPr="00A9007D">
        <w:rPr>
          <w:rFonts w:ascii="Book Antiqua" w:hAnsi="Book Antiqua"/>
        </w:rPr>
        <w:t xml:space="preserve">Departamento de Salud, </w:t>
      </w:r>
      <w:r w:rsidR="002F0DAB" w:rsidRPr="00901870">
        <w:rPr>
          <w:rFonts w:ascii="Book Antiqua" w:eastAsia="Times New Roman" w:hAnsi="Book Antiqua" w:cs="Times New Roman"/>
          <w:i/>
          <w:iCs/>
          <w:kern w:val="0"/>
          <w:lang w:val="es-ES_tradnl"/>
          <w14:ligatures w14:val="none"/>
        </w:rPr>
        <w:t xml:space="preserve">Memorial Explicativo sobre el Proyecto del Senado </w:t>
      </w:r>
      <w:r w:rsidR="002F0DAB">
        <w:rPr>
          <w:rFonts w:ascii="Book Antiqua" w:eastAsia="Times New Roman" w:hAnsi="Book Antiqua" w:cs="Times New Roman"/>
          <w:i/>
          <w:iCs/>
          <w:kern w:val="0"/>
          <w:lang w:val="es-ES_tradnl"/>
          <w14:ligatures w14:val="none"/>
        </w:rPr>
        <w:t>N</w:t>
      </w:r>
      <w:r w:rsidR="002F0DAB" w:rsidRPr="00901870">
        <w:rPr>
          <w:rFonts w:ascii="Book Antiqua" w:eastAsia="Times New Roman" w:hAnsi="Book Antiqua" w:cs="Times New Roman"/>
          <w:i/>
          <w:iCs/>
          <w:kern w:val="0"/>
          <w:lang w:val="es-ES_tradnl"/>
          <w14:ligatures w14:val="none"/>
        </w:rPr>
        <w:t>úm. 253</w:t>
      </w:r>
      <w:r w:rsidR="002F0DAB">
        <w:rPr>
          <w:rFonts w:ascii="Book Antiqua" w:eastAsia="Times New Roman" w:hAnsi="Book Antiqua" w:cs="Times New Roman"/>
          <w:kern w:val="0"/>
          <w:lang w:val="es-ES_tradnl"/>
          <w14:ligatures w14:val="none"/>
        </w:rPr>
        <w:t xml:space="preserve"> (14 de febrero de 2025). </w:t>
      </w:r>
    </w:p>
  </w:footnote>
  <w:footnote w:id="6">
    <w:p w14:paraId="1B8A2625" w14:textId="2870E415" w:rsidR="00901870" w:rsidRPr="008D638B" w:rsidRDefault="00901870" w:rsidP="002F0DAB">
      <w:pPr>
        <w:pStyle w:val="FootnoteText"/>
        <w:ind w:left="720" w:hanging="720"/>
        <w:rPr>
          <w:rFonts w:ascii="Book Antiqua" w:hAnsi="Book Antiqua"/>
          <w:lang w:val="en-US"/>
        </w:rPr>
      </w:pPr>
      <w:r w:rsidRPr="008D638B">
        <w:rPr>
          <w:rStyle w:val="FootnoteReference"/>
          <w:rFonts w:ascii="Book Antiqua" w:hAnsi="Book Antiqua"/>
        </w:rPr>
        <w:footnoteRef/>
      </w:r>
      <w:r w:rsidRPr="00A9007D">
        <w:rPr>
          <w:rFonts w:ascii="Book Antiqua" w:hAnsi="Book Antiqua"/>
          <w:lang w:val="en-US"/>
        </w:rPr>
        <w:t xml:space="preserve"> </w:t>
      </w:r>
      <w:r w:rsidRPr="008D638B">
        <w:rPr>
          <w:rFonts w:ascii="Book Antiqua" w:hAnsi="Book Antiqua"/>
          <w:lang w:val="en-US"/>
        </w:rPr>
        <w:tab/>
      </w:r>
      <w:r w:rsidR="002F0DAB">
        <w:rPr>
          <w:rFonts w:ascii="Book Antiqua" w:hAnsi="Book Antiqua"/>
          <w:i/>
          <w:iCs/>
          <w:lang w:val="en-US"/>
        </w:rPr>
        <w:t>I</w:t>
      </w:r>
      <w:r w:rsidR="00AF6F98" w:rsidRPr="008D638B">
        <w:rPr>
          <w:rFonts w:ascii="Book Antiqua" w:hAnsi="Book Antiqua"/>
          <w:i/>
          <w:iCs/>
          <w:lang w:val="en-US"/>
        </w:rPr>
        <w:t>d</w:t>
      </w:r>
      <w:r w:rsidR="00AF6F98" w:rsidRPr="008D638B">
        <w:rPr>
          <w:rFonts w:ascii="Book Antiqua" w:hAnsi="Book Antiqua"/>
          <w:lang w:val="en-US"/>
        </w:rPr>
        <w:t xml:space="preserve">., </w:t>
      </w:r>
      <w:proofErr w:type="spellStart"/>
      <w:r w:rsidR="00AF6F98" w:rsidRPr="008D638B">
        <w:rPr>
          <w:rFonts w:ascii="Book Antiqua" w:hAnsi="Book Antiqua"/>
          <w:lang w:val="en-US"/>
        </w:rPr>
        <w:t>pág</w:t>
      </w:r>
      <w:proofErr w:type="spellEnd"/>
      <w:r w:rsidR="00AF6F98" w:rsidRPr="008D638B">
        <w:rPr>
          <w:rFonts w:ascii="Book Antiqua" w:hAnsi="Book Antiqua"/>
          <w:lang w:val="en-US"/>
        </w:rPr>
        <w:t xml:space="preserve">. 3. </w:t>
      </w:r>
    </w:p>
  </w:footnote>
  <w:footnote w:id="7">
    <w:p w14:paraId="1C6B9FFC" w14:textId="7EC81FF0" w:rsidR="00901870" w:rsidRPr="008D638B" w:rsidRDefault="00901870" w:rsidP="002F0DAB">
      <w:pPr>
        <w:pStyle w:val="FootnoteText"/>
        <w:ind w:left="720" w:hanging="720"/>
        <w:rPr>
          <w:rFonts w:ascii="Book Antiqua" w:hAnsi="Book Antiqua"/>
          <w:lang w:val="en-US"/>
        </w:rPr>
      </w:pPr>
      <w:r w:rsidRPr="008D638B">
        <w:rPr>
          <w:rStyle w:val="FootnoteReference"/>
          <w:rFonts w:ascii="Book Antiqua" w:hAnsi="Book Antiqua"/>
        </w:rPr>
        <w:footnoteRef/>
      </w:r>
      <w:r w:rsidRPr="00A9007D">
        <w:rPr>
          <w:rFonts w:ascii="Book Antiqua" w:hAnsi="Book Antiqua"/>
          <w:lang w:val="en-US"/>
        </w:rPr>
        <w:t xml:space="preserve"> </w:t>
      </w:r>
      <w:r w:rsidR="0058464B" w:rsidRPr="00A9007D">
        <w:rPr>
          <w:rFonts w:ascii="Book Antiqua" w:hAnsi="Book Antiqua"/>
          <w:lang w:val="en-US"/>
        </w:rPr>
        <w:tab/>
      </w:r>
      <w:r w:rsidR="002F0DAB" w:rsidRPr="00A9007D">
        <w:rPr>
          <w:rFonts w:ascii="Book Antiqua" w:hAnsi="Book Antiqua"/>
          <w:i/>
          <w:iCs/>
          <w:lang w:val="en-US"/>
        </w:rPr>
        <w:t>I</w:t>
      </w:r>
      <w:r w:rsidR="0058464B" w:rsidRPr="00A9007D">
        <w:rPr>
          <w:rFonts w:ascii="Book Antiqua" w:hAnsi="Book Antiqua"/>
          <w:i/>
          <w:iCs/>
          <w:lang w:val="en-US"/>
        </w:rPr>
        <w:t>d</w:t>
      </w:r>
      <w:r w:rsidR="0058464B" w:rsidRPr="00A9007D">
        <w:rPr>
          <w:rFonts w:ascii="Book Antiqua" w:hAnsi="Book Antiqua"/>
          <w:lang w:val="en-US"/>
        </w:rPr>
        <w:t xml:space="preserve">., </w:t>
      </w:r>
      <w:proofErr w:type="spellStart"/>
      <w:r w:rsidR="0058464B" w:rsidRPr="00A9007D">
        <w:rPr>
          <w:rFonts w:ascii="Book Antiqua" w:hAnsi="Book Antiqua"/>
          <w:lang w:val="en-US"/>
        </w:rPr>
        <w:t>pág</w:t>
      </w:r>
      <w:proofErr w:type="spellEnd"/>
      <w:r w:rsidR="0058464B" w:rsidRPr="00A9007D">
        <w:rPr>
          <w:rFonts w:ascii="Book Antiqua" w:hAnsi="Book Antiqua"/>
          <w:lang w:val="en-US"/>
        </w:rPr>
        <w:t xml:space="preserve">. </w:t>
      </w:r>
      <w:r w:rsidR="00AF6F98" w:rsidRPr="00A9007D">
        <w:rPr>
          <w:rFonts w:ascii="Book Antiqua" w:hAnsi="Book Antiqua"/>
          <w:lang w:val="en-US"/>
        </w:rPr>
        <w:t>2.</w:t>
      </w:r>
    </w:p>
  </w:footnote>
  <w:footnote w:id="8">
    <w:p w14:paraId="1ECDB322" w14:textId="5717C5BE" w:rsidR="0058464B" w:rsidRPr="008D638B" w:rsidRDefault="0058464B" w:rsidP="002F0DAB">
      <w:pPr>
        <w:pStyle w:val="FootnoteText"/>
        <w:ind w:left="720" w:hanging="720"/>
        <w:rPr>
          <w:rFonts w:ascii="Book Antiqua" w:hAnsi="Book Antiqua"/>
          <w:lang w:val="en-US"/>
        </w:rPr>
      </w:pPr>
      <w:r w:rsidRPr="008D638B">
        <w:rPr>
          <w:rStyle w:val="FootnoteReference"/>
          <w:rFonts w:ascii="Book Antiqua" w:hAnsi="Book Antiqua"/>
        </w:rPr>
        <w:footnoteRef/>
      </w:r>
      <w:r w:rsidRPr="00A9007D">
        <w:rPr>
          <w:rFonts w:ascii="Book Antiqua" w:hAnsi="Book Antiqua"/>
          <w:lang w:val="en-US"/>
        </w:rPr>
        <w:t xml:space="preserve"> </w:t>
      </w:r>
      <w:r w:rsidRPr="008D638B">
        <w:rPr>
          <w:rFonts w:ascii="Book Antiqua" w:hAnsi="Book Antiqua"/>
          <w:lang w:val="en-US"/>
        </w:rPr>
        <w:tab/>
      </w:r>
      <w:r w:rsidRPr="008D638B">
        <w:rPr>
          <w:rFonts w:ascii="Book Antiqua" w:hAnsi="Book Antiqua"/>
          <w:i/>
          <w:iCs/>
          <w:lang w:val="en-US"/>
        </w:rPr>
        <w:t>Id</w:t>
      </w:r>
      <w:r w:rsidRPr="008D638B">
        <w:rPr>
          <w:rFonts w:ascii="Book Antiqua" w:hAnsi="Book Antiqua"/>
          <w:lang w:val="en-US"/>
        </w:rPr>
        <w:t xml:space="preserve">., </w:t>
      </w:r>
      <w:proofErr w:type="spellStart"/>
      <w:r w:rsidRPr="008D638B">
        <w:rPr>
          <w:rFonts w:ascii="Book Antiqua" w:hAnsi="Book Antiqua"/>
          <w:lang w:val="en-US"/>
        </w:rPr>
        <w:t>pág</w:t>
      </w:r>
      <w:proofErr w:type="spellEnd"/>
      <w:r w:rsidRPr="008D638B">
        <w:rPr>
          <w:rFonts w:ascii="Book Antiqua" w:hAnsi="Book Antiqua"/>
          <w:lang w:val="en-US"/>
        </w:rPr>
        <w:t>. 3.</w:t>
      </w:r>
    </w:p>
  </w:footnote>
  <w:footnote w:id="9">
    <w:p w14:paraId="7A0F83F2" w14:textId="287EDD31" w:rsidR="0058464B" w:rsidRPr="00A9007D" w:rsidRDefault="0058464B" w:rsidP="002F0DAB">
      <w:pPr>
        <w:pStyle w:val="FootnoteText"/>
        <w:ind w:left="720" w:hanging="720"/>
        <w:rPr>
          <w:rFonts w:ascii="Book Antiqua" w:hAnsi="Book Antiqua"/>
        </w:rPr>
      </w:pPr>
      <w:r w:rsidRPr="008D638B">
        <w:rPr>
          <w:rStyle w:val="FootnoteReference"/>
          <w:rFonts w:ascii="Book Antiqua" w:hAnsi="Book Antiqua"/>
        </w:rPr>
        <w:footnoteRef/>
      </w:r>
      <w:r w:rsidRPr="008D638B">
        <w:rPr>
          <w:rFonts w:ascii="Book Antiqua" w:hAnsi="Book Antiqua"/>
        </w:rPr>
        <w:t xml:space="preserve"> </w:t>
      </w:r>
      <w:r w:rsidR="002F0DAB">
        <w:rPr>
          <w:rFonts w:ascii="Book Antiqua" w:hAnsi="Book Antiqua"/>
        </w:rPr>
        <w:tab/>
      </w:r>
      <w:r w:rsidR="002F0DAB" w:rsidRPr="002F0DAB">
        <w:rPr>
          <w:rFonts w:ascii="Book Antiqua" w:hAnsi="Book Antiqua"/>
          <w:i/>
          <w:iCs/>
        </w:rPr>
        <w:t>Id</w:t>
      </w:r>
      <w:r w:rsidR="002F0DAB">
        <w:rPr>
          <w:rFonts w:ascii="Book Antiqua" w:hAnsi="Book Antiqua"/>
        </w:rPr>
        <w:t xml:space="preserve">., pág. 2. </w:t>
      </w:r>
    </w:p>
  </w:footnote>
  <w:footnote w:id="10">
    <w:p w14:paraId="111D38A7" w14:textId="3D35A9C4" w:rsidR="0058464B" w:rsidRPr="00A9007D" w:rsidRDefault="0058464B" w:rsidP="002F0DAB">
      <w:pPr>
        <w:pStyle w:val="FootnoteText"/>
        <w:ind w:left="720" w:hanging="720"/>
        <w:rPr>
          <w:rFonts w:ascii="Book Antiqua" w:hAnsi="Book Antiqua"/>
        </w:rPr>
      </w:pPr>
      <w:r w:rsidRPr="008D638B">
        <w:rPr>
          <w:rStyle w:val="FootnoteReference"/>
          <w:rFonts w:ascii="Book Antiqua" w:hAnsi="Book Antiqua"/>
        </w:rPr>
        <w:footnoteRef/>
      </w:r>
      <w:r w:rsidRPr="008D638B">
        <w:rPr>
          <w:rFonts w:ascii="Book Antiqua" w:hAnsi="Book Antiqua"/>
        </w:rPr>
        <w:t xml:space="preserve"> </w:t>
      </w:r>
      <w:r w:rsidR="002F0DAB">
        <w:rPr>
          <w:rFonts w:ascii="Book Antiqua" w:hAnsi="Book Antiqua"/>
        </w:rPr>
        <w:tab/>
      </w:r>
      <w:r w:rsidR="002F0DAB" w:rsidRPr="002F0DAB">
        <w:rPr>
          <w:rFonts w:ascii="Book Antiqua" w:hAnsi="Book Antiqua"/>
          <w:i/>
          <w:iCs/>
        </w:rPr>
        <w:t>Id</w:t>
      </w:r>
      <w:r w:rsidR="002F0DAB">
        <w:rPr>
          <w:rFonts w:ascii="Book Antiqua" w:hAnsi="Book Antiqua"/>
        </w:rPr>
        <w:t xml:space="preserve">., págs 3 y 4. </w:t>
      </w:r>
    </w:p>
  </w:footnote>
  <w:footnote w:id="11">
    <w:p w14:paraId="6D10452E" w14:textId="71C7816B" w:rsidR="008D638B" w:rsidRPr="00A9007D" w:rsidRDefault="008D638B" w:rsidP="002F0DAB">
      <w:pPr>
        <w:pStyle w:val="FootnoteText"/>
        <w:ind w:left="720" w:hanging="720"/>
        <w:rPr>
          <w:rFonts w:ascii="Book Antiqua" w:hAnsi="Book Antiqua"/>
          <w:lang w:val="en-US"/>
        </w:rPr>
      </w:pPr>
      <w:r w:rsidRPr="00A9007D">
        <w:rPr>
          <w:rStyle w:val="FootnoteReference"/>
          <w:rFonts w:ascii="Book Antiqua" w:hAnsi="Book Antiqua"/>
        </w:rPr>
        <w:footnoteRef/>
      </w:r>
      <w:r w:rsidRPr="00A9007D">
        <w:rPr>
          <w:rFonts w:ascii="Book Antiqua" w:hAnsi="Book Antiqua"/>
          <w:lang w:val="en-US"/>
        </w:rPr>
        <w:t xml:space="preserve"> </w:t>
      </w:r>
      <w:r w:rsidR="00F073FC" w:rsidRPr="00A9007D">
        <w:rPr>
          <w:rFonts w:ascii="Book Antiqua" w:hAnsi="Book Antiqua"/>
          <w:lang w:val="en-US"/>
        </w:rPr>
        <w:tab/>
      </w:r>
      <w:r w:rsidR="00A9007D" w:rsidRPr="00A9007D">
        <w:rPr>
          <w:rFonts w:ascii="Book Antiqua" w:hAnsi="Book Antiqua"/>
          <w:i/>
          <w:iCs/>
          <w:lang w:val="en-US"/>
        </w:rPr>
        <w:t>Id</w:t>
      </w:r>
      <w:r w:rsidR="00A9007D" w:rsidRPr="00A9007D">
        <w:rPr>
          <w:rFonts w:ascii="Book Antiqua" w:hAnsi="Book Antiqua"/>
          <w:lang w:val="en-US"/>
        </w:rPr>
        <w:t xml:space="preserve">., </w:t>
      </w:r>
      <w:proofErr w:type="spellStart"/>
      <w:r w:rsidR="00A9007D" w:rsidRPr="00A9007D">
        <w:rPr>
          <w:rFonts w:ascii="Book Antiqua" w:hAnsi="Book Antiqua"/>
          <w:lang w:val="en-US"/>
        </w:rPr>
        <w:t>pág</w:t>
      </w:r>
      <w:proofErr w:type="spellEnd"/>
      <w:r w:rsidR="00A9007D" w:rsidRPr="00A9007D">
        <w:rPr>
          <w:rFonts w:ascii="Book Antiqua" w:hAnsi="Book Antiqua"/>
          <w:lang w:val="en-US"/>
        </w:rPr>
        <w:t xml:space="preserve">. </w:t>
      </w:r>
      <w:r w:rsidR="00E8335D">
        <w:rPr>
          <w:rFonts w:ascii="Book Antiqua" w:hAnsi="Book Antiqua"/>
          <w:lang w:val="en-US"/>
        </w:rPr>
        <w:t>3</w:t>
      </w:r>
      <w:r w:rsidR="00A9007D" w:rsidRPr="00A9007D">
        <w:rPr>
          <w:rFonts w:ascii="Book Antiqua" w:hAnsi="Book Antiqua"/>
          <w:lang w:val="en-US"/>
        </w:rPr>
        <w:t>.</w:t>
      </w:r>
    </w:p>
  </w:footnote>
  <w:footnote w:id="12">
    <w:p w14:paraId="50789883" w14:textId="43B81EAE" w:rsidR="008D638B" w:rsidRPr="00A9007D" w:rsidRDefault="008D638B">
      <w:pPr>
        <w:pStyle w:val="FootnoteText"/>
        <w:rPr>
          <w:rFonts w:ascii="Book Antiqua" w:hAnsi="Book Antiqua"/>
          <w:lang w:val="en-US"/>
        </w:rPr>
      </w:pPr>
      <w:r w:rsidRPr="00A9007D">
        <w:rPr>
          <w:rStyle w:val="FootnoteReference"/>
          <w:rFonts w:ascii="Book Antiqua" w:hAnsi="Book Antiqua"/>
        </w:rPr>
        <w:footnoteRef/>
      </w:r>
      <w:r w:rsidRPr="00A9007D">
        <w:rPr>
          <w:rFonts w:ascii="Book Antiqua" w:hAnsi="Book Antiqua"/>
          <w:lang w:val="en-US"/>
        </w:rPr>
        <w:t xml:space="preserve"> </w:t>
      </w:r>
      <w:r w:rsidRPr="00A9007D">
        <w:rPr>
          <w:rFonts w:ascii="Book Antiqua" w:hAnsi="Book Antiqua"/>
          <w:lang w:val="en-US"/>
        </w:rPr>
        <w:tab/>
      </w:r>
      <w:r w:rsidR="00A9689A" w:rsidRPr="00A9007D">
        <w:rPr>
          <w:rFonts w:ascii="Book Antiqua" w:hAnsi="Book Antiqua"/>
          <w:i/>
          <w:iCs/>
          <w:lang w:val="en-US"/>
        </w:rPr>
        <w:t>I</w:t>
      </w:r>
      <w:r w:rsidRPr="00A9007D">
        <w:rPr>
          <w:rFonts w:ascii="Book Antiqua" w:hAnsi="Book Antiqua"/>
          <w:i/>
          <w:iCs/>
          <w:lang w:val="en-US"/>
        </w:rPr>
        <w:t>d</w:t>
      </w:r>
      <w:r w:rsidRPr="00A9007D">
        <w:rPr>
          <w:rFonts w:ascii="Book Antiqua" w:hAnsi="Book Antiqua"/>
          <w:lang w:val="en-US"/>
        </w:rPr>
        <w:t xml:space="preserve">. </w:t>
      </w:r>
    </w:p>
  </w:footnote>
  <w:footnote w:id="13">
    <w:p w14:paraId="55F4697E" w14:textId="6E683416" w:rsidR="008D638B" w:rsidRPr="00A9007D" w:rsidRDefault="008D638B">
      <w:pPr>
        <w:pStyle w:val="FootnoteText"/>
        <w:rPr>
          <w:rFonts w:ascii="Book Antiqua" w:hAnsi="Book Antiqua"/>
          <w:lang w:val="en-US"/>
        </w:rPr>
      </w:pPr>
      <w:r w:rsidRPr="00A9007D">
        <w:rPr>
          <w:rStyle w:val="FootnoteReference"/>
          <w:rFonts w:ascii="Book Antiqua" w:hAnsi="Book Antiqua"/>
        </w:rPr>
        <w:footnoteRef/>
      </w:r>
      <w:r w:rsidRPr="00A9007D">
        <w:rPr>
          <w:rFonts w:ascii="Book Antiqua" w:hAnsi="Book Antiqua"/>
          <w:lang w:val="en-US"/>
        </w:rPr>
        <w:t xml:space="preserve"> </w:t>
      </w:r>
      <w:r w:rsidRPr="00A9007D">
        <w:rPr>
          <w:rFonts w:ascii="Book Antiqua" w:hAnsi="Book Antiqua"/>
          <w:lang w:val="en-US"/>
        </w:rPr>
        <w:tab/>
      </w:r>
      <w:r w:rsidR="00A9689A" w:rsidRPr="00A9007D">
        <w:rPr>
          <w:rFonts w:ascii="Book Antiqua" w:hAnsi="Book Antiqua"/>
          <w:i/>
          <w:iCs/>
          <w:lang w:val="en-US"/>
        </w:rPr>
        <w:t>I</w:t>
      </w:r>
      <w:r w:rsidRPr="00A9007D">
        <w:rPr>
          <w:rFonts w:ascii="Book Antiqua" w:hAnsi="Book Antiqua"/>
          <w:i/>
          <w:iCs/>
          <w:lang w:val="en-US"/>
        </w:rPr>
        <w:t>d</w:t>
      </w:r>
      <w:r w:rsidRPr="00A9007D">
        <w:rPr>
          <w:rFonts w:ascii="Book Antiqua" w:hAnsi="Book Antiqua"/>
          <w:lang w:val="en-US"/>
        </w:rPr>
        <w:t xml:space="preserve">., </w:t>
      </w:r>
      <w:proofErr w:type="spellStart"/>
      <w:r w:rsidRPr="00A9007D">
        <w:rPr>
          <w:rFonts w:ascii="Book Antiqua" w:hAnsi="Book Antiqua"/>
          <w:lang w:val="en-US"/>
        </w:rPr>
        <w:t>pág</w:t>
      </w:r>
      <w:proofErr w:type="spellEnd"/>
      <w:r w:rsidRPr="00A9007D">
        <w:rPr>
          <w:rFonts w:ascii="Book Antiqua" w:hAnsi="Book Antiqua"/>
          <w:lang w:val="en-US"/>
        </w:rPr>
        <w:t xml:space="preserve">. 2. </w:t>
      </w:r>
    </w:p>
  </w:footnote>
  <w:footnote w:id="14">
    <w:p w14:paraId="7F47E302" w14:textId="418EAD2D" w:rsidR="002F0DAB" w:rsidRPr="009859BB" w:rsidRDefault="002F0DAB">
      <w:pPr>
        <w:pStyle w:val="FootnoteText"/>
        <w:rPr>
          <w:rFonts w:ascii="Book Antiqua" w:hAnsi="Book Antiqua"/>
        </w:rPr>
      </w:pPr>
      <w:r w:rsidRPr="00A9007D">
        <w:rPr>
          <w:rStyle w:val="FootnoteReference"/>
          <w:rFonts w:ascii="Book Antiqua" w:hAnsi="Book Antiqua"/>
        </w:rPr>
        <w:footnoteRef/>
      </w:r>
      <w:r w:rsidRPr="009859BB">
        <w:rPr>
          <w:rFonts w:ascii="Book Antiqua" w:hAnsi="Book Antiqua"/>
        </w:rPr>
        <w:t xml:space="preserve"> </w:t>
      </w:r>
      <w:r w:rsidRPr="009859BB">
        <w:rPr>
          <w:rFonts w:ascii="Book Antiqua" w:hAnsi="Book Antiqua"/>
        </w:rPr>
        <w:tab/>
      </w:r>
      <w:r w:rsidR="00A9689A" w:rsidRPr="009859BB">
        <w:rPr>
          <w:rFonts w:ascii="Book Antiqua" w:hAnsi="Book Antiqua"/>
          <w:i/>
          <w:iCs/>
        </w:rPr>
        <w:t>I</w:t>
      </w:r>
      <w:r w:rsidRPr="009859BB">
        <w:rPr>
          <w:rFonts w:ascii="Book Antiqua" w:hAnsi="Book Antiqua"/>
          <w:i/>
          <w:iCs/>
        </w:rPr>
        <w:t>d</w:t>
      </w:r>
      <w:r w:rsidRPr="009859BB">
        <w:rPr>
          <w:rFonts w:ascii="Book Antiqua" w:hAnsi="Book Antiqua"/>
        </w:rPr>
        <w:t>., pág. 3.</w:t>
      </w:r>
    </w:p>
  </w:footnote>
  <w:footnote w:id="15">
    <w:p w14:paraId="0D3B6ABB" w14:textId="6381B970" w:rsidR="00A9689A" w:rsidRPr="00A9007D" w:rsidRDefault="00A9689A">
      <w:pPr>
        <w:pStyle w:val="FootnoteText"/>
        <w:rPr>
          <w:rFonts w:ascii="Book Antiqua" w:hAnsi="Book Antiqua"/>
        </w:rPr>
      </w:pPr>
      <w:r w:rsidRPr="00A9689A">
        <w:rPr>
          <w:rStyle w:val="FootnoteReference"/>
          <w:rFonts w:ascii="Book Antiqua" w:hAnsi="Book Antiqua"/>
        </w:rPr>
        <w:footnoteRef/>
      </w:r>
      <w:r w:rsidRPr="00A9689A">
        <w:rPr>
          <w:rFonts w:ascii="Book Antiqua" w:hAnsi="Book Antiqua"/>
        </w:rPr>
        <w:t xml:space="preserve"> </w:t>
      </w:r>
      <w:r w:rsidRPr="00A9007D">
        <w:rPr>
          <w:rFonts w:ascii="Book Antiqua" w:hAnsi="Book Antiqua"/>
        </w:rPr>
        <w:tab/>
      </w:r>
      <w:r w:rsidRPr="00A9007D">
        <w:rPr>
          <w:rFonts w:ascii="Book Antiqua" w:hAnsi="Book Antiqua"/>
          <w:i/>
          <w:iCs/>
        </w:rPr>
        <w:t>Id</w:t>
      </w:r>
      <w:r w:rsidRPr="00A9007D">
        <w:rPr>
          <w:rFonts w:ascii="Book Antiqua" w:hAnsi="Book Antiqua"/>
        </w:rPr>
        <w:t>., pág.  3.</w:t>
      </w:r>
    </w:p>
  </w:footnote>
  <w:footnote w:id="16">
    <w:p w14:paraId="15A58BA2" w14:textId="74DB0D52" w:rsidR="0025279F" w:rsidRPr="00A9007D" w:rsidRDefault="0025279F" w:rsidP="00AF6D03">
      <w:pPr>
        <w:pStyle w:val="FootnoteText"/>
        <w:ind w:left="720" w:hanging="720"/>
        <w:jc w:val="both"/>
        <w:rPr>
          <w:rFonts w:ascii="Book Antiqua" w:hAnsi="Book Antiqua"/>
        </w:rPr>
      </w:pPr>
      <w:r w:rsidRPr="00563ACD">
        <w:rPr>
          <w:rStyle w:val="FootnoteReference"/>
          <w:rFonts w:ascii="Book Antiqua" w:hAnsi="Book Antiqua"/>
        </w:rPr>
        <w:footnoteRef/>
      </w:r>
      <w:r w:rsidRPr="00563ACD">
        <w:rPr>
          <w:rFonts w:ascii="Book Antiqua" w:hAnsi="Book Antiqua"/>
        </w:rPr>
        <w:t xml:space="preserve"> </w:t>
      </w:r>
      <w:r w:rsidR="00AF6D03" w:rsidRPr="00563ACD">
        <w:rPr>
          <w:rFonts w:ascii="Book Antiqua" w:hAnsi="Book Antiqua"/>
        </w:rPr>
        <w:tab/>
        <w:t xml:space="preserve">Colegio de Farmacéuticos de Puerto Rico (CFPR), </w:t>
      </w:r>
      <w:r w:rsidR="00AF6D03" w:rsidRPr="00563ACD">
        <w:rPr>
          <w:rFonts w:ascii="Book Antiqua" w:eastAsia="Times New Roman" w:hAnsi="Book Antiqua" w:cs="Times New Roman"/>
          <w:i/>
          <w:iCs/>
          <w:kern w:val="0"/>
          <w:lang w:val="es-ES_tradnl"/>
          <w14:ligatures w14:val="none"/>
        </w:rPr>
        <w:t>Re: P de S 253 – Para derogar la Ley Núm. 48 de 18 de junio de 1959, según enmendada, conocida como “Ley de Narcóticos”; derogar la Ley Núm. 126 de 13 de julio de 1960, según enmendada, conocida como “Ley de Barbitúricos y Otras Drogas Peligrosas</w:t>
      </w:r>
      <w:r w:rsidR="00AF6D03" w:rsidRPr="00563ACD">
        <w:rPr>
          <w:rFonts w:ascii="Book Antiqua" w:eastAsia="Times New Roman" w:hAnsi="Book Antiqua" w:cs="Times New Roman"/>
          <w:kern w:val="0"/>
          <w:lang w:val="es-ES_tradnl"/>
          <w14:ligatures w14:val="none"/>
        </w:rPr>
        <w:t xml:space="preserve"> (febrero de 2025). </w:t>
      </w:r>
    </w:p>
  </w:footnote>
  <w:footnote w:id="17">
    <w:p w14:paraId="0C32BFFE" w14:textId="1F393E48" w:rsidR="00AF6D03" w:rsidRPr="00563ACD" w:rsidRDefault="00AF6D03" w:rsidP="00AF6D03">
      <w:pPr>
        <w:pStyle w:val="FootnoteText"/>
        <w:ind w:left="720" w:hanging="720"/>
        <w:jc w:val="both"/>
        <w:rPr>
          <w:rFonts w:ascii="Book Antiqua" w:hAnsi="Book Antiqua"/>
          <w:lang w:val="en-US"/>
        </w:rPr>
      </w:pPr>
      <w:r w:rsidRPr="00563ACD">
        <w:rPr>
          <w:rStyle w:val="FootnoteReference"/>
          <w:rFonts w:ascii="Book Antiqua" w:hAnsi="Book Antiqua"/>
        </w:rPr>
        <w:footnoteRef/>
      </w:r>
      <w:r w:rsidRPr="00563ACD">
        <w:rPr>
          <w:rFonts w:ascii="Book Antiqua" w:hAnsi="Book Antiqua"/>
        </w:rPr>
        <w:t xml:space="preserve"> </w:t>
      </w:r>
      <w:r w:rsidRPr="00563ACD">
        <w:rPr>
          <w:rFonts w:ascii="Book Antiqua" w:hAnsi="Book Antiqua"/>
        </w:rPr>
        <w:tab/>
      </w:r>
      <w:r w:rsidRPr="00563ACD">
        <w:rPr>
          <w:rFonts w:ascii="Book Antiqua" w:hAnsi="Book Antiqua"/>
          <w:i/>
          <w:iCs/>
        </w:rPr>
        <w:t>Id</w:t>
      </w:r>
      <w:r w:rsidRPr="00563ACD">
        <w:rPr>
          <w:rFonts w:ascii="Book Antiqua" w:hAnsi="Book Antiqua"/>
        </w:rPr>
        <w:t xml:space="preserve">., pág. 1. </w:t>
      </w:r>
    </w:p>
  </w:footnote>
  <w:footnote w:id="18">
    <w:p w14:paraId="2BA87A3C" w14:textId="36B84CC7" w:rsidR="00563ACD" w:rsidRPr="00563ACD" w:rsidRDefault="00563ACD">
      <w:pPr>
        <w:pStyle w:val="FootnoteText"/>
        <w:rPr>
          <w:lang w:val="en-US"/>
        </w:rPr>
      </w:pPr>
      <w:r w:rsidRPr="00563ACD">
        <w:rPr>
          <w:rStyle w:val="FootnoteReference"/>
          <w:rFonts w:ascii="Book Antiqua" w:hAnsi="Book Antiqua"/>
        </w:rPr>
        <w:footnoteRef/>
      </w:r>
      <w:r w:rsidRPr="00563ACD">
        <w:rPr>
          <w:rFonts w:ascii="Book Antiqua" w:hAnsi="Book Antiqua"/>
        </w:rPr>
        <w:t xml:space="preserve"> </w:t>
      </w:r>
      <w:r w:rsidRPr="00563ACD">
        <w:rPr>
          <w:rFonts w:ascii="Book Antiqua" w:hAnsi="Book Antiqua"/>
          <w:lang w:val="en-US"/>
        </w:rPr>
        <w:tab/>
      </w:r>
      <w:r w:rsidRPr="00563ACD">
        <w:rPr>
          <w:rFonts w:ascii="Book Antiqua" w:hAnsi="Book Antiqua"/>
          <w:i/>
          <w:iCs/>
          <w:lang w:val="en-US"/>
        </w:rPr>
        <w:t>Id</w:t>
      </w:r>
      <w:r w:rsidRPr="00563ACD">
        <w:rPr>
          <w:rFonts w:ascii="Book Antiqua" w:hAnsi="Book Antiqua"/>
          <w:lang w:val="en-US"/>
        </w:rPr>
        <w:t>.</w:t>
      </w:r>
      <w:r w:rsidRPr="00563ACD">
        <w:rPr>
          <w:rFonts w:ascii="Book Antiqua" w:hAnsi="Book Antiqua"/>
          <w:lang w:val="en-US"/>
        </w:rPr>
        <w:t>, pág.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04A12"/>
    <w:multiLevelType w:val="hybridMultilevel"/>
    <w:tmpl w:val="9D429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BB54F6D"/>
    <w:multiLevelType w:val="hybridMultilevel"/>
    <w:tmpl w:val="AB8A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316478"/>
    <w:multiLevelType w:val="hybridMultilevel"/>
    <w:tmpl w:val="520A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F33AE"/>
    <w:multiLevelType w:val="hybridMultilevel"/>
    <w:tmpl w:val="A9F4A1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EA4BA9"/>
    <w:multiLevelType w:val="hybridMultilevel"/>
    <w:tmpl w:val="AB8A4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A5E311C"/>
    <w:multiLevelType w:val="hybridMultilevel"/>
    <w:tmpl w:val="840A1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34961873">
    <w:abstractNumId w:val="2"/>
  </w:num>
  <w:num w:numId="2" w16cid:durableId="1796752155">
    <w:abstractNumId w:val="0"/>
  </w:num>
  <w:num w:numId="3" w16cid:durableId="570189916">
    <w:abstractNumId w:val="4"/>
  </w:num>
  <w:num w:numId="4" w16cid:durableId="1591893605">
    <w:abstractNumId w:val="5"/>
  </w:num>
  <w:num w:numId="5" w16cid:durableId="642931395">
    <w:abstractNumId w:val="1"/>
  </w:num>
  <w:num w:numId="6" w16cid:durableId="1187717805">
    <w:abstractNumId w:val="6"/>
  </w:num>
  <w:num w:numId="7" w16cid:durableId="1918056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53B4D"/>
    <w:rsid w:val="00054285"/>
    <w:rsid w:val="0006062E"/>
    <w:rsid w:val="00085059"/>
    <w:rsid w:val="00087E69"/>
    <w:rsid w:val="000B275E"/>
    <w:rsid w:val="000C0ECB"/>
    <w:rsid w:val="000C40F8"/>
    <w:rsid w:val="000C5343"/>
    <w:rsid w:val="000E0E1E"/>
    <w:rsid w:val="000F722F"/>
    <w:rsid w:val="00130008"/>
    <w:rsid w:val="00130571"/>
    <w:rsid w:val="0013170B"/>
    <w:rsid w:val="00136DE6"/>
    <w:rsid w:val="00150E5F"/>
    <w:rsid w:val="001578CC"/>
    <w:rsid w:val="00184D12"/>
    <w:rsid w:val="001B4EAF"/>
    <w:rsid w:val="001E04C3"/>
    <w:rsid w:val="001F12B4"/>
    <w:rsid w:val="001F5CAD"/>
    <w:rsid w:val="002328A0"/>
    <w:rsid w:val="00236740"/>
    <w:rsid w:val="0025279F"/>
    <w:rsid w:val="0025467A"/>
    <w:rsid w:val="002554B3"/>
    <w:rsid w:val="00297F4B"/>
    <w:rsid w:val="002A1EE5"/>
    <w:rsid w:val="002B5A25"/>
    <w:rsid w:val="002B79A3"/>
    <w:rsid w:val="002C0EE5"/>
    <w:rsid w:val="002D3140"/>
    <w:rsid w:val="002D578F"/>
    <w:rsid w:val="002E538B"/>
    <w:rsid w:val="002F0DAB"/>
    <w:rsid w:val="002F1DC8"/>
    <w:rsid w:val="002F45DB"/>
    <w:rsid w:val="00304481"/>
    <w:rsid w:val="00312586"/>
    <w:rsid w:val="00315069"/>
    <w:rsid w:val="0034567B"/>
    <w:rsid w:val="00352764"/>
    <w:rsid w:val="00394162"/>
    <w:rsid w:val="003C3F3D"/>
    <w:rsid w:val="003D177E"/>
    <w:rsid w:val="00440A59"/>
    <w:rsid w:val="00474F8C"/>
    <w:rsid w:val="004753A3"/>
    <w:rsid w:val="00485951"/>
    <w:rsid w:val="004A5647"/>
    <w:rsid w:val="004B2A29"/>
    <w:rsid w:val="004E0F19"/>
    <w:rsid w:val="00556A54"/>
    <w:rsid w:val="0056389E"/>
    <w:rsid w:val="00563ACD"/>
    <w:rsid w:val="0058464B"/>
    <w:rsid w:val="005940EB"/>
    <w:rsid w:val="00596031"/>
    <w:rsid w:val="005A4A92"/>
    <w:rsid w:val="005C38F7"/>
    <w:rsid w:val="005C6849"/>
    <w:rsid w:val="005E11C2"/>
    <w:rsid w:val="00647DED"/>
    <w:rsid w:val="0065251D"/>
    <w:rsid w:val="006548AD"/>
    <w:rsid w:val="00667221"/>
    <w:rsid w:val="006736F9"/>
    <w:rsid w:val="00675DC7"/>
    <w:rsid w:val="006823BA"/>
    <w:rsid w:val="00683501"/>
    <w:rsid w:val="00696447"/>
    <w:rsid w:val="006A0DE7"/>
    <w:rsid w:val="006F61CA"/>
    <w:rsid w:val="0073244C"/>
    <w:rsid w:val="007608D9"/>
    <w:rsid w:val="00770604"/>
    <w:rsid w:val="00797039"/>
    <w:rsid w:val="007A354B"/>
    <w:rsid w:val="007D239F"/>
    <w:rsid w:val="007E23F0"/>
    <w:rsid w:val="007F1076"/>
    <w:rsid w:val="008361EB"/>
    <w:rsid w:val="00836295"/>
    <w:rsid w:val="00860EC4"/>
    <w:rsid w:val="0087730C"/>
    <w:rsid w:val="008A4272"/>
    <w:rsid w:val="008B6A91"/>
    <w:rsid w:val="008B6B9B"/>
    <w:rsid w:val="008C646F"/>
    <w:rsid w:val="008D638B"/>
    <w:rsid w:val="00901870"/>
    <w:rsid w:val="0092618B"/>
    <w:rsid w:val="00964D77"/>
    <w:rsid w:val="009722AA"/>
    <w:rsid w:val="009735EC"/>
    <w:rsid w:val="00974095"/>
    <w:rsid w:val="009859BB"/>
    <w:rsid w:val="00991866"/>
    <w:rsid w:val="009C5642"/>
    <w:rsid w:val="009E7AE0"/>
    <w:rsid w:val="00A350FB"/>
    <w:rsid w:val="00A4054D"/>
    <w:rsid w:val="00A4772C"/>
    <w:rsid w:val="00A54AF0"/>
    <w:rsid w:val="00A5783E"/>
    <w:rsid w:val="00A7082D"/>
    <w:rsid w:val="00A71861"/>
    <w:rsid w:val="00A9007D"/>
    <w:rsid w:val="00A931F0"/>
    <w:rsid w:val="00A9689A"/>
    <w:rsid w:val="00AB217A"/>
    <w:rsid w:val="00AC29DB"/>
    <w:rsid w:val="00AC2BDF"/>
    <w:rsid w:val="00AD79E9"/>
    <w:rsid w:val="00AE19ED"/>
    <w:rsid w:val="00AF1158"/>
    <w:rsid w:val="00AF6D03"/>
    <w:rsid w:val="00AF6F98"/>
    <w:rsid w:val="00B07592"/>
    <w:rsid w:val="00B71591"/>
    <w:rsid w:val="00BA2659"/>
    <w:rsid w:val="00C1455B"/>
    <w:rsid w:val="00C65D5E"/>
    <w:rsid w:val="00CA12CB"/>
    <w:rsid w:val="00CA3D5D"/>
    <w:rsid w:val="00CA6283"/>
    <w:rsid w:val="00CE4CF6"/>
    <w:rsid w:val="00CE4E21"/>
    <w:rsid w:val="00D11501"/>
    <w:rsid w:val="00D15B4B"/>
    <w:rsid w:val="00D36E37"/>
    <w:rsid w:val="00D65B74"/>
    <w:rsid w:val="00D8144B"/>
    <w:rsid w:val="00D91FDB"/>
    <w:rsid w:val="00DF6CF3"/>
    <w:rsid w:val="00E31E91"/>
    <w:rsid w:val="00E449EC"/>
    <w:rsid w:val="00E80B50"/>
    <w:rsid w:val="00E8335D"/>
    <w:rsid w:val="00E92C53"/>
    <w:rsid w:val="00E97F9B"/>
    <w:rsid w:val="00EC7ED8"/>
    <w:rsid w:val="00EE614E"/>
    <w:rsid w:val="00F00432"/>
    <w:rsid w:val="00F06CD1"/>
    <w:rsid w:val="00F073FC"/>
    <w:rsid w:val="00F36C67"/>
    <w:rsid w:val="00F5512F"/>
    <w:rsid w:val="00F6697F"/>
    <w:rsid w:val="00F726CA"/>
    <w:rsid w:val="00F751C1"/>
    <w:rsid w:val="00FA52FD"/>
    <w:rsid w:val="00FA73BD"/>
    <w:rsid w:val="00FB5487"/>
    <w:rsid w:val="00FD5C57"/>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paragraph" w:styleId="BodyText">
    <w:name w:val="Body Text"/>
    <w:basedOn w:val="Normal"/>
    <w:link w:val="BodyTextChar"/>
    <w:rsid w:val="00D65B74"/>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D65B74"/>
    <w:rPr>
      <w:rFonts w:ascii="Times New Roman" w:eastAsia="Times New Roman" w:hAnsi="Times New Roman" w:cs="Times New Roman"/>
      <w:kern w:val="0"/>
      <w:lang w:val="es-PR"/>
      <w14:ligatures w14:val="none"/>
    </w:rPr>
  </w:style>
  <w:style w:type="character" w:styleId="PageNumber">
    <w:name w:val="page number"/>
    <w:basedOn w:val="DefaultParagraphFont"/>
    <w:uiPriority w:val="99"/>
    <w:semiHidden/>
    <w:unhideWhenUsed/>
    <w:rsid w:val="00394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1539</Words>
  <Characters>8774</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Karla De León Hernández</cp:lastModifiedBy>
  <cp:revision>2</cp:revision>
  <cp:lastPrinted>2025-06-17T13:22:00Z</cp:lastPrinted>
  <dcterms:created xsi:type="dcterms:W3CDTF">2025-06-20T17:54:00Z</dcterms:created>
  <dcterms:modified xsi:type="dcterms:W3CDTF">2025-06-20T17:54:00Z</dcterms:modified>
</cp:coreProperties>
</file>