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827A2" w14:textId="77777777" w:rsidR="00CF5B63" w:rsidRPr="00CF5B63" w:rsidRDefault="00CF5B63" w:rsidP="00CF5B63">
      <w:pPr>
        <w:jc w:val="center"/>
        <w:rPr>
          <w:rFonts w:ascii="Book Antiqua" w:hAnsi="Book Antiqua"/>
          <w:b/>
          <w:bCs/>
          <w:szCs w:val="24"/>
        </w:rPr>
      </w:pPr>
      <w:bookmarkStart w:id="0" w:name="_Hlk138253982"/>
      <w:r w:rsidRPr="00CF5B63">
        <w:rPr>
          <w:rFonts w:ascii="Book Antiqua" w:hAnsi="Book Antiqua"/>
          <w:b/>
          <w:bCs/>
          <w:szCs w:val="24"/>
        </w:rPr>
        <w:t>(TEXTO DE APROBACIÓN FINAL POR LA CÁMARA)</w:t>
      </w:r>
      <w:r w:rsidRPr="00CF5B63">
        <w:rPr>
          <w:rFonts w:ascii="Book Antiqua" w:hAnsi="Book Antiqua"/>
          <w:szCs w:val="24"/>
          <w:lang w:val="es-ES"/>
        </w:rPr>
        <w:fldChar w:fldCharType="begin"/>
      </w:r>
      <w:r w:rsidRPr="00CF5B63">
        <w:rPr>
          <w:rFonts w:ascii="Book Antiqua" w:hAnsi="Book Antiqua"/>
          <w:b/>
          <w:bCs/>
          <w:szCs w:val="24"/>
        </w:rPr>
        <w:instrText xml:space="preserve">PRIVATE </w:instrText>
      </w:r>
      <w:r w:rsidRPr="00CF5B63">
        <w:rPr>
          <w:rFonts w:ascii="Book Antiqua" w:hAnsi="Book Antiqua"/>
          <w:szCs w:val="24"/>
          <w:lang w:val="es-ES"/>
        </w:rPr>
        <w:fldChar w:fldCharType="end"/>
      </w:r>
    </w:p>
    <w:p w14:paraId="11C54314" w14:textId="77777777" w:rsidR="00CF5B63" w:rsidRPr="00CF5B63" w:rsidRDefault="00CF5B63" w:rsidP="00CF5B63">
      <w:pPr>
        <w:jc w:val="center"/>
        <w:rPr>
          <w:rFonts w:ascii="Book Antiqua" w:hAnsi="Book Antiqua"/>
          <w:b/>
          <w:bCs/>
          <w:szCs w:val="24"/>
        </w:rPr>
      </w:pPr>
      <w:r w:rsidRPr="00CF5B63">
        <w:rPr>
          <w:rFonts w:ascii="Book Antiqua" w:hAnsi="Book Antiqua"/>
          <w:b/>
          <w:bCs/>
          <w:szCs w:val="24"/>
        </w:rPr>
        <w:t>(13 DE MARZO DE 2025)</w:t>
      </w:r>
    </w:p>
    <w:p w14:paraId="57AB05D8" w14:textId="7E016959" w:rsidR="00CF5B63" w:rsidRPr="00CF5B63" w:rsidRDefault="00CF5B63" w:rsidP="00CF5B63">
      <w:pPr>
        <w:jc w:val="center"/>
        <w:rPr>
          <w:rFonts w:ascii="Book Antiqua" w:hAnsi="Book Antiqua"/>
          <w:b/>
          <w:bCs/>
          <w:sz w:val="28"/>
          <w:lang w:val="es-ES_tradnl"/>
        </w:rPr>
      </w:pPr>
      <w:r w:rsidRPr="00CF5B63">
        <w:rPr>
          <w:rFonts w:ascii="Book Antiqua" w:hAnsi="Book Antiqua"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2F90CAD" wp14:editId="44C6143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47271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5D0E0FD" w14:textId="1DD4565B" w:rsidR="008F251D" w:rsidRPr="007C204D" w:rsidRDefault="005C6C4D" w:rsidP="008F251D">
      <w:pPr>
        <w:jc w:val="center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>GOBIERNO DE PUERTO RICO</w:t>
      </w:r>
    </w:p>
    <w:p w14:paraId="39540A46" w14:textId="77777777" w:rsidR="00CB3C3E" w:rsidRPr="007C204D" w:rsidRDefault="00CB3C3E" w:rsidP="00624AB1">
      <w:pPr>
        <w:jc w:val="center"/>
        <w:rPr>
          <w:rFonts w:ascii="Book Antiqua" w:hAnsi="Book Antiqua"/>
        </w:rPr>
      </w:pPr>
    </w:p>
    <w:p w14:paraId="681AFA64" w14:textId="77777777" w:rsidR="00CB3C3E" w:rsidRPr="00907F88" w:rsidRDefault="005C6C4D" w:rsidP="00121E6C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>20m</w:t>
      </w:r>
      <w:r w:rsidR="007B4E15" w:rsidRPr="00907F88">
        <w:rPr>
          <w:rFonts w:ascii="Book Antiqua" w:hAnsi="Book Antiqua"/>
        </w:rPr>
        <w:t>a</w:t>
      </w:r>
      <w:r w:rsidR="00CB3C3E" w:rsidRPr="00907F88">
        <w:rPr>
          <w:rFonts w:ascii="Book Antiqua" w:hAnsi="Book Antiqua"/>
        </w:rPr>
        <w:t>.</w:t>
      </w:r>
      <w:r w:rsidR="0044234B" w:rsidRPr="00907F88">
        <w:rPr>
          <w:rFonts w:ascii="Book Antiqua" w:hAnsi="Book Antiqua"/>
        </w:rPr>
        <w:t xml:space="preserve"> </w:t>
      </w:r>
      <w:r w:rsidR="00CB3C3E" w:rsidRPr="00907F88">
        <w:rPr>
          <w:rFonts w:ascii="Book Antiqua" w:hAnsi="Book Antiqua"/>
        </w:rPr>
        <w:t>Asamblea</w:t>
      </w:r>
      <w:r w:rsidR="00CB3C3E" w:rsidRPr="00907F88">
        <w:rPr>
          <w:rFonts w:ascii="Book Antiqua" w:hAnsi="Book Antiqua"/>
        </w:rPr>
        <w:tab/>
      </w:r>
      <w:r w:rsidR="0044234B" w:rsidRPr="00907F88">
        <w:rPr>
          <w:rFonts w:ascii="Book Antiqua" w:hAnsi="Book Antiqua"/>
        </w:rPr>
        <w:t xml:space="preserve">                                                                              </w:t>
      </w:r>
      <w:r w:rsidR="009B160C" w:rsidRPr="00907F88">
        <w:rPr>
          <w:rFonts w:ascii="Book Antiqua" w:hAnsi="Book Antiqua"/>
        </w:rPr>
        <w:t xml:space="preserve">     </w:t>
      </w:r>
      <w:r w:rsidR="0044234B" w:rsidRPr="00907F88">
        <w:rPr>
          <w:rFonts w:ascii="Book Antiqua" w:hAnsi="Book Antiqua"/>
        </w:rPr>
        <w:t xml:space="preserve">    </w:t>
      </w:r>
      <w:r w:rsidR="00121E6C" w:rsidRPr="00907F88">
        <w:rPr>
          <w:rFonts w:ascii="Book Antiqua" w:hAnsi="Book Antiqua"/>
        </w:rPr>
        <w:t xml:space="preserve">        </w:t>
      </w:r>
      <w:r>
        <w:rPr>
          <w:rFonts w:ascii="Book Antiqua" w:hAnsi="Book Antiqua"/>
        </w:rPr>
        <w:t>1ra.</w:t>
      </w:r>
      <w:r w:rsidR="00955B13">
        <w:rPr>
          <w:rFonts w:ascii="Book Antiqua" w:hAnsi="Book Antiqua"/>
        </w:rPr>
        <w:t xml:space="preserve"> </w:t>
      </w:r>
      <w:r w:rsidR="00CB3C3E" w:rsidRPr="00907F88">
        <w:rPr>
          <w:rFonts w:ascii="Book Antiqua" w:hAnsi="Book Antiqua"/>
        </w:rPr>
        <w:t>Sesión</w:t>
      </w:r>
    </w:p>
    <w:p w14:paraId="6E04BBCC" w14:textId="77777777" w:rsidR="00CB3C3E" w:rsidRPr="00907F88" w:rsidRDefault="0044234B" w:rsidP="00121E6C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 w:rsidRPr="00907F88">
        <w:rPr>
          <w:rFonts w:ascii="Book Antiqua" w:hAnsi="Book Antiqua"/>
        </w:rPr>
        <w:t xml:space="preserve">        </w:t>
      </w:r>
      <w:r w:rsidR="008C3015" w:rsidRPr="00907F88">
        <w:rPr>
          <w:rFonts w:ascii="Book Antiqua" w:hAnsi="Book Antiqua"/>
        </w:rPr>
        <w:t xml:space="preserve"> </w:t>
      </w:r>
      <w:r w:rsidR="007B4E15" w:rsidRPr="00907F88">
        <w:rPr>
          <w:rFonts w:ascii="Book Antiqua" w:hAnsi="Book Antiqua"/>
        </w:rPr>
        <w:t xml:space="preserve">  </w:t>
      </w:r>
      <w:r w:rsidR="00CB3C3E" w:rsidRPr="00907F88">
        <w:rPr>
          <w:rFonts w:ascii="Book Antiqua" w:hAnsi="Book Antiqua"/>
        </w:rPr>
        <w:t>Legislativa</w:t>
      </w:r>
      <w:r w:rsidR="00CB3C3E" w:rsidRPr="00907F88">
        <w:rPr>
          <w:rFonts w:ascii="Book Antiqua" w:hAnsi="Book Antiqua"/>
        </w:rPr>
        <w:tab/>
      </w:r>
      <w:r w:rsidR="00CB3C3E" w:rsidRPr="00907F88">
        <w:rPr>
          <w:rFonts w:ascii="Book Antiqua" w:hAnsi="Book Antiqua"/>
        </w:rPr>
        <w:tab/>
      </w:r>
      <w:r w:rsidRPr="00907F88">
        <w:rPr>
          <w:rFonts w:ascii="Book Antiqua" w:hAnsi="Book Antiqua"/>
        </w:rPr>
        <w:t xml:space="preserve">                                                                           </w:t>
      </w:r>
      <w:r w:rsidR="009B160C" w:rsidRPr="00907F88">
        <w:rPr>
          <w:rFonts w:ascii="Book Antiqua" w:hAnsi="Book Antiqua"/>
        </w:rPr>
        <w:t xml:space="preserve">    </w:t>
      </w:r>
      <w:r w:rsidRPr="00907F88">
        <w:rPr>
          <w:rFonts w:ascii="Book Antiqua" w:hAnsi="Book Antiqua"/>
        </w:rPr>
        <w:t xml:space="preserve">   </w:t>
      </w:r>
      <w:r w:rsidR="008C3015" w:rsidRPr="00907F88">
        <w:rPr>
          <w:rFonts w:ascii="Book Antiqua" w:hAnsi="Book Antiqua"/>
        </w:rPr>
        <w:t xml:space="preserve">        </w:t>
      </w:r>
      <w:r w:rsidR="00CB3C3E" w:rsidRPr="00907F88">
        <w:rPr>
          <w:rFonts w:ascii="Book Antiqua" w:hAnsi="Book Antiqua"/>
        </w:rPr>
        <w:t>Ordinaria</w:t>
      </w:r>
    </w:p>
    <w:p w14:paraId="46A56969" w14:textId="77777777" w:rsidR="00CB3C3E" w:rsidRPr="00907F88" w:rsidRDefault="009B160C" w:rsidP="00624AB1">
      <w:pPr>
        <w:rPr>
          <w:rFonts w:ascii="Book Antiqua" w:hAnsi="Book Antiqua"/>
        </w:rPr>
      </w:pPr>
      <w:r w:rsidRPr="00907F88">
        <w:rPr>
          <w:rFonts w:ascii="Book Antiqua" w:hAnsi="Book Antiqua"/>
        </w:rPr>
        <w:t xml:space="preserve">  </w:t>
      </w:r>
    </w:p>
    <w:p w14:paraId="52C9B4FD" w14:textId="77777777" w:rsidR="00CB3C3E" w:rsidRPr="00907F88" w:rsidRDefault="00CB3C3E" w:rsidP="00624AB1">
      <w:pPr>
        <w:jc w:val="center"/>
        <w:rPr>
          <w:rFonts w:ascii="Book Antiqua" w:hAnsi="Book Antiqua"/>
          <w:b/>
          <w:sz w:val="36"/>
        </w:rPr>
      </w:pPr>
      <w:r w:rsidRPr="00907F88">
        <w:rPr>
          <w:rFonts w:ascii="Book Antiqua" w:hAnsi="Book Antiqua"/>
          <w:b/>
          <w:sz w:val="36"/>
        </w:rPr>
        <w:t>C</w:t>
      </w:r>
      <w:r w:rsidR="003E6C53" w:rsidRPr="00907F88">
        <w:rPr>
          <w:rFonts w:ascii="Book Antiqua" w:hAnsi="Book Antiqua"/>
          <w:b/>
          <w:sz w:val="36"/>
        </w:rPr>
        <w:t>Á</w:t>
      </w:r>
      <w:r w:rsidRPr="00907F88">
        <w:rPr>
          <w:rFonts w:ascii="Book Antiqua" w:hAnsi="Book Antiqua"/>
          <w:b/>
          <w:sz w:val="36"/>
        </w:rPr>
        <w:t>MARA DE REPRESENTANTES</w:t>
      </w:r>
    </w:p>
    <w:p w14:paraId="1F313191" w14:textId="77777777" w:rsidR="0044234B" w:rsidRPr="00907F88" w:rsidRDefault="0044234B" w:rsidP="00624AB1">
      <w:pPr>
        <w:jc w:val="center"/>
        <w:rPr>
          <w:rFonts w:ascii="Book Antiqua" w:hAnsi="Book Antiqua"/>
          <w:szCs w:val="24"/>
        </w:rPr>
      </w:pPr>
    </w:p>
    <w:p w14:paraId="3D47517B" w14:textId="77777777" w:rsidR="00E70840" w:rsidRPr="00907F88" w:rsidRDefault="00CB3C3E" w:rsidP="00624AB1">
      <w:pPr>
        <w:jc w:val="center"/>
        <w:rPr>
          <w:rFonts w:ascii="Book Antiqua" w:hAnsi="Book Antiqua"/>
          <w:b/>
          <w:sz w:val="52"/>
          <w:szCs w:val="52"/>
        </w:rPr>
      </w:pPr>
      <w:r w:rsidRPr="00907F88">
        <w:rPr>
          <w:rFonts w:ascii="Book Antiqua" w:hAnsi="Book Antiqua"/>
          <w:b/>
          <w:sz w:val="52"/>
          <w:szCs w:val="52"/>
        </w:rPr>
        <w:t>P. de la C.</w:t>
      </w:r>
      <w:r w:rsidR="001013B8" w:rsidRPr="00907F88">
        <w:rPr>
          <w:rFonts w:ascii="Book Antiqua" w:hAnsi="Book Antiqua"/>
          <w:b/>
          <w:sz w:val="52"/>
          <w:szCs w:val="52"/>
        </w:rPr>
        <w:t xml:space="preserve"> </w:t>
      </w:r>
      <w:r w:rsidR="007646A4">
        <w:rPr>
          <w:rFonts w:ascii="Book Antiqua" w:hAnsi="Book Antiqua"/>
          <w:b/>
          <w:sz w:val="52"/>
          <w:szCs w:val="52"/>
        </w:rPr>
        <w:t>245</w:t>
      </w:r>
    </w:p>
    <w:p w14:paraId="740DB24C" w14:textId="77777777" w:rsidR="00E70840" w:rsidRPr="00907F88" w:rsidRDefault="00E70840" w:rsidP="00624AB1">
      <w:pPr>
        <w:jc w:val="center"/>
        <w:rPr>
          <w:rFonts w:ascii="Book Antiqua" w:hAnsi="Book Antiqua"/>
        </w:rPr>
      </w:pPr>
    </w:p>
    <w:p w14:paraId="4C7E0CEA" w14:textId="77777777" w:rsidR="001D5242" w:rsidRPr="00907F88" w:rsidRDefault="007646A4" w:rsidP="001D5242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15</w:t>
      </w:r>
      <w:r w:rsidR="005C6C4D">
        <w:rPr>
          <w:rFonts w:ascii="Book Antiqua" w:hAnsi="Book Antiqua"/>
        </w:rPr>
        <w:t xml:space="preserve"> DE ENERO DE 2025</w:t>
      </w:r>
    </w:p>
    <w:p w14:paraId="1AC237DD" w14:textId="77777777" w:rsidR="001D5242" w:rsidRPr="00907F88" w:rsidRDefault="001D5242" w:rsidP="001D5242">
      <w:pPr>
        <w:jc w:val="center"/>
        <w:rPr>
          <w:rFonts w:ascii="Book Antiqua" w:hAnsi="Book Antiqua"/>
        </w:rPr>
      </w:pPr>
    </w:p>
    <w:p w14:paraId="27E5DE5F" w14:textId="77777777" w:rsidR="001D5242" w:rsidRPr="007C204D" w:rsidRDefault="0020658B" w:rsidP="001D5242">
      <w:pPr>
        <w:jc w:val="center"/>
        <w:rPr>
          <w:rFonts w:ascii="Book Antiqua" w:hAnsi="Book Antiqua"/>
          <w:i/>
        </w:rPr>
      </w:pPr>
      <w:r w:rsidRPr="00907F88">
        <w:rPr>
          <w:rFonts w:ascii="Book Antiqua" w:hAnsi="Book Antiqua"/>
        </w:rPr>
        <w:t xml:space="preserve">Presentado por </w:t>
      </w:r>
      <w:r w:rsidR="004F4D64" w:rsidRPr="00907F88">
        <w:rPr>
          <w:rFonts w:ascii="Book Antiqua" w:hAnsi="Book Antiqua"/>
        </w:rPr>
        <w:t>el</w:t>
      </w:r>
      <w:r w:rsidR="001D5242" w:rsidRPr="00907F88">
        <w:rPr>
          <w:rFonts w:ascii="Book Antiqua" w:hAnsi="Book Antiqua"/>
        </w:rPr>
        <w:t xml:space="preserve"> representante </w:t>
      </w:r>
      <w:r w:rsidR="004F4D64" w:rsidRPr="00907F88">
        <w:rPr>
          <w:rFonts w:ascii="Book Antiqua" w:hAnsi="Book Antiqua"/>
          <w:i/>
        </w:rPr>
        <w:t>Pérez Cordero</w:t>
      </w:r>
      <w:r w:rsidRPr="007C204D">
        <w:rPr>
          <w:rFonts w:ascii="Book Antiqua" w:hAnsi="Book Antiqua"/>
          <w:i/>
        </w:rPr>
        <w:t xml:space="preserve"> </w:t>
      </w:r>
    </w:p>
    <w:p w14:paraId="3890A81F" w14:textId="77777777" w:rsidR="001D5242" w:rsidRPr="007C204D" w:rsidRDefault="001D5242" w:rsidP="001D5242">
      <w:pPr>
        <w:jc w:val="center"/>
        <w:rPr>
          <w:rFonts w:ascii="Book Antiqua" w:hAnsi="Book Antiqua"/>
          <w:i/>
        </w:rPr>
      </w:pPr>
    </w:p>
    <w:p w14:paraId="208E7D4A" w14:textId="77777777" w:rsidR="000D02EF" w:rsidRPr="007C204D" w:rsidRDefault="000D02EF" w:rsidP="00C67C3A">
      <w:pPr>
        <w:jc w:val="center"/>
        <w:rPr>
          <w:rFonts w:ascii="Book Antiqua" w:hAnsi="Book Antiqua"/>
        </w:rPr>
      </w:pPr>
      <w:r w:rsidRPr="007C204D">
        <w:rPr>
          <w:rFonts w:ascii="Book Antiqua" w:hAnsi="Book Antiqua"/>
        </w:rPr>
        <w:t xml:space="preserve">Referido a </w:t>
      </w:r>
      <w:r w:rsidR="00907F88">
        <w:rPr>
          <w:rFonts w:ascii="Book Antiqua" w:hAnsi="Book Antiqua"/>
        </w:rPr>
        <w:t>la Comisión de</w:t>
      </w:r>
      <w:r w:rsidR="00417A49">
        <w:rPr>
          <w:rFonts w:ascii="Book Antiqua" w:hAnsi="Book Antiqua"/>
        </w:rPr>
        <w:t xml:space="preserve"> Gobierno</w:t>
      </w:r>
    </w:p>
    <w:p w14:paraId="15693310" w14:textId="77777777" w:rsidR="00CB3C3E" w:rsidRPr="007C204D" w:rsidRDefault="00CB3C3E" w:rsidP="00624AB1">
      <w:pPr>
        <w:jc w:val="center"/>
        <w:rPr>
          <w:rFonts w:ascii="Book Antiqua" w:hAnsi="Book Antiqua"/>
        </w:rPr>
      </w:pPr>
    </w:p>
    <w:p w14:paraId="7FD8A29C" w14:textId="77777777" w:rsidR="00CB3C3E" w:rsidRPr="007C204D" w:rsidRDefault="00CB3C3E" w:rsidP="00624AB1">
      <w:pPr>
        <w:jc w:val="center"/>
        <w:rPr>
          <w:rFonts w:ascii="Book Antiqua" w:hAnsi="Book Antiqua"/>
          <w:b/>
          <w:sz w:val="28"/>
        </w:rPr>
      </w:pPr>
      <w:r w:rsidRPr="007C204D">
        <w:rPr>
          <w:rFonts w:ascii="Book Antiqua" w:hAnsi="Book Antiqua"/>
          <w:b/>
          <w:sz w:val="28"/>
        </w:rPr>
        <w:t>LEY</w:t>
      </w:r>
    </w:p>
    <w:p w14:paraId="34E3248C" w14:textId="77777777" w:rsidR="00CB3C3E" w:rsidRPr="007C204D" w:rsidRDefault="00CB3C3E" w:rsidP="00624AB1">
      <w:pPr>
        <w:jc w:val="both"/>
        <w:rPr>
          <w:rFonts w:ascii="Book Antiqua" w:hAnsi="Book Antiqua"/>
        </w:rPr>
      </w:pPr>
    </w:p>
    <w:p w14:paraId="08FDDBAA" w14:textId="79E215AF" w:rsidR="004F4D64" w:rsidRPr="007C204D" w:rsidRDefault="003333F4" w:rsidP="00981DD2">
      <w:pPr>
        <w:ind w:left="567" w:hanging="567"/>
        <w:jc w:val="both"/>
        <w:rPr>
          <w:rFonts w:ascii="Book Antiqua" w:hAnsi="Book Antiqua"/>
        </w:rPr>
      </w:pPr>
      <w:r w:rsidRPr="007C204D">
        <w:rPr>
          <w:rFonts w:ascii="Book Antiqua" w:hAnsi="Book Antiqua"/>
        </w:rPr>
        <w:t xml:space="preserve">Para </w:t>
      </w:r>
      <w:bookmarkStart w:id="1" w:name="_Hlk522459836"/>
      <w:r w:rsidR="004F4D64" w:rsidRPr="007C204D">
        <w:rPr>
          <w:rFonts w:ascii="Book Antiqua" w:hAnsi="Book Antiqua"/>
        </w:rPr>
        <w:t>enmendar el Artículo 37 del Código Político de 1902, según enmendado, a fin de disponer que las leyes aprobadas y firmadas por el Gobernador de Puerto Rico</w:t>
      </w:r>
      <w:r w:rsidR="007C204D" w:rsidRPr="007C204D">
        <w:rPr>
          <w:rFonts w:ascii="Book Antiqua" w:hAnsi="Book Antiqua"/>
        </w:rPr>
        <w:t xml:space="preserve"> se enumeren de forma tal </w:t>
      </w:r>
      <w:r w:rsidR="007C204D" w:rsidRPr="0008661B">
        <w:rPr>
          <w:rFonts w:ascii="Book Antiqua" w:hAnsi="Book Antiqua"/>
        </w:rPr>
        <w:t>que contengan los dígitos correspondientes al número de la Ley aprobada seguido por un gui</w:t>
      </w:r>
      <w:r w:rsidR="00D46685" w:rsidRPr="0008661B">
        <w:rPr>
          <w:rFonts w:ascii="Book Antiqua" w:hAnsi="Book Antiqua"/>
        </w:rPr>
        <w:t>o</w:t>
      </w:r>
      <w:r w:rsidR="007C204D" w:rsidRPr="0008661B">
        <w:rPr>
          <w:rFonts w:ascii="Book Antiqua" w:hAnsi="Book Antiqua"/>
        </w:rPr>
        <w:t>n y los cuatro (4) dígitos que indiquen el año en que fue aprobada, el número respectivo</w:t>
      </w:r>
      <w:r w:rsidR="007C204D">
        <w:rPr>
          <w:rFonts w:ascii="Book Antiqua" w:hAnsi="Book Antiqua"/>
        </w:rPr>
        <w:t xml:space="preserve"> a la ley será de forma consecutiva para cada año natural</w:t>
      </w:r>
      <w:r w:rsidR="00DA5232">
        <w:rPr>
          <w:rFonts w:ascii="Book Antiqua" w:hAnsi="Book Antiqua"/>
        </w:rPr>
        <w:t xml:space="preserve"> y disponer que toda referencia a una ley citada de conformidad con este Artículo se entiende que se refiere a la ley enmendada al momento de citarla, sin necesidad de incluir en la cita la frase “según enmendada”. </w:t>
      </w:r>
      <w:r w:rsidR="007C204D">
        <w:rPr>
          <w:rFonts w:ascii="Book Antiqua" w:hAnsi="Book Antiqua"/>
        </w:rPr>
        <w:t xml:space="preserve"> </w:t>
      </w:r>
    </w:p>
    <w:bookmarkEnd w:id="1"/>
    <w:p w14:paraId="0DE0C335" w14:textId="77777777" w:rsidR="0044234B" w:rsidRPr="007C204D" w:rsidRDefault="0044234B" w:rsidP="00955B13">
      <w:pPr>
        <w:jc w:val="both"/>
        <w:rPr>
          <w:rFonts w:ascii="Book Antiqua" w:hAnsi="Book Antiqua"/>
          <w:color w:val="FF0000"/>
        </w:rPr>
      </w:pPr>
    </w:p>
    <w:p w14:paraId="02AD6F72" w14:textId="77777777" w:rsidR="00CB3C3E" w:rsidRPr="007C204D" w:rsidRDefault="00CB3C3E" w:rsidP="00955B13">
      <w:pPr>
        <w:jc w:val="center"/>
        <w:rPr>
          <w:rFonts w:ascii="Book Antiqua" w:hAnsi="Book Antiqua"/>
        </w:rPr>
      </w:pPr>
      <w:r w:rsidRPr="007C204D">
        <w:rPr>
          <w:rFonts w:ascii="Book Antiqua" w:hAnsi="Book Antiqua"/>
        </w:rPr>
        <w:t>EXPOSICI</w:t>
      </w:r>
      <w:r w:rsidR="003E6C53" w:rsidRPr="007C204D">
        <w:rPr>
          <w:rFonts w:ascii="Book Antiqua" w:hAnsi="Book Antiqua"/>
        </w:rPr>
        <w:t>Ó</w:t>
      </w:r>
      <w:r w:rsidRPr="007C204D">
        <w:rPr>
          <w:rFonts w:ascii="Book Antiqua" w:hAnsi="Book Antiqua"/>
        </w:rPr>
        <w:t>N DE MOTIVOS</w:t>
      </w:r>
    </w:p>
    <w:p w14:paraId="52991BD0" w14:textId="77777777" w:rsidR="00AE5181" w:rsidRPr="007C204D" w:rsidRDefault="00AE5181" w:rsidP="00955B13">
      <w:pPr>
        <w:rPr>
          <w:rFonts w:ascii="Book Antiqua" w:hAnsi="Book Antiqua"/>
          <w:color w:val="FF0000"/>
        </w:rPr>
      </w:pPr>
    </w:p>
    <w:p w14:paraId="56CCEBA1" w14:textId="7EA6AAC0" w:rsidR="007C204D" w:rsidRPr="002D7CFC" w:rsidRDefault="007C204D" w:rsidP="00981DD2">
      <w:pPr>
        <w:ind w:firstLine="567"/>
        <w:jc w:val="both"/>
        <w:rPr>
          <w:rFonts w:ascii="Book Antiqua" w:hAnsi="Book Antiqua"/>
        </w:rPr>
      </w:pPr>
      <w:r w:rsidRPr="002D7CFC">
        <w:rPr>
          <w:rFonts w:ascii="Book Antiqua" w:hAnsi="Book Antiqua"/>
        </w:rPr>
        <w:t xml:space="preserve">El 30 de julio de 2024 se aprobó la Ley 120-2024, con el propósito de, entre otras cosas, enmendar el Artículo </w:t>
      </w:r>
      <w:r w:rsidR="0059420F">
        <w:rPr>
          <w:rFonts w:ascii="Book Antiqua" w:hAnsi="Book Antiqua"/>
        </w:rPr>
        <w:t>37</w:t>
      </w:r>
      <w:r w:rsidRPr="002D7CFC">
        <w:rPr>
          <w:rFonts w:ascii="Book Antiqua" w:hAnsi="Book Antiqua"/>
        </w:rPr>
        <w:t xml:space="preserve"> del Código Político </w:t>
      </w:r>
      <w:r w:rsidR="0059420F">
        <w:rPr>
          <w:rFonts w:ascii="Book Antiqua" w:hAnsi="Book Antiqua"/>
        </w:rPr>
        <w:t xml:space="preserve">estatuyendo </w:t>
      </w:r>
      <w:r w:rsidRPr="002D7CFC">
        <w:rPr>
          <w:rFonts w:ascii="Book Antiqua" w:hAnsi="Book Antiqua"/>
        </w:rPr>
        <w:t xml:space="preserve">que </w:t>
      </w:r>
      <w:r w:rsidR="0059420F">
        <w:rPr>
          <w:rFonts w:ascii="Book Antiqua" w:hAnsi="Book Antiqua"/>
        </w:rPr>
        <w:t xml:space="preserve">el </w:t>
      </w:r>
      <w:proofErr w:type="gramStart"/>
      <w:r w:rsidR="0059420F">
        <w:rPr>
          <w:rFonts w:ascii="Book Antiqua" w:hAnsi="Book Antiqua"/>
        </w:rPr>
        <w:t>Secretario</w:t>
      </w:r>
      <w:proofErr w:type="gramEnd"/>
      <w:r w:rsidR="0059420F">
        <w:rPr>
          <w:rFonts w:ascii="Book Antiqua" w:hAnsi="Book Antiqua"/>
        </w:rPr>
        <w:t xml:space="preserve"> de Estado enviará </w:t>
      </w:r>
      <w:r w:rsidR="0059420F" w:rsidRPr="0059420F">
        <w:rPr>
          <w:rFonts w:ascii="Book Antiqua" w:hAnsi="Book Antiqua"/>
        </w:rPr>
        <w:t>digitalmente a la Biblioteca Presupuestaria y Gerencial Miguel J. Rodríguez Fernández de la Oficina de Gerencia y Presupuesto</w:t>
      </w:r>
      <w:r w:rsidR="0059420F" w:rsidRPr="004665AA">
        <w:rPr>
          <w:rFonts w:ascii="Book Antiqua" w:hAnsi="Book Antiqua"/>
        </w:rPr>
        <w:t>,</w:t>
      </w:r>
      <w:r w:rsidR="0059420F">
        <w:rPr>
          <w:rFonts w:ascii="Book Antiqua" w:hAnsi="Book Antiqua"/>
        </w:rPr>
        <w:t xml:space="preserve"> </w:t>
      </w:r>
      <w:r w:rsidR="0059420F" w:rsidRPr="0059420F">
        <w:rPr>
          <w:rFonts w:ascii="Book Antiqua" w:hAnsi="Book Antiqua"/>
        </w:rPr>
        <w:t>las leyes y resoluciones conjuntas firmadas por el Gobernador</w:t>
      </w:r>
      <w:r w:rsidR="002D7CFC" w:rsidRPr="002D7CFC">
        <w:rPr>
          <w:rFonts w:ascii="Book Antiqua" w:hAnsi="Book Antiqua"/>
        </w:rPr>
        <w:t xml:space="preserve">. </w:t>
      </w:r>
      <w:r w:rsidR="0008661B">
        <w:rPr>
          <w:rFonts w:ascii="Book Antiqua" w:hAnsi="Book Antiqua"/>
        </w:rPr>
        <w:t xml:space="preserve"> </w:t>
      </w:r>
      <w:r w:rsidR="002D7CFC">
        <w:rPr>
          <w:rFonts w:ascii="Book Antiqua" w:hAnsi="Book Antiqua"/>
        </w:rPr>
        <w:t xml:space="preserve">Sin embargo, por error e inadvertencia la referida enmienda omitió la porción del articulado que </w:t>
      </w:r>
      <w:r w:rsidR="0059420F">
        <w:rPr>
          <w:rFonts w:ascii="Book Antiqua" w:hAnsi="Book Antiqua"/>
        </w:rPr>
        <w:t xml:space="preserve">establecía la forma </w:t>
      </w:r>
      <w:r w:rsidR="004665AA">
        <w:rPr>
          <w:rFonts w:ascii="Book Antiqua" w:hAnsi="Book Antiqua"/>
        </w:rPr>
        <w:t xml:space="preserve">de </w:t>
      </w:r>
      <w:r w:rsidR="0059420F" w:rsidRPr="004665AA">
        <w:rPr>
          <w:rFonts w:ascii="Book Antiqua" w:hAnsi="Book Antiqua"/>
        </w:rPr>
        <w:t>enumera</w:t>
      </w:r>
      <w:r w:rsidR="004665AA">
        <w:rPr>
          <w:rFonts w:ascii="Book Antiqua" w:hAnsi="Book Antiqua"/>
        </w:rPr>
        <w:t xml:space="preserve">r </w:t>
      </w:r>
      <w:r w:rsidR="0059420F" w:rsidRPr="004665AA">
        <w:rPr>
          <w:rFonts w:ascii="Book Antiqua" w:hAnsi="Book Antiqua"/>
        </w:rPr>
        <w:t>y cit</w:t>
      </w:r>
      <w:r w:rsidR="004665AA">
        <w:rPr>
          <w:rFonts w:ascii="Book Antiqua" w:hAnsi="Book Antiqua"/>
        </w:rPr>
        <w:t xml:space="preserve">ar </w:t>
      </w:r>
      <w:r w:rsidR="0059420F" w:rsidRPr="004665AA">
        <w:rPr>
          <w:rFonts w:ascii="Book Antiqua" w:hAnsi="Book Antiqua"/>
        </w:rPr>
        <w:t>las leyes</w:t>
      </w:r>
      <w:r w:rsidR="0059420F">
        <w:rPr>
          <w:rFonts w:ascii="Book Antiqua" w:hAnsi="Book Antiqua"/>
        </w:rPr>
        <w:t>.</w:t>
      </w:r>
      <w:r w:rsidR="00871966">
        <w:rPr>
          <w:rFonts w:ascii="Book Antiqua" w:hAnsi="Book Antiqua"/>
        </w:rPr>
        <w:t xml:space="preserve"> </w:t>
      </w:r>
      <w:r w:rsidR="004665AA">
        <w:rPr>
          <w:rFonts w:ascii="Book Antiqua" w:hAnsi="Book Antiqua"/>
        </w:rPr>
        <w:t>Así, y s</w:t>
      </w:r>
      <w:r w:rsidR="00871966">
        <w:rPr>
          <w:rFonts w:ascii="Book Antiqua" w:hAnsi="Book Antiqua"/>
        </w:rPr>
        <w:t xml:space="preserve">in que ello fuera la intención legislativa, nuestro ordenamiento quedó desprovisto de parámetros oficiales que garanticen la uniformidad en la codificación de leyes. </w:t>
      </w:r>
    </w:p>
    <w:p w14:paraId="0E787401" w14:textId="77777777" w:rsidR="007C204D" w:rsidRDefault="007C204D" w:rsidP="00981DD2">
      <w:pPr>
        <w:ind w:firstLine="567"/>
        <w:jc w:val="both"/>
        <w:rPr>
          <w:rFonts w:ascii="Book Antiqua" w:hAnsi="Book Antiqua"/>
          <w:color w:val="FF0000"/>
        </w:rPr>
      </w:pPr>
    </w:p>
    <w:p w14:paraId="3E070F26" w14:textId="77777777" w:rsidR="008E443F" w:rsidRDefault="008E443F" w:rsidP="00981DD2">
      <w:pPr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En aras de despejar dudas</w:t>
      </w:r>
      <w:r w:rsidR="00871966" w:rsidRPr="00871966">
        <w:rPr>
          <w:rFonts w:ascii="Book Antiqua" w:hAnsi="Book Antiqua"/>
        </w:rPr>
        <w:t>, la Asamblea Legislativa entiende necesario</w:t>
      </w:r>
      <w:r w:rsidR="00AE5715">
        <w:rPr>
          <w:rFonts w:ascii="Book Antiqua" w:hAnsi="Book Antiqua"/>
        </w:rPr>
        <w:t xml:space="preserve"> reinsertar al Artículo 37 del Código Político el texto respecto a </w:t>
      </w:r>
      <w:r>
        <w:rPr>
          <w:rFonts w:ascii="Book Antiqua" w:hAnsi="Book Antiqua"/>
        </w:rPr>
        <w:t xml:space="preserve">que las leyes aprobadas y firmadas por el Gobernador se enumeraran indicando primero el número de la Ley seguido del año de aprobación. Como resultado, se impartirá uniformidad a la citación de leyes, propendiendo al </w:t>
      </w:r>
      <w:r w:rsidR="00AE5715">
        <w:rPr>
          <w:rFonts w:ascii="Book Antiqua" w:hAnsi="Book Antiqua"/>
        </w:rPr>
        <w:t xml:space="preserve">acceso, </w:t>
      </w:r>
      <w:r>
        <w:rPr>
          <w:rFonts w:ascii="Book Antiqua" w:hAnsi="Book Antiqua"/>
        </w:rPr>
        <w:t xml:space="preserve">estudio y análisis de nuestros estatutos. </w:t>
      </w:r>
    </w:p>
    <w:p w14:paraId="2FDCF4E8" w14:textId="77777777" w:rsidR="00194020" w:rsidRDefault="00194020" w:rsidP="00981DD2">
      <w:pPr>
        <w:ind w:firstLine="567"/>
        <w:jc w:val="both"/>
        <w:rPr>
          <w:rFonts w:ascii="Book Antiqua" w:hAnsi="Book Antiqua"/>
        </w:rPr>
      </w:pPr>
    </w:p>
    <w:p w14:paraId="4AAC226D" w14:textId="77777777" w:rsidR="00194020" w:rsidRDefault="00194020" w:rsidP="00981DD2">
      <w:pPr>
        <w:ind w:firstLine="567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</w:rPr>
        <w:t xml:space="preserve">Por otro lado, y relacionado con este mismo Artículo de nuestro Código Político, hace casi 20 años </w:t>
      </w:r>
      <w:r>
        <w:rPr>
          <w:rFonts w:ascii="Book Antiqua" w:hAnsi="Book Antiqua"/>
          <w:bCs/>
          <w:szCs w:val="24"/>
        </w:rPr>
        <w:t>el Tribunal Supremo</w:t>
      </w:r>
      <w:r>
        <w:rPr>
          <w:rFonts w:ascii="Book Antiqua" w:hAnsi="Book Antiqua"/>
          <w:szCs w:val="24"/>
        </w:rPr>
        <w:t xml:space="preserve"> indicó, en </w:t>
      </w:r>
      <w:r>
        <w:rPr>
          <w:rFonts w:ascii="Book Antiqua" w:hAnsi="Book Antiqua"/>
          <w:bCs/>
          <w:i/>
          <w:iCs/>
          <w:szCs w:val="24"/>
        </w:rPr>
        <w:t>Departamento Hacienda v. Telefónica</w:t>
      </w:r>
      <w:r>
        <w:rPr>
          <w:rFonts w:ascii="Book Antiqua" w:hAnsi="Book Antiqua"/>
          <w:bCs/>
          <w:szCs w:val="24"/>
        </w:rPr>
        <w:t xml:space="preserve">, 164 D.P.R. 195, 212 (2005); citando a </w:t>
      </w:r>
      <w:r>
        <w:rPr>
          <w:rFonts w:ascii="Book Antiqua" w:hAnsi="Book Antiqua"/>
          <w:bCs/>
          <w:i/>
          <w:iCs/>
          <w:szCs w:val="24"/>
        </w:rPr>
        <w:t xml:space="preserve">Pueblo v. Miranda </w:t>
      </w:r>
      <w:r w:rsidR="00D46685" w:rsidRPr="00071115">
        <w:rPr>
          <w:rFonts w:ascii="Book Antiqua" w:hAnsi="Book Antiqua"/>
          <w:bCs/>
          <w:i/>
          <w:iCs/>
          <w:szCs w:val="24"/>
        </w:rPr>
        <w:t xml:space="preserve">79 D.P.R. 710 </w:t>
      </w:r>
      <w:r w:rsidRPr="00194020">
        <w:rPr>
          <w:rFonts w:ascii="Book Antiqua" w:hAnsi="Book Antiqua"/>
          <w:bCs/>
          <w:szCs w:val="24"/>
        </w:rPr>
        <w:t>(1956)</w:t>
      </w:r>
      <w:r>
        <w:rPr>
          <w:rFonts w:ascii="Book Antiqua" w:hAnsi="Book Antiqua"/>
          <w:bCs/>
          <w:szCs w:val="24"/>
        </w:rPr>
        <w:t>: “</w:t>
      </w:r>
      <w:r>
        <w:rPr>
          <w:rFonts w:ascii="Book Antiqua" w:hAnsi="Book Antiqua"/>
          <w:szCs w:val="24"/>
        </w:rPr>
        <w:t xml:space="preserve">cabe señalar que aún si una enmienda a una ley no incluye la frase </w:t>
      </w:r>
      <w:r>
        <w:rPr>
          <w:rFonts w:ascii="Book Antiqua" w:hAnsi="Book Antiqua"/>
          <w:i/>
          <w:iCs/>
          <w:szCs w:val="24"/>
        </w:rPr>
        <w:t>según enmendada</w:t>
      </w:r>
      <w:r>
        <w:rPr>
          <w:rFonts w:ascii="Book Antiqua" w:hAnsi="Book Antiqua"/>
          <w:szCs w:val="24"/>
        </w:rPr>
        <w:t>, se debe interpretar que la enmienda incluye todas las leyes que enmendaron la ley original previo a la enmienda en cuestión.”</w:t>
      </w:r>
    </w:p>
    <w:p w14:paraId="48B187A3" w14:textId="77777777" w:rsidR="00955B13" w:rsidRPr="00194020" w:rsidRDefault="00955B13" w:rsidP="00981DD2">
      <w:pPr>
        <w:ind w:firstLine="567"/>
        <w:jc w:val="both"/>
        <w:rPr>
          <w:rFonts w:ascii="Book Antiqua" w:hAnsi="Book Antiqua"/>
        </w:rPr>
      </w:pPr>
    </w:p>
    <w:p w14:paraId="5DAD6276" w14:textId="00BA8D6B" w:rsidR="00194020" w:rsidRDefault="00194020" w:rsidP="00981DD2">
      <w:pPr>
        <w:widowControl w:val="0"/>
        <w:suppressLineNumbers/>
        <w:ind w:firstLine="567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Consonó con las expresiones de Nuestro Máximo Foro, esta Asamblea Legislativa entiende necesario enmendar el Código Político de Puerto Rico, Ley Núm. 34</w:t>
      </w:r>
      <w:r w:rsidR="00D45723">
        <w:rPr>
          <w:rFonts w:ascii="Book Antiqua" w:hAnsi="Book Antiqua"/>
          <w:szCs w:val="24"/>
        </w:rPr>
        <w:t>,</w:t>
      </w:r>
      <w:r>
        <w:rPr>
          <w:rFonts w:ascii="Book Antiqua" w:hAnsi="Book Antiqua"/>
          <w:szCs w:val="24"/>
        </w:rPr>
        <w:t xml:space="preserve"> de 13 de diciembre de 1902, para aclarar que se entenderá que toda referencia a una ley citada según las disposiciones del Artículo 37 del Código Político se refiere a la ley según ha sido enmendada, sin necesidad de incluir en la cita la frase “según enmendada”.</w:t>
      </w:r>
      <w:r w:rsidR="00D45723">
        <w:rPr>
          <w:rFonts w:ascii="Book Antiqua" w:hAnsi="Book Antiqua"/>
          <w:szCs w:val="24"/>
        </w:rPr>
        <w:t xml:space="preserve"> </w:t>
      </w:r>
    </w:p>
    <w:p w14:paraId="5FA7386F" w14:textId="77777777" w:rsidR="00955B13" w:rsidRDefault="00955B13" w:rsidP="00955B13">
      <w:pPr>
        <w:widowControl w:val="0"/>
        <w:suppressLineNumbers/>
        <w:ind w:firstLine="720"/>
        <w:jc w:val="both"/>
        <w:rPr>
          <w:rFonts w:ascii="Book Antiqua" w:hAnsi="Book Antiqua"/>
          <w:szCs w:val="24"/>
        </w:rPr>
      </w:pPr>
    </w:p>
    <w:p w14:paraId="2D2CE5EC" w14:textId="77777777" w:rsidR="006113F9" w:rsidRPr="00AE5715" w:rsidRDefault="006113F9" w:rsidP="00955B13">
      <w:pPr>
        <w:spacing w:line="480" w:lineRule="auto"/>
        <w:rPr>
          <w:rFonts w:ascii="Book Antiqua" w:hAnsi="Book Antiqua"/>
          <w:i/>
        </w:rPr>
      </w:pPr>
      <w:r w:rsidRPr="00AE5715">
        <w:rPr>
          <w:rFonts w:ascii="Book Antiqua" w:hAnsi="Book Antiqua"/>
          <w:i/>
        </w:rPr>
        <w:t>DECR</w:t>
      </w:r>
      <w:r w:rsidR="003E6C53" w:rsidRPr="00AE5715">
        <w:rPr>
          <w:rFonts w:ascii="Book Antiqua" w:hAnsi="Book Antiqua"/>
          <w:i/>
        </w:rPr>
        <w:t>É</w:t>
      </w:r>
      <w:r w:rsidRPr="00AE5715">
        <w:rPr>
          <w:rFonts w:ascii="Book Antiqua" w:hAnsi="Book Antiqua"/>
          <w:i/>
        </w:rPr>
        <w:t>TASE POR LA ASAMBLEA LEGISLATIVA DE PUERTO RICO:</w:t>
      </w:r>
    </w:p>
    <w:p w14:paraId="2E7D6248" w14:textId="77777777" w:rsidR="0010375C" w:rsidRPr="007C204D" w:rsidRDefault="0010375C" w:rsidP="009B160C">
      <w:pPr>
        <w:spacing w:line="480" w:lineRule="auto"/>
        <w:ind w:firstLine="284"/>
        <w:jc w:val="both"/>
        <w:rPr>
          <w:rFonts w:ascii="Book Antiqua" w:hAnsi="Book Antiqua"/>
          <w:color w:val="FF0000"/>
        </w:rPr>
        <w:sectPr w:rsidR="0010375C" w:rsidRPr="007C204D" w:rsidSect="0010375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B302BF1" w14:textId="77777777" w:rsidR="00AE5715" w:rsidRPr="00071115" w:rsidRDefault="00AE5715" w:rsidP="00981DD2">
      <w:pPr>
        <w:spacing w:line="480" w:lineRule="auto"/>
        <w:ind w:firstLine="567"/>
        <w:jc w:val="both"/>
        <w:rPr>
          <w:rFonts w:ascii="Book Antiqua" w:hAnsi="Book Antiqua"/>
        </w:rPr>
      </w:pPr>
      <w:r w:rsidRPr="00071115">
        <w:rPr>
          <w:rFonts w:ascii="Book Antiqua" w:hAnsi="Book Antiqua"/>
        </w:rPr>
        <w:t>Sección</w:t>
      </w:r>
      <w:r w:rsidR="00F93B61" w:rsidRPr="00071115">
        <w:rPr>
          <w:rFonts w:ascii="Book Antiqua" w:hAnsi="Book Antiqua"/>
        </w:rPr>
        <w:t xml:space="preserve"> 1.-</w:t>
      </w:r>
      <w:r w:rsidRPr="00071115">
        <w:rPr>
          <w:rFonts w:ascii="Book Antiqua" w:hAnsi="Book Antiqua"/>
        </w:rPr>
        <w:t xml:space="preserve">Se enmienda el Artículo 37 del Código Político de 1902, según enmendado, para que </w:t>
      </w:r>
      <w:r w:rsidR="00DA5232" w:rsidRPr="00071115">
        <w:rPr>
          <w:rFonts w:ascii="Book Antiqua" w:hAnsi="Book Antiqua"/>
        </w:rPr>
        <w:t xml:space="preserve">se </w:t>
      </w:r>
      <w:r w:rsidRPr="00071115">
        <w:rPr>
          <w:rFonts w:ascii="Book Antiqua" w:hAnsi="Book Antiqua"/>
        </w:rPr>
        <w:t>lea como sigue</w:t>
      </w:r>
      <w:r w:rsidR="004665AA" w:rsidRPr="00071115">
        <w:rPr>
          <w:rFonts w:ascii="Book Antiqua" w:hAnsi="Book Antiqua"/>
        </w:rPr>
        <w:t>:</w:t>
      </w:r>
    </w:p>
    <w:p w14:paraId="2212707A" w14:textId="77777777" w:rsidR="004665AA" w:rsidRPr="00071115" w:rsidRDefault="004665AA" w:rsidP="00981DD2">
      <w:pPr>
        <w:spacing w:line="480" w:lineRule="auto"/>
        <w:ind w:firstLine="567"/>
        <w:jc w:val="both"/>
        <w:rPr>
          <w:rFonts w:ascii="Book Antiqua" w:hAnsi="Book Antiqua"/>
        </w:rPr>
      </w:pPr>
      <w:r w:rsidRPr="00071115">
        <w:rPr>
          <w:rFonts w:ascii="Book Antiqua" w:hAnsi="Book Antiqua"/>
        </w:rPr>
        <w:t>“Artículo 37. —Proyectos de ley y de resolución conjunta, como se aprobarán.</w:t>
      </w:r>
    </w:p>
    <w:p w14:paraId="3871CD71" w14:textId="618AB906" w:rsidR="00AE5715" w:rsidRPr="00071115" w:rsidRDefault="00AE5715" w:rsidP="00981DD2">
      <w:pPr>
        <w:spacing w:line="480" w:lineRule="auto"/>
        <w:ind w:firstLine="567"/>
        <w:jc w:val="both"/>
        <w:rPr>
          <w:rFonts w:ascii="Book Antiqua" w:hAnsi="Book Antiqua"/>
        </w:rPr>
      </w:pPr>
      <w:r w:rsidRPr="00071115">
        <w:rPr>
          <w:rFonts w:ascii="Book Antiqua" w:hAnsi="Book Antiqua"/>
        </w:rPr>
        <w:t xml:space="preserve">Cuando el Gobernador aprobare un Proyecto de Ley o de Resolución Conjunta deberá firmarlo, así como la fecha de su aprobación, y depositarlo en la Oficina del </w:t>
      </w:r>
      <w:proofErr w:type="gramStart"/>
      <w:r w:rsidRPr="00071115">
        <w:rPr>
          <w:rFonts w:ascii="Book Antiqua" w:hAnsi="Book Antiqua"/>
        </w:rPr>
        <w:t>Secretario</w:t>
      </w:r>
      <w:proofErr w:type="gramEnd"/>
      <w:r w:rsidRPr="00071115">
        <w:rPr>
          <w:rFonts w:ascii="Book Antiqua" w:hAnsi="Book Antiqua"/>
        </w:rPr>
        <w:t xml:space="preserve"> de Estado. El Gobernador o el funcionario en quien éste delegue, numerará cada Ley en forma consecutiva en cada año natural, </w:t>
      </w:r>
      <w:proofErr w:type="spellStart"/>
      <w:r w:rsidRPr="00071115">
        <w:rPr>
          <w:rFonts w:ascii="Book Antiqua" w:hAnsi="Book Antiqua"/>
        </w:rPr>
        <w:t>irrespectivo</w:t>
      </w:r>
      <w:proofErr w:type="spellEnd"/>
      <w:r w:rsidRPr="00071115">
        <w:rPr>
          <w:rFonts w:ascii="Book Antiqua" w:hAnsi="Book Antiqua"/>
        </w:rPr>
        <w:t xml:space="preserve"> de la sesión en que se apruebe por la Asamblea Legislativa, comenzando con los dígitos correspondientes al número de la Ley aprobada seguido por un gui</w:t>
      </w:r>
      <w:r w:rsidR="00D46685" w:rsidRPr="00071115">
        <w:rPr>
          <w:rFonts w:ascii="Book Antiqua" w:hAnsi="Book Antiqua"/>
        </w:rPr>
        <w:t>o</w:t>
      </w:r>
      <w:r w:rsidRPr="00071115">
        <w:rPr>
          <w:rFonts w:ascii="Book Antiqua" w:hAnsi="Book Antiqua"/>
        </w:rPr>
        <w:t xml:space="preserve">n y los cuatro (4) dígitos que indiquen el año en que fue aprobada. Para todos los fines legales y en todos los documentos formales, las leyes y resoluciones conjuntas serán citadas conforme a lo aquí dispuesto. </w:t>
      </w:r>
      <w:r w:rsidR="00DA5232" w:rsidRPr="00071115">
        <w:rPr>
          <w:rFonts w:ascii="Book Antiqua" w:hAnsi="Book Antiqua"/>
          <w:szCs w:val="24"/>
        </w:rPr>
        <w:t xml:space="preserve">Se </w:t>
      </w:r>
      <w:r w:rsidR="00DA5232" w:rsidRPr="00071115">
        <w:rPr>
          <w:rFonts w:ascii="Book Antiqua" w:hAnsi="Book Antiqua"/>
          <w:szCs w:val="24"/>
        </w:rPr>
        <w:lastRenderedPageBreak/>
        <w:t xml:space="preserve">entenderá que toda referencia a una ley citada de conformidad a lo establecido en este Artículo se refiere a la ley según ha quedado enmendada al momento de citarla, sin necesidad de incluir en la cita la frase “según enmendada. </w:t>
      </w:r>
      <w:r w:rsidRPr="00071115">
        <w:rPr>
          <w:rFonts w:ascii="Book Antiqua" w:hAnsi="Book Antiqua"/>
        </w:rPr>
        <w:t>De igual manera procederá, por separado, con las resoluciones conjuntas aprobadas.</w:t>
      </w:r>
    </w:p>
    <w:p w14:paraId="00E328B8" w14:textId="77777777" w:rsidR="00AE5715" w:rsidRPr="00071115" w:rsidRDefault="00AE5715" w:rsidP="00981DD2">
      <w:pPr>
        <w:spacing w:line="480" w:lineRule="auto"/>
        <w:ind w:firstLine="567"/>
        <w:jc w:val="both"/>
        <w:rPr>
          <w:rFonts w:ascii="Book Antiqua" w:hAnsi="Book Antiqua"/>
        </w:rPr>
      </w:pPr>
      <w:r w:rsidRPr="00071115">
        <w:rPr>
          <w:rFonts w:ascii="Book Antiqua" w:hAnsi="Book Antiqua"/>
        </w:rPr>
        <w:t xml:space="preserve">El </w:t>
      </w:r>
      <w:proofErr w:type="gramStart"/>
      <w:r w:rsidRPr="00071115">
        <w:rPr>
          <w:rFonts w:ascii="Book Antiqua" w:hAnsi="Book Antiqua"/>
        </w:rPr>
        <w:t>Secretario</w:t>
      </w:r>
      <w:proofErr w:type="gramEnd"/>
      <w:r w:rsidRPr="00071115">
        <w:rPr>
          <w:rFonts w:ascii="Book Antiqua" w:hAnsi="Book Antiqua"/>
        </w:rPr>
        <w:t xml:space="preserve"> de Estado enviará digitalmente a la Biblioteca Presupuestaria y Gerencial Miguel J. Rodríguez Fernández de la Oficina de Gerencia y Presupuesto todas las leyes y resoluciones conjuntas firmadas por el Gobernador de Puerto Rico, inmediatamente después de haberlas recibido por parte del Gobernador.</w:t>
      </w:r>
      <w:r w:rsidR="004665AA" w:rsidRPr="00071115">
        <w:rPr>
          <w:rFonts w:ascii="Book Antiqua" w:hAnsi="Book Antiqua"/>
        </w:rPr>
        <w:t>”</w:t>
      </w:r>
    </w:p>
    <w:p w14:paraId="261052D4" w14:textId="77777777" w:rsidR="001C5A5C" w:rsidRDefault="004665AA" w:rsidP="001C5A5C">
      <w:pPr>
        <w:spacing w:line="480" w:lineRule="auto"/>
        <w:ind w:firstLine="567"/>
        <w:jc w:val="both"/>
        <w:rPr>
          <w:rFonts w:ascii="Book Antiqua" w:hAnsi="Book Antiqua"/>
        </w:rPr>
      </w:pPr>
      <w:r w:rsidRPr="00071115">
        <w:rPr>
          <w:rFonts w:ascii="Book Antiqua" w:hAnsi="Book Antiqua"/>
        </w:rPr>
        <w:t>Sección 2</w:t>
      </w:r>
      <w:r w:rsidR="00F93B61" w:rsidRPr="00071115">
        <w:rPr>
          <w:rFonts w:ascii="Book Antiqua" w:hAnsi="Book Antiqua"/>
        </w:rPr>
        <w:t>.-</w:t>
      </w:r>
      <w:r w:rsidR="00DA5232" w:rsidRPr="00071115">
        <w:rPr>
          <w:rFonts w:ascii="Book Antiqua" w:hAnsi="Book Antiqua"/>
        </w:rPr>
        <w:t xml:space="preserve">Vigencia. </w:t>
      </w:r>
    </w:p>
    <w:p w14:paraId="13B9D497" w14:textId="49C1ACD5" w:rsidR="001C5A5C" w:rsidRPr="001C5A5C" w:rsidRDefault="00F93B61" w:rsidP="001C5A5C">
      <w:pPr>
        <w:spacing w:line="480" w:lineRule="auto"/>
        <w:ind w:firstLine="567"/>
        <w:jc w:val="both"/>
        <w:rPr>
          <w:rFonts w:ascii="Book Antiqua" w:hAnsi="Book Antiqua"/>
        </w:rPr>
      </w:pPr>
      <w:r w:rsidRPr="00071115">
        <w:rPr>
          <w:rFonts w:ascii="Book Antiqua" w:hAnsi="Book Antiqua"/>
        </w:rPr>
        <w:t>Esta Ley comenzará a regir inmediatamente después de su aprobación</w:t>
      </w:r>
      <w:r w:rsidR="004665AA" w:rsidRPr="00071115">
        <w:rPr>
          <w:rFonts w:ascii="Book Antiqua" w:hAnsi="Book Antiqua"/>
        </w:rPr>
        <w:t>.</w:t>
      </w:r>
      <w:r w:rsidR="001C5A5C">
        <w:rPr>
          <w:rFonts w:ascii="Book Antiqua" w:hAnsi="Book Antiqua"/>
        </w:rPr>
        <w:t xml:space="preserve"> </w:t>
      </w:r>
      <w:bookmarkStart w:id="2" w:name="_Hlk80359695"/>
      <w:bookmarkStart w:id="3" w:name="_Hlk106092062"/>
      <w:bookmarkStart w:id="4" w:name="_Hlk106909138"/>
      <w:bookmarkStart w:id="5" w:name="_Hlk192258723"/>
      <w:bookmarkStart w:id="6" w:name="_Hlk192512289"/>
    </w:p>
    <w:bookmarkEnd w:id="2"/>
    <w:bookmarkEnd w:id="3"/>
    <w:bookmarkEnd w:id="4"/>
    <w:bookmarkEnd w:id="5"/>
    <w:bookmarkEnd w:id="6"/>
    <w:p w14:paraId="3099A1A1" w14:textId="394E8FD5" w:rsidR="00F93B61" w:rsidRPr="001C5A5C" w:rsidRDefault="00F93B61" w:rsidP="001C5A5C">
      <w:pPr>
        <w:suppressLineNumbers/>
        <w:ind w:left="2074" w:right="2434"/>
        <w:contextualSpacing/>
        <w:jc w:val="center"/>
        <w:rPr>
          <w:rFonts w:ascii="Book Antiqua" w:hAnsi="Book Antiqua" w:cs="Arial"/>
          <w:b/>
          <w:lang w:val="es-ES"/>
        </w:rPr>
      </w:pPr>
    </w:p>
    <w:sectPr w:rsidR="00F93B61" w:rsidRPr="001C5A5C" w:rsidSect="0010375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886D2" w14:textId="77777777" w:rsidR="00071115" w:rsidRPr="007C204D" w:rsidRDefault="00071115">
      <w:r w:rsidRPr="007C204D">
        <w:separator/>
      </w:r>
    </w:p>
  </w:endnote>
  <w:endnote w:type="continuationSeparator" w:id="0">
    <w:p w14:paraId="205EBB63" w14:textId="77777777" w:rsidR="00071115" w:rsidRPr="007C204D" w:rsidRDefault="00071115">
      <w:r w:rsidRPr="007C204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E6602" w14:textId="77777777" w:rsidR="00071115" w:rsidRPr="007C204D" w:rsidRDefault="00071115">
      <w:r w:rsidRPr="007C204D">
        <w:separator/>
      </w:r>
    </w:p>
  </w:footnote>
  <w:footnote w:type="continuationSeparator" w:id="0">
    <w:p w14:paraId="02079ABE" w14:textId="77777777" w:rsidR="00071115" w:rsidRPr="007C204D" w:rsidRDefault="00071115">
      <w:r w:rsidRPr="007C204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B1138" w14:textId="77777777" w:rsidR="0052785E" w:rsidRPr="007C204D" w:rsidRDefault="0052785E">
    <w:pPr>
      <w:pStyle w:val="Header"/>
      <w:jc w:val="center"/>
    </w:pPr>
    <w:r w:rsidRPr="007C204D">
      <w:rPr>
        <w:rStyle w:val="PageNumber"/>
      </w:rPr>
      <w:fldChar w:fldCharType="begin"/>
    </w:r>
    <w:r w:rsidRPr="007C204D">
      <w:rPr>
        <w:rStyle w:val="PageNumber"/>
      </w:rPr>
      <w:instrText xml:space="preserve"> PAGE </w:instrText>
    </w:r>
    <w:r w:rsidRPr="007C204D">
      <w:rPr>
        <w:rStyle w:val="PageNumber"/>
      </w:rPr>
      <w:fldChar w:fldCharType="separate"/>
    </w:r>
    <w:r w:rsidR="0023622C" w:rsidRPr="007C204D">
      <w:rPr>
        <w:rStyle w:val="PageNumber"/>
      </w:rPr>
      <w:t>6</w:t>
    </w:r>
    <w:r w:rsidRPr="007C204D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818A1B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D356D7"/>
    <w:multiLevelType w:val="multilevel"/>
    <w:tmpl w:val="C9C4E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A430A5"/>
    <w:multiLevelType w:val="hybridMultilevel"/>
    <w:tmpl w:val="6BCE5706"/>
    <w:lvl w:ilvl="0" w:tplc="F1CE09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76690C"/>
    <w:multiLevelType w:val="hybridMultilevel"/>
    <w:tmpl w:val="953803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14528923">
    <w:abstractNumId w:val="3"/>
  </w:num>
  <w:num w:numId="2" w16cid:durableId="820469160">
    <w:abstractNumId w:val="1"/>
  </w:num>
  <w:num w:numId="3" w16cid:durableId="1392190885">
    <w:abstractNumId w:val="0"/>
  </w:num>
  <w:num w:numId="4" w16cid:durableId="1562718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71115"/>
    <w:rsid w:val="00020718"/>
    <w:rsid w:val="00023FAE"/>
    <w:rsid w:val="00043555"/>
    <w:rsid w:val="00043856"/>
    <w:rsid w:val="00045C52"/>
    <w:rsid w:val="000530DE"/>
    <w:rsid w:val="00067B7D"/>
    <w:rsid w:val="00071115"/>
    <w:rsid w:val="00076278"/>
    <w:rsid w:val="00080F28"/>
    <w:rsid w:val="0008661B"/>
    <w:rsid w:val="000A75D2"/>
    <w:rsid w:val="000B0095"/>
    <w:rsid w:val="000D02EF"/>
    <w:rsid w:val="000F715B"/>
    <w:rsid w:val="00100DCA"/>
    <w:rsid w:val="00100FDC"/>
    <w:rsid w:val="001011D9"/>
    <w:rsid w:val="001013B8"/>
    <w:rsid w:val="0010375C"/>
    <w:rsid w:val="00103F68"/>
    <w:rsid w:val="001072FD"/>
    <w:rsid w:val="00111F48"/>
    <w:rsid w:val="00121E6C"/>
    <w:rsid w:val="00132849"/>
    <w:rsid w:val="00134426"/>
    <w:rsid w:val="00152C68"/>
    <w:rsid w:val="0016494B"/>
    <w:rsid w:val="00175DD8"/>
    <w:rsid w:val="00194020"/>
    <w:rsid w:val="001A3C57"/>
    <w:rsid w:val="001B756F"/>
    <w:rsid w:val="001C5A5C"/>
    <w:rsid w:val="001C720F"/>
    <w:rsid w:val="001D2DC9"/>
    <w:rsid w:val="001D5242"/>
    <w:rsid w:val="001E23FE"/>
    <w:rsid w:val="001F4052"/>
    <w:rsid w:val="00201E2F"/>
    <w:rsid w:val="0020658B"/>
    <w:rsid w:val="0023622C"/>
    <w:rsid w:val="00243BFE"/>
    <w:rsid w:val="002441A0"/>
    <w:rsid w:val="002519E5"/>
    <w:rsid w:val="00257D55"/>
    <w:rsid w:val="002626CC"/>
    <w:rsid w:val="0027047B"/>
    <w:rsid w:val="0027285C"/>
    <w:rsid w:val="00283136"/>
    <w:rsid w:val="002A0D8E"/>
    <w:rsid w:val="002A1556"/>
    <w:rsid w:val="002B7BA6"/>
    <w:rsid w:val="002C0B4E"/>
    <w:rsid w:val="002D0405"/>
    <w:rsid w:val="002D54DD"/>
    <w:rsid w:val="002D7CFC"/>
    <w:rsid w:val="002F7EEE"/>
    <w:rsid w:val="003052AF"/>
    <w:rsid w:val="00307375"/>
    <w:rsid w:val="003333F4"/>
    <w:rsid w:val="0039682C"/>
    <w:rsid w:val="003A632B"/>
    <w:rsid w:val="003B0604"/>
    <w:rsid w:val="003C6052"/>
    <w:rsid w:val="003E6C53"/>
    <w:rsid w:val="003F7683"/>
    <w:rsid w:val="00413462"/>
    <w:rsid w:val="00417A49"/>
    <w:rsid w:val="0044234B"/>
    <w:rsid w:val="004665AA"/>
    <w:rsid w:val="00477840"/>
    <w:rsid w:val="00494022"/>
    <w:rsid w:val="004A02F3"/>
    <w:rsid w:val="004D0EE0"/>
    <w:rsid w:val="004E7B8B"/>
    <w:rsid w:val="004F4D64"/>
    <w:rsid w:val="00512715"/>
    <w:rsid w:val="00520C04"/>
    <w:rsid w:val="00525010"/>
    <w:rsid w:val="0052785E"/>
    <w:rsid w:val="005366EE"/>
    <w:rsid w:val="00542695"/>
    <w:rsid w:val="00546EEE"/>
    <w:rsid w:val="00550044"/>
    <w:rsid w:val="00554676"/>
    <w:rsid w:val="0056450F"/>
    <w:rsid w:val="0059420F"/>
    <w:rsid w:val="00595120"/>
    <w:rsid w:val="005C6C4D"/>
    <w:rsid w:val="005D7D7B"/>
    <w:rsid w:val="005F474E"/>
    <w:rsid w:val="00610478"/>
    <w:rsid w:val="006113F9"/>
    <w:rsid w:val="00624AB1"/>
    <w:rsid w:val="0062640A"/>
    <w:rsid w:val="0063019B"/>
    <w:rsid w:val="0063610B"/>
    <w:rsid w:val="00643353"/>
    <w:rsid w:val="0067597A"/>
    <w:rsid w:val="00687056"/>
    <w:rsid w:val="006B778A"/>
    <w:rsid w:val="006D200A"/>
    <w:rsid w:val="006D5106"/>
    <w:rsid w:val="006E4E23"/>
    <w:rsid w:val="006E60CC"/>
    <w:rsid w:val="00701787"/>
    <w:rsid w:val="00715B08"/>
    <w:rsid w:val="007421B1"/>
    <w:rsid w:val="00756091"/>
    <w:rsid w:val="007646A4"/>
    <w:rsid w:val="00765108"/>
    <w:rsid w:val="00797324"/>
    <w:rsid w:val="007B32EF"/>
    <w:rsid w:val="007B4E15"/>
    <w:rsid w:val="007C204D"/>
    <w:rsid w:val="007C2DA3"/>
    <w:rsid w:val="007C41DC"/>
    <w:rsid w:val="007C79AC"/>
    <w:rsid w:val="007D1EFC"/>
    <w:rsid w:val="007F3E61"/>
    <w:rsid w:val="00801565"/>
    <w:rsid w:val="008161E2"/>
    <w:rsid w:val="00842759"/>
    <w:rsid w:val="00851720"/>
    <w:rsid w:val="00871966"/>
    <w:rsid w:val="008A22E9"/>
    <w:rsid w:val="008A33B7"/>
    <w:rsid w:val="008A4F88"/>
    <w:rsid w:val="008C3015"/>
    <w:rsid w:val="008C4B4F"/>
    <w:rsid w:val="008D51FA"/>
    <w:rsid w:val="008E443F"/>
    <w:rsid w:val="008F251D"/>
    <w:rsid w:val="00901F37"/>
    <w:rsid w:val="00907F88"/>
    <w:rsid w:val="009128DD"/>
    <w:rsid w:val="009223BC"/>
    <w:rsid w:val="00927CBF"/>
    <w:rsid w:val="0093164E"/>
    <w:rsid w:val="00935F1B"/>
    <w:rsid w:val="00936101"/>
    <w:rsid w:val="00947F7E"/>
    <w:rsid w:val="00950B0D"/>
    <w:rsid w:val="00955B13"/>
    <w:rsid w:val="00970317"/>
    <w:rsid w:val="00972754"/>
    <w:rsid w:val="00981DD2"/>
    <w:rsid w:val="00990FE2"/>
    <w:rsid w:val="00991644"/>
    <w:rsid w:val="00993A8C"/>
    <w:rsid w:val="009B0AC5"/>
    <w:rsid w:val="009B160C"/>
    <w:rsid w:val="009C343A"/>
    <w:rsid w:val="009C4270"/>
    <w:rsid w:val="009D7279"/>
    <w:rsid w:val="009E244E"/>
    <w:rsid w:val="009E581D"/>
    <w:rsid w:val="009F04A4"/>
    <w:rsid w:val="009F141B"/>
    <w:rsid w:val="009F5682"/>
    <w:rsid w:val="00A01C78"/>
    <w:rsid w:val="00A109CA"/>
    <w:rsid w:val="00A13F78"/>
    <w:rsid w:val="00A24144"/>
    <w:rsid w:val="00A41266"/>
    <w:rsid w:val="00A512C6"/>
    <w:rsid w:val="00A53D8D"/>
    <w:rsid w:val="00A758FE"/>
    <w:rsid w:val="00A764B2"/>
    <w:rsid w:val="00A77DA2"/>
    <w:rsid w:val="00A8294E"/>
    <w:rsid w:val="00A83F1F"/>
    <w:rsid w:val="00AB0B46"/>
    <w:rsid w:val="00AE5181"/>
    <w:rsid w:val="00AE5715"/>
    <w:rsid w:val="00B13E5E"/>
    <w:rsid w:val="00B1610D"/>
    <w:rsid w:val="00B20A12"/>
    <w:rsid w:val="00B21F0A"/>
    <w:rsid w:val="00B31A47"/>
    <w:rsid w:val="00B464F6"/>
    <w:rsid w:val="00B6456A"/>
    <w:rsid w:val="00B94138"/>
    <w:rsid w:val="00BB5CE8"/>
    <w:rsid w:val="00BF6296"/>
    <w:rsid w:val="00BF745A"/>
    <w:rsid w:val="00C009CE"/>
    <w:rsid w:val="00C022BC"/>
    <w:rsid w:val="00C117BE"/>
    <w:rsid w:val="00C15875"/>
    <w:rsid w:val="00C1689A"/>
    <w:rsid w:val="00C20A6E"/>
    <w:rsid w:val="00C21BAE"/>
    <w:rsid w:val="00C22196"/>
    <w:rsid w:val="00C23C0F"/>
    <w:rsid w:val="00C31294"/>
    <w:rsid w:val="00C34C03"/>
    <w:rsid w:val="00C359D9"/>
    <w:rsid w:val="00C645B8"/>
    <w:rsid w:val="00C67C3A"/>
    <w:rsid w:val="00CA29E5"/>
    <w:rsid w:val="00CA50B5"/>
    <w:rsid w:val="00CB3C3E"/>
    <w:rsid w:val="00CB3DA7"/>
    <w:rsid w:val="00CC538E"/>
    <w:rsid w:val="00CD3D71"/>
    <w:rsid w:val="00CF5B63"/>
    <w:rsid w:val="00D27E46"/>
    <w:rsid w:val="00D32A38"/>
    <w:rsid w:val="00D45723"/>
    <w:rsid w:val="00D45AE7"/>
    <w:rsid w:val="00D46685"/>
    <w:rsid w:val="00D47758"/>
    <w:rsid w:val="00D5096D"/>
    <w:rsid w:val="00D51A87"/>
    <w:rsid w:val="00D63110"/>
    <w:rsid w:val="00D66F95"/>
    <w:rsid w:val="00D97789"/>
    <w:rsid w:val="00DA5232"/>
    <w:rsid w:val="00DD546F"/>
    <w:rsid w:val="00DD62F6"/>
    <w:rsid w:val="00DF2750"/>
    <w:rsid w:val="00E007E0"/>
    <w:rsid w:val="00E02DDE"/>
    <w:rsid w:val="00E23111"/>
    <w:rsid w:val="00E70840"/>
    <w:rsid w:val="00E72165"/>
    <w:rsid w:val="00E828D9"/>
    <w:rsid w:val="00EE4A74"/>
    <w:rsid w:val="00EF45C5"/>
    <w:rsid w:val="00EF7B45"/>
    <w:rsid w:val="00F21E6C"/>
    <w:rsid w:val="00F43AE2"/>
    <w:rsid w:val="00F43F1B"/>
    <w:rsid w:val="00F639CF"/>
    <w:rsid w:val="00F65225"/>
    <w:rsid w:val="00F657E8"/>
    <w:rsid w:val="00F93B61"/>
    <w:rsid w:val="00F93DD3"/>
    <w:rsid w:val="00FA5F50"/>
    <w:rsid w:val="00FC28B3"/>
    <w:rsid w:val="00FC3965"/>
    <w:rsid w:val="00FD5591"/>
    <w:rsid w:val="00FF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F859EE"/>
  <w15:chartTrackingRefBased/>
  <w15:docId w15:val="{1FB841E9-5021-4377-AACA-109894CA4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DF2750"/>
    <w:rPr>
      <w:b/>
      <w:bCs/>
      <w:color w:val="FFFFFF"/>
      <w:shd w:val="clear" w:color="auto" w:fill="000066"/>
    </w:rPr>
  </w:style>
  <w:style w:type="paragraph" w:styleId="BalloonText">
    <w:name w:val="Balloon Text"/>
    <w:basedOn w:val="Normal"/>
    <w:semiHidden/>
    <w:rsid w:val="00947F7E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A758FE"/>
    <w:pPr>
      <w:spacing w:before="120" w:after="120"/>
      <w:ind w:firstLine="360"/>
      <w:jc w:val="both"/>
    </w:pPr>
    <w:rPr>
      <w:rFonts w:ascii="CG Times(w1)" w:hAnsi="CG Times(w1)"/>
      <w:lang w:val="es-ES_tradnl"/>
    </w:rPr>
  </w:style>
  <w:style w:type="character" w:styleId="Hyperlink">
    <w:name w:val="Hyperlink"/>
    <w:rsid w:val="003333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D62F6"/>
    <w:pPr>
      <w:spacing w:before="100" w:beforeAutospacing="1" w:after="100" w:afterAutospacing="1"/>
    </w:pPr>
    <w:rPr>
      <w:szCs w:val="24"/>
      <w:lang w:eastAsia="es-PR"/>
    </w:rPr>
  </w:style>
  <w:style w:type="paragraph" w:customStyle="1" w:styleId="Default">
    <w:name w:val="Default"/>
    <w:rsid w:val="00103F68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customStyle="1" w:styleId="CM4">
    <w:name w:val="CM4"/>
    <w:basedOn w:val="Default"/>
    <w:next w:val="Default"/>
    <w:uiPriority w:val="99"/>
    <w:rsid w:val="00103F68"/>
    <w:rPr>
      <w:color w:val="auto"/>
    </w:rPr>
  </w:style>
  <w:style w:type="character" w:styleId="CommentReference">
    <w:name w:val="annotation reference"/>
    <w:rsid w:val="0059420F"/>
    <w:rPr>
      <w:sz w:val="16"/>
      <w:szCs w:val="16"/>
    </w:rPr>
  </w:style>
  <w:style w:type="paragraph" w:styleId="CommentText">
    <w:name w:val="annotation text"/>
    <w:basedOn w:val="Normal"/>
    <w:link w:val="CommentTextChar"/>
    <w:rsid w:val="0059420F"/>
    <w:rPr>
      <w:sz w:val="20"/>
    </w:rPr>
  </w:style>
  <w:style w:type="character" w:customStyle="1" w:styleId="CommentTextChar">
    <w:name w:val="Comment Text Char"/>
    <w:link w:val="CommentText"/>
    <w:rsid w:val="0059420F"/>
    <w:rPr>
      <w:lang w:val="es-PR"/>
    </w:rPr>
  </w:style>
  <w:style w:type="paragraph" w:styleId="CommentSubject">
    <w:name w:val="annotation subject"/>
    <w:basedOn w:val="CommentText"/>
    <w:next w:val="CommentText"/>
    <w:link w:val="CommentSubjectChar"/>
    <w:rsid w:val="0059420F"/>
    <w:rPr>
      <w:b/>
      <w:bCs/>
    </w:rPr>
  </w:style>
  <w:style w:type="character" w:customStyle="1" w:styleId="CommentSubjectChar">
    <w:name w:val="Comment Subject Char"/>
    <w:link w:val="CommentSubject"/>
    <w:rsid w:val="0059420F"/>
    <w:rPr>
      <w:b/>
      <w:bCs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A3986-B579-45A6-B089-0C74529E3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4039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Gobierno de Puerto Rico</vt:lpstr>
      <vt:lpstr>Gobierno de Puerto Rico</vt:lpstr>
    </vt:vector>
  </TitlesOfParts>
  <Company>Microsoft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Gobierno de Puerto Rico</dc:title>
  <dc:subject/>
  <dc:creator>Bárbara Sierra Nieves</dc:creator>
  <cp:keywords/>
  <dc:description/>
  <cp:lastModifiedBy>Victor E. Vélez Cucuta</cp:lastModifiedBy>
  <cp:revision>2</cp:revision>
  <cp:lastPrinted>2025-03-14T13:22:00Z</cp:lastPrinted>
  <dcterms:created xsi:type="dcterms:W3CDTF">2025-03-14T13:23:00Z</dcterms:created>
  <dcterms:modified xsi:type="dcterms:W3CDTF">2025-03-14T13:23:00Z</dcterms:modified>
</cp:coreProperties>
</file>