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BB74B" w14:textId="63E56EEA" w:rsidR="00CB4BCC" w:rsidRPr="000C1572" w:rsidRDefault="00FD5230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GOBIERNO</w:t>
      </w:r>
      <w:r w:rsidR="00CB4BCC" w:rsidRPr="000C1572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7F83C0D6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7C89D709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4F0B79DE" w14:textId="30D87ED2" w:rsidR="00CB4BCC" w:rsidRPr="000C1572" w:rsidRDefault="00101518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20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</w:t>
      </w:r>
      <w:r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m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Asamblea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1</w:t>
      </w:r>
      <w:r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r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Sesión</w:t>
      </w:r>
    </w:p>
    <w:p w14:paraId="064F0E65" w14:textId="77777777" w:rsidR="00CB4BCC" w:rsidRPr="000C1572" w:rsidRDefault="00CB4BCC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Legislativa</w:t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Ordinaria</w:t>
      </w:r>
    </w:p>
    <w:p w14:paraId="21E7FCE1" w14:textId="77777777" w:rsidR="00CB4BCC" w:rsidRPr="000C1572" w:rsidRDefault="00CB4BCC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2CE4B615" w14:textId="77777777" w:rsidR="00101518" w:rsidRPr="000C1572" w:rsidRDefault="00101518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5BDD0274" w14:textId="3D671E92" w:rsidR="00CB4BCC" w:rsidRPr="000C1572" w:rsidRDefault="00101518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  <w:t>CÁMARA DE REPRESENTANTES</w:t>
      </w:r>
    </w:p>
    <w:p w14:paraId="48B3F741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</w:p>
    <w:p w14:paraId="3B214DA8" w14:textId="04EFF18C" w:rsidR="00CB4BCC" w:rsidRPr="000C1572" w:rsidRDefault="00376DD0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P. de la C.</w:t>
      </w:r>
      <w:r w:rsidR="002E44AD" w:rsidRPr="000C1572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 xml:space="preserve"> </w:t>
      </w:r>
      <w:r w:rsidRPr="000C1572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248</w:t>
      </w:r>
    </w:p>
    <w:p w14:paraId="5C12BC4A" w14:textId="77777777" w:rsidR="009B217F" w:rsidRPr="000C1572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07AD0618" w14:textId="77F5D8E1" w:rsidR="00CB4BCC" w:rsidRPr="000C1572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  <w:t>INFORME</w:t>
      </w:r>
      <w:r w:rsidR="0010043D"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  <w:t xml:space="preserve"> POSITIVO</w:t>
      </w:r>
    </w:p>
    <w:p w14:paraId="13CF74F4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18C66AE4" w14:textId="4CCF35BC" w:rsidR="00CB4BCC" w:rsidRPr="000C1572" w:rsidRDefault="00E9637E" w:rsidP="003C2B1D">
      <w:pPr>
        <w:spacing w:after="0" w:line="240" w:lineRule="auto"/>
        <w:jc w:val="center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11 </w:t>
      </w:r>
      <w:r w:rsidR="0010151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</w:t>
      </w:r>
      <w:r w:rsidR="004D07CF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0B13D7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junio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202</w:t>
      </w:r>
      <w:r w:rsidR="0010151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5</w:t>
      </w:r>
    </w:p>
    <w:p w14:paraId="042A8F4B" w14:textId="77777777" w:rsidR="00101518" w:rsidRPr="000C1572" w:rsidRDefault="00101518" w:rsidP="00CB4BCC">
      <w:pPr>
        <w:spacing w:after="0" w:line="36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624ADA67" w14:textId="6CA982BF" w:rsidR="000743E5" w:rsidRPr="000C1572" w:rsidRDefault="00CB4BCC" w:rsidP="00CB4BCC">
      <w:pPr>
        <w:spacing w:after="0" w:line="360" w:lineRule="auto"/>
        <w:jc w:val="both"/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</w:t>
      </w:r>
      <w:r w:rsidR="00101518"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 xml:space="preserve"> </w:t>
      </w: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L</w:t>
      </w:r>
      <w:r w:rsidR="00101518"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 xml:space="preserve">A CÁMARA DE REPRESENTANTES </w:t>
      </w: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DE PUERTO RICO:</w:t>
      </w:r>
    </w:p>
    <w:p w14:paraId="68CA0140" w14:textId="63CCE40B" w:rsidR="00E242D8" w:rsidRPr="000C1572" w:rsidRDefault="006C3629" w:rsidP="00BB61EE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P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revi</w:t>
      </w:r>
      <w:r w:rsidR="00B4126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consideración y evaluación</w:t>
      </w:r>
      <w:r w:rsidR="00CC270A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del </w:t>
      </w:r>
      <w:r w:rsidR="00376DD0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Proyecto de la Cámara</w:t>
      </w:r>
      <w:r w:rsidR="002E44AD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1E08C3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248 </w:t>
      </w:r>
      <w:r w:rsidR="00171D05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(P. de</w:t>
      </w:r>
      <w:r w:rsidR="00376DD0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la C</w:t>
      </w:r>
      <w:r w:rsidR="00171D05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. </w:t>
      </w:r>
      <w:r w:rsidR="00376DD0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248</w:t>
      </w:r>
      <w:r w:rsidR="00171D05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)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, </w:t>
      </w:r>
      <w:r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la Comisión de lo Jurídico de la Cámara de Representantes 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recomienda </w:t>
      </w:r>
      <w:r w:rsidR="00CC270A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su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aprobación</w:t>
      </w:r>
      <w:r w:rsidR="00CB4BCC" w:rsidRPr="000C1572">
        <w:rPr>
          <w:rFonts w:ascii="Book Antiqua" w:eastAsia="Calibri" w:hAnsi="Book Antiqua" w:cs="Times New Roman"/>
          <w:b/>
          <w:bCs/>
          <w:i/>
          <w:iCs/>
          <w:kern w:val="0"/>
          <w:lang w:val="es-ES"/>
          <w14:ligatures w14:val="none"/>
        </w:rPr>
        <w:t xml:space="preserve"> </w:t>
      </w:r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con las enmiendas incluidas en el </w:t>
      </w:r>
      <w:proofErr w:type="spellStart"/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entirillado</w:t>
      </w:r>
      <w:proofErr w:type="spellEnd"/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electrónico que acompaña</w:t>
      </w:r>
      <w:r w:rsidR="00B4126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744E2E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y se hace formar parte de</w:t>
      </w:r>
      <w:r w:rsidR="00B95B73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4E696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é</w:t>
      </w:r>
      <w:r w:rsidR="00B95B73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ste</w:t>
      </w:r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.</w:t>
      </w:r>
    </w:p>
    <w:p w14:paraId="083C6F99" w14:textId="688F937E" w:rsidR="00D93876" w:rsidRPr="000C1572" w:rsidRDefault="00CB4BCC" w:rsidP="00525DEC">
      <w:pPr>
        <w:spacing w:before="240" w:after="120" w:line="360" w:lineRule="auto"/>
        <w:jc w:val="center"/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ALCANCE DE LA MEDIDA</w:t>
      </w:r>
    </w:p>
    <w:p w14:paraId="506D70CE" w14:textId="7DD8620F" w:rsidR="000B13D7" w:rsidRPr="000C1572" w:rsidRDefault="000B13D7" w:rsidP="00525DEC">
      <w:pPr>
        <w:spacing w:after="12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>El P. de la C. 248 propone enmendar las Secciones 2.1, 2.4, 2.8 y añadir una nueva Sección 2.21 a la Ley 38-2017, según enmendada, conocida como la “Ley de Procedimiento Administrativo Uniforme del Gobierno de Puerto Rico”</w:t>
      </w:r>
      <w:r w:rsidR="00700A74"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(LPAU)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. Su alcance principal es establecer un marco uniforme y obligatorio 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de tiempo 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para que las agencias del gobierno redacten, publiquen, evalúen y aprueben los reglamentos 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ordenados por la Asamblea Legislativa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para implementar las leyes aprobadas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.</w:t>
      </w:r>
    </w:p>
    <w:p w14:paraId="390AD868" w14:textId="42D70612" w:rsidR="00F6432B" w:rsidRPr="000C1572" w:rsidRDefault="000B13D7" w:rsidP="00804552">
      <w:pPr>
        <w:spacing w:after="12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En detalle, la medida establece un término de sesenta (60) días desde la aprobación de una ley para que la agencia elabore y publique el borrador del reglamento. Luego, dispone de otros sesenta (60) días para recibir comentarios, revisarlo y </w:t>
      </w:r>
      <w:r w:rsidR="00A95FAC">
        <w:rPr>
          <w:rFonts w:ascii="Book Antiqua" w:eastAsia="Times New Roman" w:hAnsi="Book Antiqua" w:cs="Arial"/>
          <w:kern w:val="0"/>
          <w:lang w:val="es-ES"/>
          <w14:ligatures w14:val="none"/>
        </w:rPr>
        <w:t>presentar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el reglamento final al Departamento de Estado. Una vez </w:t>
      </w:r>
      <w:r w:rsidR="00A95FAC">
        <w:rPr>
          <w:rFonts w:ascii="Book Antiqua" w:eastAsia="Times New Roman" w:hAnsi="Book Antiqua" w:cs="Arial"/>
          <w:kern w:val="0"/>
          <w:lang w:val="es-ES"/>
          <w14:ligatures w14:val="none"/>
        </w:rPr>
        <w:t>presentado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, el reglamento entrará en vigor </w:t>
      </w:r>
      <w:r w:rsidR="001E08C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transcurridos 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>treinta (30)</w:t>
      </w:r>
      <w:r w:rsidR="0053085D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días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. En total, se establece un plazo máximo de cinco (5) meses desde la aprobación de la ley para que el reglamento 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entre en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vig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or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. Asimismo, la medida aclara que la ausencia de reglamentos no puede considerarse un obstáculo para 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lastRenderedPageBreak/>
        <w:t>la implementación de las leyes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,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conforme a la jurisprudencia vigente. Establece también responsabilidades específicas para los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jefes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de las agenci</w:t>
      </w:r>
      <w:r w:rsidR="006609D4">
        <w:rPr>
          <w:rFonts w:ascii="Book Antiqua" w:eastAsia="Times New Roman" w:hAnsi="Book Antiqua" w:cs="Arial"/>
          <w:kern w:val="0"/>
          <w:lang w:val="es-ES"/>
          <w14:ligatures w14:val="none"/>
        </w:rPr>
        <w:t>a</w:t>
      </w:r>
      <w:r w:rsidR="00984105">
        <w:rPr>
          <w:rFonts w:ascii="Book Antiqua" w:eastAsia="Times New Roman" w:hAnsi="Book Antiqua" w:cs="Arial"/>
          <w:kern w:val="0"/>
          <w:lang w:val="es-ES"/>
          <w14:ligatures w14:val="none"/>
        </w:rPr>
        <w:t>s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si no cumplen con los términos establecidos</w:t>
      </w:r>
      <w:r w:rsidR="001F0023">
        <w:rPr>
          <w:rFonts w:ascii="Book Antiqua" w:eastAsia="Times New Roman" w:hAnsi="Book Antiqua" w:cs="Arial"/>
          <w:kern w:val="0"/>
          <w:lang w:val="es-ES"/>
          <w14:ligatures w14:val="none"/>
        </w:rPr>
        <w:t>. Además,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reafirma que la política pública entra en vigor desde la firma de la ley, independientemente del estado de su reglamentación.</w:t>
      </w:r>
    </w:p>
    <w:p w14:paraId="19592BE9" w14:textId="27B984C8" w:rsidR="002E44AD" w:rsidRPr="000C1572" w:rsidRDefault="00B67635" w:rsidP="001F0023">
      <w:pPr>
        <w:spacing w:before="240" w:after="120" w:line="360" w:lineRule="auto"/>
        <w:jc w:val="center"/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  <w:t>TRASFONDO</w:t>
      </w:r>
    </w:p>
    <w:p w14:paraId="53CAF996" w14:textId="00B779F4" w:rsidR="000B13D7" w:rsidRPr="000C1572" w:rsidRDefault="000B13D7" w:rsidP="001F002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El P. de la C. 248 </w:t>
      </w:r>
      <w:r w:rsidR="00984105">
        <w:rPr>
          <w:rFonts w:ascii="Book Antiqua" w:hAnsi="Book Antiqua"/>
          <w:lang w:val="es-ES"/>
        </w:rPr>
        <w:t>pretende atender</w:t>
      </w:r>
      <w:r w:rsidRPr="000C1572">
        <w:rPr>
          <w:rFonts w:ascii="Book Antiqua" w:hAnsi="Book Antiqua"/>
          <w:lang w:val="es-ES"/>
        </w:rPr>
        <w:t xml:space="preserve"> </w:t>
      </w:r>
      <w:r w:rsidR="006609D4">
        <w:rPr>
          <w:rFonts w:ascii="Book Antiqua" w:hAnsi="Book Antiqua"/>
          <w:lang w:val="es-ES"/>
        </w:rPr>
        <w:t xml:space="preserve">el </w:t>
      </w:r>
      <w:r w:rsidRPr="000C1572">
        <w:rPr>
          <w:rFonts w:ascii="Book Antiqua" w:hAnsi="Book Antiqua"/>
          <w:lang w:val="es-ES"/>
        </w:rPr>
        <w:t xml:space="preserve">retraso en la redacción de reglamentos por parte de las agencias gubernamentales, lo cual </w:t>
      </w:r>
      <w:r w:rsidR="006609D4">
        <w:rPr>
          <w:rFonts w:ascii="Book Antiqua" w:hAnsi="Book Antiqua"/>
          <w:lang w:val="es-ES"/>
        </w:rPr>
        <w:t>obstaculiza</w:t>
      </w:r>
      <w:r w:rsidRPr="000C1572">
        <w:rPr>
          <w:rFonts w:ascii="Book Antiqua" w:hAnsi="Book Antiqua"/>
          <w:lang w:val="es-ES"/>
        </w:rPr>
        <w:t xml:space="preserve"> la implementación efectiva de política pública y el desarrollo económico </w:t>
      </w:r>
      <w:r w:rsidR="006609D4">
        <w:rPr>
          <w:rFonts w:ascii="Book Antiqua" w:hAnsi="Book Antiqua"/>
          <w:lang w:val="es-ES"/>
        </w:rPr>
        <w:t>de la Isla</w:t>
      </w:r>
      <w:r w:rsidRPr="000C1572">
        <w:rPr>
          <w:rFonts w:ascii="Book Antiqua" w:hAnsi="Book Antiqua"/>
          <w:lang w:val="es-ES"/>
        </w:rPr>
        <w:t xml:space="preserve">. La </w:t>
      </w:r>
      <w:r w:rsidR="00501A3E">
        <w:rPr>
          <w:rFonts w:ascii="Book Antiqua" w:hAnsi="Book Antiqua"/>
          <w:lang w:val="es-ES"/>
        </w:rPr>
        <w:t>G</w:t>
      </w:r>
      <w:r w:rsidRPr="000C1572">
        <w:rPr>
          <w:rFonts w:ascii="Book Antiqua" w:hAnsi="Book Antiqua"/>
          <w:lang w:val="es-ES"/>
        </w:rPr>
        <w:t xml:space="preserve">obernadora señaló en su Programa de Gobierno la existencia de un desfase entre la legislación aprobada y la reglamentación vigente, lo cual genera ineficiencias burocráticas. Por eso, el P. de la C. 248 responde directamente a </w:t>
      </w:r>
      <w:r w:rsidR="004B37F9" w:rsidRPr="000C1572">
        <w:rPr>
          <w:rFonts w:ascii="Book Antiqua" w:hAnsi="Book Antiqua"/>
          <w:lang w:val="es-ES"/>
        </w:rPr>
        <w:t>la política pública de la Gobernadora</w:t>
      </w:r>
      <w:r w:rsidR="00501A3E">
        <w:rPr>
          <w:rFonts w:ascii="Book Antiqua" w:hAnsi="Book Antiqua"/>
          <w:lang w:val="es-ES"/>
        </w:rPr>
        <w:t>.</w:t>
      </w:r>
      <w:r w:rsidRPr="000C1572">
        <w:rPr>
          <w:rFonts w:ascii="Book Antiqua" w:hAnsi="Book Antiqua"/>
          <w:lang w:val="es-ES"/>
        </w:rPr>
        <w:t xml:space="preserve"> </w:t>
      </w:r>
      <w:r w:rsidR="00501A3E">
        <w:rPr>
          <w:rFonts w:ascii="Book Antiqua" w:hAnsi="Book Antiqua"/>
          <w:lang w:val="es-ES"/>
        </w:rPr>
        <w:t>B</w:t>
      </w:r>
      <w:r w:rsidRPr="000C1572">
        <w:rPr>
          <w:rFonts w:ascii="Book Antiqua" w:hAnsi="Book Antiqua"/>
          <w:lang w:val="es-ES"/>
        </w:rPr>
        <w:t xml:space="preserve">usca fortalecer la capacidad ejecutiva del </w:t>
      </w:r>
      <w:r w:rsidR="00185250">
        <w:rPr>
          <w:rFonts w:ascii="Book Antiqua" w:hAnsi="Book Antiqua"/>
          <w:lang w:val="es-ES"/>
        </w:rPr>
        <w:t>G</w:t>
      </w:r>
      <w:r w:rsidRPr="000C1572">
        <w:rPr>
          <w:rFonts w:ascii="Book Antiqua" w:hAnsi="Book Antiqua"/>
          <w:lang w:val="es-ES"/>
        </w:rPr>
        <w:t xml:space="preserve">obierno </w:t>
      </w:r>
      <w:r w:rsidR="006609D4">
        <w:rPr>
          <w:rFonts w:ascii="Book Antiqua" w:hAnsi="Book Antiqua"/>
          <w:lang w:val="es-ES"/>
        </w:rPr>
        <w:t>y agilizar la redacción de reglamentos</w:t>
      </w:r>
      <w:r w:rsidR="00FA3098">
        <w:rPr>
          <w:rFonts w:ascii="Book Antiqua" w:hAnsi="Book Antiqua"/>
          <w:lang w:val="es-ES"/>
        </w:rPr>
        <w:t>,</w:t>
      </w:r>
      <w:r w:rsidR="006609D4">
        <w:rPr>
          <w:rFonts w:ascii="Book Antiqua" w:hAnsi="Book Antiqua"/>
          <w:lang w:val="es-ES"/>
        </w:rPr>
        <w:t xml:space="preserve"> </w:t>
      </w:r>
      <w:r w:rsidRPr="000C1572">
        <w:rPr>
          <w:rFonts w:ascii="Book Antiqua" w:hAnsi="Book Antiqua"/>
          <w:lang w:val="es-ES"/>
        </w:rPr>
        <w:t>sin alterar la política pública aprobada por la Asamblea Legislativa.</w:t>
      </w:r>
    </w:p>
    <w:p w14:paraId="1F3243B8" w14:textId="43811F15" w:rsidR="000B13D7" w:rsidRPr="000C1572" w:rsidRDefault="000B13D7" w:rsidP="001F002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Históricamente, medidas similares han sido consideradas por la legislatura en los pasados cuatrienios, como el P. de la C. 1205 </w:t>
      </w:r>
      <w:r w:rsidR="00885102" w:rsidRPr="00075B86">
        <w:rPr>
          <w:rFonts w:ascii="Book Antiqua" w:eastAsia="Times New Roman" w:hAnsi="Book Antiqua" w:cs="Times New Roman"/>
          <w:bCs/>
          <w:kern w:val="0"/>
          <w:szCs w:val="20"/>
          <w:lang w:val="es-ES"/>
          <w14:ligatures w14:val="none"/>
        </w:rPr>
        <w:t xml:space="preserve">durante la Décimo Octava (18va.) Asamblea Legislativa, </w:t>
      </w:r>
      <w:r w:rsidRPr="00075B86">
        <w:rPr>
          <w:rFonts w:ascii="Book Antiqua" w:hAnsi="Book Antiqua"/>
          <w:lang w:val="es-ES"/>
        </w:rPr>
        <w:t>y el P. de la C. 7</w:t>
      </w:r>
      <w:r w:rsidR="00885102" w:rsidRPr="00075B86">
        <w:rPr>
          <w:rFonts w:ascii="Book Antiqua" w:hAnsi="Book Antiqua"/>
          <w:lang w:val="es-ES"/>
        </w:rPr>
        <w:t xml:space="preserve"> </w:t>
      </w:r>
      <w:r w:rsidR="00075B86" w:rsidRPr="00075B86">
        <w:rPr>
          <w:rFonts w:ascii="Book Antiqua" w:hAnsi="Book Antiqua"/>
          <w:lang w:val="es-ES"/>
        </w:rPr>
        <w:t>del pasado cuatrienio</w:t>
      </w:r>
      <w:r w:rsidRPr="00075B86">
        <w:rPr>
          <w:rFonts w:ascii="Book Antiqua" w:hAnsi="Book Antiqua"/>
          <w:lang w:val="es-ES"/>
        </w:rPr>
        <w:t xml:space="preserve">. </w:t>
      </w:r>
      <w:r w:rsidRPr="000C1572">
        <w:rPr>
          <w:rFonts w:ascii="Book Antiqua" w:hAnsi="Book Antiqua"/>
          <w:lang w:val="es-ES"/>
        </w:rPr>
        <w:t>Aunque este último fue aprobado en ambas cámaras, fue vetado por el entonces Gobernador, bajo argumentos presentados por el Departamento de Justicia</w:t>
      </w:r>
      <w:r w:rsidR="00F547A2">
        <w:rPr>
          <w:rFonts w:ascii="Book Antiqua" w:hAnsi="Book Antiqua"/>
          <w:lang w:val="es-ES"/>
        </w:rPr>
        <w:t>.</w:t>
      </w:r>
      <w:r w:rsidRPr="000C1572">
        <w:rPr>
          <w:rFonts w:ascii="Book Antiqua" w:hAnsi="Book Antiqua"/>
          <w:lang w:val="es-ES"/>
        </w:rPr>
        <w:t xml:space="preserve"> </w:t>
      </w:r>
      <w:r w:rsidR="00F547A2">
        <w:rPr>
          <w:rFonts w:ascii="Book Antiqua" w:hAnsi="Book Antiqua"/>
          <w:lang w:val="es-ES"/>
        </w:rPr>
        <w:t xml:space="preserve">Esa agencia </w:t>
      </w:r>
      <w:r w:rsidRPr="000C1572">
        <w:rPr>
          <w:rFonts w:ascii="Book Antiqua" w:hAnsi="Book Antiqua"/>
          <w:lang w:val="es-ES"/>
        </w:rPr>
        <w:t>expres</w:t>
      </w:r>
      <w:r w:rsidR="00F547A2">
        <w:rPr>
          <w:rFonts w:ascii="Book Antiqua" w:hAnsi="Book Antiqua"/>
          <w:lang w:val="es-ES"/>
        </w:rPr>
        <w:t>ó</w:t>
      </w:r>
      <w:r w:rsidRPr="000C1572">
        <w:rPr>
          <w:rFonts w:ascii="Book Antiqua" w:hAnsi="Book Antiqua"/>
          <w:lang w:val="es-ES"/>
        </w:rPr>
        <w:t xml:space="preserve"> preocupación por </w:t>
      </w:r>
      <w:r w:rsidR="00A84B58">
        <w:rPr>
          <w:rFonts w:ascii="Book Antiqua" w:hAnsi="Book Antiqua"/>
          <w:lang w:val="es-ES"/>
        </w:rPr>
        <w:t>el</w:t>
      </w:r>
      <w:r w:rsidRPr="000C1572">
        <w:rPr>
          <w:rFonts w:ascii="Book Antiqua" w:hAnsi="Book Antiqua"/>
          <w:lang w:val="es-ES"/>
        </w:rPr>
        <w:t xml:space="preserve"> posible </w:t>
      </w:r>
      <w:r w:rsidR="00F547A2">
        <w:rPr>
          <w:rFonts w:ascii="Book Antiqua" w:hAnsi="Book Antiqua"/>
          <w:lang w:val="es-ES"/>
        </w:rPr>
        <w:t xml:space="preserve">efecto </w:t>
      </w:r>
      <w:r w:rsidRPr="000C1572">
        <w:rPr>
          <w:rFonts w:ascii="Book Antiqua" w:hAnsi="Book Antiqua"/>
          <w:lang w:val="es-ES"/>
        </w:rPr>
        <w:t>al principio de separación de poderes</w:t>
      </w:r>
      <w:r w:rsidR="00A84B58">
        <w:rPr>
          <w:rFonts w:ascii="Book Antiqua" w:hAnsi="Book Antiqua"/>
          <w:lang w:val="es-ES"/>
        </w:rPr>
        <w:t>,</w:t>
      </w:r>
      <w:r w:rsidRPr="000C1572">
        <w:rPr>
          <w:rFonts w:ascii="Book Antiqua" w:hAnsi="Book Antiqua"/>
          <w:lang w:val="es-ES"/>
        </w:rPr>
        <w:t xml:space="preserve"> y la reducción de la discreción administrativa, especialmente ante la diversidad y complejidad de </w:t>
      </w:r>
      <w:r w:rsidR="00A84B58">
        <w:rPr>
          <w:rFonts w:ascii="Book Antiqua" w:hAnsi="Book Antiqua"/>
          <w:lang w:val="es-ES"/>
        </w:rPr>
        <w:t>la</w:t>
      </w:r>
      <w:r w:rsidRPr="000C1572">
        <w:rPr>
          <w:rFonts w:ascii="Book Antiqua" w:hAnsi="Book Antiqua"/>
          <w:lang w:val="es-ES"/>
        </w:rPr>
        <w:t xml:space="preserve"> funci</w:t>
      </w:r>
      <w:r w:rsidR="00A84B58">
        <w:rPr>
          <w:rFonts w:ascii="Book Antiqua" w:hAnsi="Book Antiqua"/>
          <w:lang w:val="es-ES"/>
        </w:rPr>
        <w:t>ón administrativa</w:t>
      </w:r>
      <w:r w:rsidR="006609D4">
        <w:rPr>
          <w:rFonts w:ascii="Book Antiqua" w:hAnsi="Book Antiqua"/>
          <w:lang w:val="es-ES"/>
        </w:rPr>
        <w:t>.</w:t>
      </w:r>
    </w:p>
    <w:p w14:paraId="3876FA8E" w14:textId="17B4BA9C" w:rsidR="00FC413A" w:rsidRPr="00BB61EE" w:rsidRDefault="000B13D7" w:rsidP="001F002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A pesar de estas reservas, la medida se fundamenta en el deber de la Asamblea Legislativa de garantizar </w:t>
      </w:r>
      <w:r w:rsidR="006609D4">
        <w:rPr>
          <w:rFonts w:ascii="Book Antiqua" w:hAnsi="Book Antiqua"/>
          <w:lang w:val="es-ES"/>
        </w:rPr>
        <w:t>la adecuada prestación de servicios esenciales, promover medidas que impulsen el desarrollo económico de la Isla</w:t>
      </w:r>
      <w:r w:rsidR="00E81040">
        <w:rPr>
          <w:rFonts w:ascii="Book Antiqua" w:hAnsi="Book Antiqua"/>
          <w:lang w:val="es-ES"/>
        </w:rPr>
        <w:t>,</w:t>
      </w:r>
      <w:r w:rsidR="006609D4">
        <w:rPr>
          <w:rFonts w:ascii="Book Antiqua" w:hAnsi="Book Antiqua"/>
          <w:lang w:val="es-ES"/>
        </w:rPr>
        <w:t xml:space="preserve"> y</w:t>
      </w:r>
      <w:r w:rsidR="00E81040">
        <w:rPr>
          <w:rFonts w:ascii="Book Antiqua" w:hAnsi="Book Antiqua"/>
          <w:lang w:val="es-ES"/>
        </w:rPr>
        <w:t xml:space="preserve"> que</w:t>
      </w:r>
      <w:r w:rsidR="006609D4">
        <w:rPr>
          <w:rFonts w:ascii="Book Antiqua" w:hAnsi="Book Antiqua"/>
          <w:lang w:val="es-ES"/>
        </w:rPr>
        <w:t xml:space="preserve"> fomenten </w:t>
      </w:r>
      <w:r w:rsidRPr="000C1572">
        <w:rPr>
          <w:rFonts w:ascii="Book Antiqua" w:hAnsi="Book Antiqua"/>
          <w:lang w:val="es-ES"/>
        </w:rPr>
        <w:t>la pronta ejecución de las políticas públicas</w:t>
      </w:r>
      <w:r w:rsidR="006609D4">
        <w:rPr>
          <w:rFonts w:ascii="Book Antiqua" w:hAnsi="Book Antiqua"/>
          <w:lang w:val="es-ES"/>
        </w:rPr>
        <w:t>. Se reconoce que</w:t>
      </w:r>
      <w:r w:rsidR="0037032F">
        <w:rPr>
          <w:rFonts w:ascii="Book Antiqua" w:hAnsi="Book Antiqua"/>
          <w:lang w:val="es-ES"/>
        </w:rPr>
        <w:t xml:space="preserve"> nuestros tiempos exigen y demandan</w:t>
      </w:r>
      <w:r w:rsidR="006609D4">
        <w:rPr>
          <w:rFonts w:ascii="Book Antiqua" w:hAnsi="Book Antiqua"/>
          <w:lang w:val="es-ES"/>
        </w:rPr>
        <w:t xml:space="preserve"> </w:t>
      </w:r>
      <w:r w:rsidR="0037032F">
        <w:rPr>
          <w:rFonts w:ascii="Book Antiqua" w:hAnsi="Book Antiqua"/>
          <w:lang w:val="es-ES"/>
        </w:rPr>
        <w:t>la adopción de</w:t>
      </w:r>
      <w:r w:rsidR="006609D4">
        <w:rPr>
          <w:rFonts w:ascii="Book Antiqua" w:hAnsi="Book Antiqua"/>
          <w:lang w:val="es-ES"/>
        </w:rPr>
        <w:t xml:space="preserve"> leyes </w:t>
      </w:r>
      <w:r w:rsidR="0037032F">
        <w:rPr>
          <w:rFonts w:ascii="Book Antiqua" w:hAnsi="Book Antiqua"/>
          <w:lang w:val="es-ES"/>
        </w:rPr>
        <w:t>de vanguardia sensibles a nuestra realidad social</w:t>
      </w:r>
      <w:r w:rsidR="00984105">
        <w:rPr>
          <w:rFonts w:ascii="Book Antiqua" w:hAnsi="Book Antiqua"/>
          <w:lang w:val="es-ES"/>
        </w:rPr>
        <w:t>.</w:t>
      </w:r>
      <w:r w:rsidR="000276B3">
        <w:rPr>
          <w:rFonts w:ascii="Book Antiqua" w:hAnsi="Book Antiqua"/>
          <w:lang w:val="es-ES"/>
        </w:rPr>
        <w:t xml:space="preserve"> </w:t>
      </w:r>
      <w:r w:rsidR="00C76D6E">
        <w:rPr>
          <w:rFonts w:ascii="Book Antiqua" w:hAnsi="Book Antiqua"/>
          <w:lang w:val="es-ES"/>
        </w:rPr>
        <w:t>La</w:t>
      </w:r>
      <w:r w:rsidR="0037032F">
        <w:rPr>
          <w:rFonts w:ascii="Book Antiqua" w:hAnsi="Book Antiqua"/>
          <w:lang w:val="es-ES"/>
        </w:rPr>
        <w:t xml:space="preserve"> medida considera irrazonable que las agencias se demoren años en la redacción y aprobación de reglamentos, </w:t>
      </w:r>
      <w:r w:rsidR="00E81040">
        <w:rPr>
          <w:rFonts w:ascii="Book Antiqua" w:hAnsi="Book Antiqua"/>
          <w:lang w:val="es-ES"/>
        </w:rPr>
        <w:t xml:space="preserve">lo cual </w:t>
      </w:r>
      <w:r w:rsidR="0037032F">
        <w:rPr>
          <w:rFonts w:ascii="Book Antiqua" w:hAnsi="Book Antiqua"/>
          <w:lang w:val="es-ES"/>
        </w:rPr>
        <w:t xml:space="preserve">resulta en que no se ejecuten las leyes por falta de la debida reglamentación. </w:t>
      </w:r>
      <w:r w:rsidR="00C65FEC">
        <w:rPr>
          <w:rFonts w:ascii="Book Antiqua" w:hAnsi="Book Antiqua"/>
          <w:lang w:val="es-ES"/>
        </w:rPr>
        <w:t>L</w:t>
      </w:r>
      <w:r w:rsidR="006609D4">
        <w:rPr>
          <w:rFonts w:ascii="Book Antiqua" w:hAnsi="Book Antiqua"/>
          <w:lang w:val="es-ES"/>
        </w:rPr>
        <w:t xml:space="preserve">a exposición de motivos subraya el </w:t>
      </w:r>
      <w:r w:rsidRPr="000C1572">
        <w:rPr>
          <w:rFonts w:ascii="Book Antiqua" w:hAnsi="Book Antiqua"/>
          <w:lang w:val="es-ES"/>
        </w:rPr>
        <w:t>principio de que la reglamentación administrativa debe ser un instrumento para facilitar</w:t>
      </w:r>
      <w:r w:rsidR="006609D4">
        <w:rPr>
          <w:rFonts w:ascii="Book Antiqua" w:hAnsi="Book Antiqua"/>
          <w:lang w:val="es-ES"/>
        </w:rPr>
        <w:t xml:space="preserve"> </w:t>
      </w:r>
      <w:r w:rsidRPr="000C1572">
        <w:rPr>
          <w:rFonts w:ascii="Book Antiqua" w:hAnsi="Book Antiqua"/>
          <w:lang w:val="es-ES"/>
        </w:rPr>
        <w:t>la implementación de las leyes</w:t>
      </w:r>
      <w:r w:rsidR="006609D4">
        <w:rPr>
          <w:rFonts w:ascii="Book Antiqua" w:hAnsi="Book Antiqua"/>
          <w:lang w:val="es-ES"/>
        </w:rPr>
        <w:t>, no para postergarla</w:t>
      </w:r>
      <w:r w:rsidRPr="000C1572">
        <w:rPr>
          <w:rFonts w:ascii="Book Antiqua" w:hAnsi="Book Antiqua"/>
          <w:lang w:val="es-ES"/>
        </w:rPr>
        <w:t xml:space="preserve">. Por lo tanto, </w:t>
      </w:r>
      <w:r w:rsidR="00984105">
        <w:rPr>
          <w:rFonts w:ascii="Book Antiqua" w:hAnsi="Book Antiqua"/>
          <w:lang w:val="es-ES"/>
        </w:rPr>
        <w:t xml:space="preserve">el </w:t>
      </w:r>
      <w:r w:rsidRPr="000C1572">
        <w:rPr>
          <w:rFonts w:ascii="Book Antiqua" w:hAnsi="Book Antiqua"/>
          <w:lang w:val="es-ES"/>
        </w:rPr>
        <w:t>P. de la C. 248 se propone como una medida de control</w:t>
      </w:r>
      <w:r w:rsidR="006609D4">
        <w:rPr>
          <w:rFonts w:ascii="Book Antiqua" w:hAnsi="Book Antiqua"/>
          <w:lang w:val="es-ES"/>
        </w:rPr>
        <w:t>, fiscalización</w:t>
      </w:r>
      <w:r w:rsidRPr="000C1572">
        <w:rPr>
          <w:rFonts w:ascii="Book Antiqua" w:hAnsi="Book Antiqua"/>
          <w:lang w:val="es-ES"/>
        </w:rPr>
        <w:t xml:space="preserve"> y responsabilidad administrativa </w:t>
      </w:r>
      <w:r w:rsidR="006609D4">
        <w:rPr>
          <w:rFonts w:ascii="Book Antiqua" w:hAnsi="Book Antiqua"/>
          <w:lang w:val="es-ES"/>
        </w:rPr>
        <w:t>que va acorde</w:t>
      </w:r>
      <w:r w:rsidRPr="000C1572">
        <w:rPr>
          <w:rFonts w:ascii="Book Antiqua" w:hAnsi="Book Antiqua"/>
          <w:lang w:val="es-ES"/>
        </w:rPr>
        <w:t xml:space="preserve"> con una visión de </w:t>
      </w:r>
      <w:r w:rsidRPr="000C1572">
        <w:rPr>
          <w:rFonts w:ascii="Book Antiqua" w:hAnsi="Book Antiqua"/>
          <w:lang w:val="es-ES"/>
        </w:rPr>
        <w:lastRenderedPageBreak/>
        <w:t xml:space="preserve">gobernanza ágil y </w:t>
      </w:r>
      <w:r w:rsidR="006609D4">
        <w:rPr>
          <w:rFonts w:ascii="Book Antiqua" w:hAnsi="Book Antiqua"/>
          <w:lang w:val="es-ES"/>
        </w:rPr>
        <w:t xml:space="preserve">más </w:t>
      </w:r>
      <w:r w:rsidRPr="000C1572">
        <w:rPr>
          <w:rFonts w:ascii="Book Antiqua" w:hAnsi="Book Antiqua"/>
          <w:lang w:val="es-ES"/>
        </w:rPr>
        <w:t>eficiente</w:t>
      </w:r>
      <w:r w:rsidR="00984105">
        <w:rPr>
          <w:rFonts w:ascii="Book Antiqua" w:hAnsi="Book Antiqua"/>
          <w:lang w:val="es-ES"/>
        </w:rPr>
        <w:t>,</w:t>
      </w:r>
      <w:r w:rsidR="0037032F">
        <w:rPr>
          <w:rFonts w:ascii="Book Antiqua" w:hAnsi="Book Antiqua"/>
          <w:lang w:val="es-ES"/>
        </w:rPr>
        <w:t xml:space="preserve"> que le garantice a la ciudadanía la atención diligente a las políticas públicas de parte de las agencias e instrumentalidades públicas.</w:t>
      </w:r>
    </w:p>
    <w:p w14:paraId="691FF5FF" w14:textId="57024AF9" w:rsidR="00FC413A" w:rsidRPr="000C1572" w:rsidRDefault="00FD7233" w:rsidP="001F0023">
      <w:pPr>
        <w:spacing w:before="240" w:after="120" w:line="298" w:lineRule="auto"/>
        <w:jc w:val="center"/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  <w:t>COMENTARIOS SOBRE LA MEDIDA</w:t>
      </w:r>
    </w:p>
    <w:p w14:paraId="04BAE8EA" w14:textId="20B9DF59" w:rsidR="0037032F" w:rsidRPr="001F0023" w:rsidRDefault="006B02FF" w:rsidP="001F002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>Esta Comisión de lo Jurídico</w:t>
      </w:r>
      <w:r w:rsidR="00DE4263" w:rsidRPr="000C1572">
        <w:rPr>
          <w:rFonts w:ascii="Book Antiqua" w:hAnsi="Book Antiqua"/>
          <w:lang w:val="es-ES"/>
        </w:rPr>
        <w:t xml:space="preserve"> recibió</w:t>
      </w:r>
      <w:r w:rsidR="002E44AD" w:rsidRPr="000C1572">
        <w:rPr>
          <w:rFonts w:ascii="Book Antiqua" w:hAnsi="Book Antiqua"/>
          <w:lang w:val="es-ES"/>
        </w:rPr>
        <w:t xml:space="preserve"> y consideró</w:t>
      </w:r>
      <w:r w:rsidR="00DE4263" w:rsidRPr="000C1572">
        <w:rPr>
          <w:rFonts w:ascii="Book Antiqua" w:hAnsi="Book Antiqua"/>
          <w:lang w:val="es-ES"/>
        </w:rPr>
        <w:t xml:space="preserve"> el insumo de distintas entidades </w:t>
      </w:r>
      <w:r w:rsidR="00A31858" w:rsidRPr="000C1572">
        <w:rPr>
          <w:rFonts w:ascii="Book Antiqua" w:hAnsi="Book Antiqua"/>
          <w:lang w:val="es-ES"/>
        </w:rPr>
        <w:t>con relación a</w:t>
      </w:r>
      <w:r w:rsidR="002E44AD" w:rsidRPr="000C1572">
        <w:rPr>
          <w:rFonts w:ascii="Book Antiqua" w:hAnsi="Book Antiqua"/>
          <w:lang w:val="es-ES"/>
        </w:rPr>
        <w:t xml:space="preserve">l presente </w:t>
      </w:r>
      <w:r w:rsidR="004B37F9" w:rsidRPr="000C1572">
        <w:rPr>
          <w:rFonts w:ascii="Book Antiqua" w:hAnsi="Book Antiqua"/>
          <w:lang w:val="es-ES"/>
        </w:rPr>
        <w:t>p</w:t>
      </w:r>
      <w:r w:rsidR="002E44AD" w:rsidRPr="000C1572">
        <w:rPr>
          <w:rFonts w:ascii="Book Antiqua" w:hAnsi="Book Antiqua"/>
          <w:lang w:val="es-ES"/>
        </w:rPr>
        <w:t xml:space="preserve">royecto de </w:t>
      </w:r>
      <w:r w:rsidR="004B37F9" w:rsidRPr="000C1572">
        <w:rPr>
          <w:rFonts w:ascii="Book Antiqua" w:hAnsi="Book Antiqua"/>
          <w:lang w:val="es-ES"/>
        </w:rPr>
        <w:t>l</w:t>
      </w:r>
      <w:r w:rsidR="002E44AD" w:rsidRPr="000C1572">
        <w:rPr>
          <w:rFonts w:ascii="Book Antiqua" w:hAnsi="Book Antiqua"/>
          <w:lang w:val="es-ES"/>
        </w:rPr>
        <w:t>ey</w:t>
      </w:r>
      <w:r w:rsidR="00DE4263" w:rsidRPr="001F0023">
        <w:rPr>
          <w:rFonts w:ascii="Book Antiqua" w:hAnsi="Book Antiqua"/>
          <w:lang w:val="es-ES"/>
        </w:rPr>
        <w:t xml:space="preserve">. Procedemos a resumir los puntos más importantes que fueron evaluados por esta </w:t>
      </w:r>
      <w:r w:rsidR="00FC413A" w:rsidRPr="001F0023">
        <w:rPr>
          <w:rFonts w:ascii="Book Antiqua" w:hAnsi="Book Antiqua"/>
          <w:lang w:val="es-ES"/>
        </w:rPr>
        <w:t>C</w:t>
      </w:r>
      <w:r w:rsidR="00DE4263" w:rsidRPr="001F0023">
        <w:rPr>
          <w:rFonts w:ascii="Book Antiqua" w:hAnsi="Book Antiqua"/>
          <w:lang w:val="es-ES"/>
        </w:rPr>
        <w:t xml:space="preserve">omisión. </w:t>
      </w:r>
    </w:p>
    <w:p w14:paraId="7B95DE25" w14:textId="46E873F6" w:rsidR="009338C3" w:rsidRPr="001F0023" w:rsidRDefault="004B37F9" w:rsidP="002F305C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1F0023">
        <w:rPr>
          <w:rFonts w:ascii="Book Antiqua" w:hAnsi="Book Antiqua"/>
          <w:b/>
          <w:bCs/>
          <w:lang w:val="es-ES"/>
        </w:rPr>
        <w:t>Departamento de Estado</w:t>
      </w:r>
      <w:r w:rsidR="00B36C45">
        <w:rPr>
          <w:rFonts w:ascii="Book Antiqua" w:hAnsi="Book Antiqua"/>
          <w:b/>
          <w:bCs/>
          <w:lang w:val="es-ES"/>
        </w:rPr>
        <w:t xml:space="preserve"> (Departamento)</w:t>
      </w:r>
    </w:p>
    <w:p w14:paraId="40BCF5D9" w14:textId="77777777" w:rsidR="00325F4A" w:rsidRDefault="00D93BFA" w:rsidP="002F305C">
      <w:pPr>
        <w:spacing w:after="120" w:line="298" w:lineRule="auto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ab/>
      </w:r>
      <w:r w:rsidR="009338C3" w:rsidRPr="000C1572">
        <w:rPr>
          <w:rFonts w:ascii="Book Antiqua" w:hAnsi="Book Antiqua"/>
          <w:lang w:val="es-ES"/>
        </w:rPr>
        <w:t xml:space="preserve">La </w:t>
      </w:r>
      <w:r w:rsidRPr="000C1572">
        <w:rPr>
          <w:rFonts w:ascii="Book Antiqua" w:hAnsi="Book Antiqua"/>
          <w:lang w:val="es-ES"/>
        </w:rPr>
        <w:t xml:space="preserve">Comisión de lo Jurídico recibió </w:t>
      </w:r>
      <w:r w:rsidR="002E44AD" w:rsidRPr="000C1572">
        <w:rPr>
          <w:rFonts w:ascii="Book Antiqua" w:hAnsi="Book Antiqua"/>
          <w:lang w:val="es-ES"/>
        </w:rPr>
        <w:t xml:space="preserve">un Memorial Explicativo sobre el </w:t>
      </w:r>
      <w:r w:rsidR="00376DD0" w:rsidRPr="000C1572">
        <w:rPr>
          <w:rFonts w:ascii="Book Antiqua" w:hAnsi="Book Antiqua"/>
          <w:lang w:val="es-ES"/>
        </w:rPr>
        <w:t>P. de la C.</w:t>
      </w:r>
      <w:r w:rsidR="002E44AD" w:rsidRPr="000C1572">
        <w:rPr>
          <w:rFonts w:ascii="Book Antiqua" w:hAnsi="Book Antiqua"/>
          <w:lang w:val="es-ES"/>
        </w:rPr>
        <w:t xml:space="preserve"> </w:t>
      </w:r>
      <w:r w:rsidR="00376DD0" w:rsidRPr="000C1572">
        <w:rPr>
          <w:rFonts w:ascii="Book Antiqua" w:hAnsi="Book Antiqua"/>
          <w:lang w:val="es-ES"/>
        </w:rPr>
        <w:t>248</w:t>
      </w:r>
      <w:r w:rsidR="002E44AD" w:rsidRPr="000C1572">
        <w:rPr>
          <w:rFonts w:ascii="Book Antiqua" w:hAnsi="Book Antiqua"/>
          <w:lang w:val="es-ES"/>
        </w:rPr>
        <w:t xml:space="preserve"> de parte </w:t>
      </w:r>
      <w:r w:rsidR="00984105">
        <w:rPr>
          <w:rFonts w:ascii="Book Antiqua" w:hAnsi="Book Antiqua"/>
          <w:lang w:val="es-ES"/>
        </w:rPr>
        <w:t>del</w:t>
      </w:r>
      <w:r w:rsidR="002E44AD" w:rsidRPr="000C1572">
        <w:rPr>
          <w:rFonts w:ascii="Book Antiqua" w:hAnsi="Book Antiqua"/>
          <w:lang w:val="es-ES"/>
        </w:rPr>
        <w:t xml:space="preserve"> </w:t>
      </w:r>
      <w:r w:rsidR="004B37F9" w:rsidRPr="000C1572">
        <w:rPr>
          <w:rFonts w:ascii="Book Antiqua" w:hAnsi="Book Antiqua"/>
          <w:lang w:val="es-ES"/>
        </w:rPr>
        <w:t>Departamento.</w:t>
      </w:r>
      <w:r w:rsidR="002E44AD" w:rsidRPr="000C1572">
        <w:rPr>
          <w:rFonts w:ascii="Book Antiqua" w:hAnsi="Book Antiqua"/>
          <w:lang w:val="es-ES"/>
        </w:rPr>
        <w:t xml:space="preserve"> </w:t>
      </w:r>
      <w:r w:rsidR="00CF06A6">
        <w:rPr>
          <w:rFonts w:ascii="Book Antiqua" w:hAnsi="Book Antiqua"/>
          <w:lang w:val="es-ES"/>
        </w:rPr>
        <w:t xml:space="preserve">Este </w:t>
      </w:r>
      <w:r w:rsidR="004B37F9" w:rsidRPr="000C1572">
        <w:rPr>
          <w:rFonts w:ascii="Book Antiqua" w:hAnsi="Book Antiqua"/>
          <w:lang w:val="es-ES"/>
        </w:rPr>
        <w:t xml:space="preserve">nos señala que no se opone a que se legisle que la implementación de las leyes no depende de la existencia de un reglamento, puesto </w:t>
      </w:r>
      <w:r w:rsidR="00CE1211">
        <w:rPr>
          <w:rFonts w:ascii="Book Antiqua" w:hAnsi="Book Antiqua"/>
          <w:lang w:val="es-ES"/>
        </w:rPr>
        <w:t xml:space="preserve">a </w:t>
      </w:r>
      <w:r w:rsidR="004B37F9" w:rsidRPr="000C1572">
        <w:rPr>
          <w:rFonts w:ascii="Book Antiqua" w:hAnsi="Book Antiqua"/>
          <w:lang w:val="es-ES"/>
        </w:rPr>
        <w:t>que es un principio reconocido por el Tribunal Supremo de Puerto Rico por medio de la jurisprudencia</w:t>
      </w:r>
      <w:r w:rsidR="003B353E" w:rsidRPr="000C1572">
        <w:rPr>
          <w:rFonts w:ascii="Book Antiqua" w:hAnsi="Book Antiqua"/>
          <w:lang w:val="es-ES"/>
        </w:rPr>
        <w:t xml:space="preserve"> que continúa en vigor</w:t>
      </w:r>
      <w:r w:rsidR="004B37F9" w:rsidRPr="000C1572">
        <w:rPr>
          <w:rFonts w:ascii="Book Antiqua" w:hAnsi="Book Antiqua"/>
          <w:lang w:val="es-ES"/>
        </w:rPr>
        <w:t>. No obstante, el Departamento no recom</w:t>
      </w:r>
      <w:r w:rsidR="00240B7C">
        <w:rPr>
          <w:rFonts w:ascii="Book Antiqua" w:hAnsi="Book Antiqua"/>
          <w:lang w:val="es-ES"/>
        </w:rPr>
        <w:t>ienda</w:t>
      </w:r>
      <w:r w:rsidR="004B37F9" w:rsidRPr="000C1572">
        <w:rPr>
          <w:rFonts w:ascii="Book Antiqua" w:hAnsi="Book Antiqua"/>
          <w:lang w:val="es-ES"/>
        </w:rPr>
        <w:t xml:space="preserve"> la </w:t>
      </w:r>
      <w:r w:rsidR="00E10C43" w:rsidRPr="000C1572">
        <w:rPr>
          <w:rFonts w:ascii="Book Antiqua" w:hAnsi="Book Antiqua"/>
          <w:lang w:val="es-ES"/>
        </w:rPr>
        <w:t>aprobación</w:t>
      </w:r>
      <w:r w:rsidR="004B37F9" w:rsidRPr="000C1572">
        <w:rPr>
          <w:rFonts w:ascii="Book Antiqua" w:hAnsi="Book Antiqua"/>
          <w:lang w:val="es-ES"/>
        </w:rPr>
        <w:t xml:space="preserve"> del P. de la C. 248. </w:t>
      </w:r>
      <w:r w:rsidR="00142C72">
        <w:rPr>
          <w:rFonts w:ascii="Book Antiqua" w:hAnsi="Book Antiqua"/>
          <w:lang w:val="es-ES"/>
        </w:rPr>
        <w:t>C</w:t>
      </w:r>
      <w:r w:rsidR="004B37F9" w:rsidRPr="000C1572">
        <w:rPr>
          <w:rFonts w:ascii="Book Antiqua" w:hAnsi="Book Antiqua"/>
          <w:lang w:val="es-ES"/>
        </w:rPr>
        <w:t>onsidera que imponer un término uniforme no toma en cuenta</w:t>
      </w:r>
      <w:r w:rsidR="0081723C" w:rsidRPr="000C1572">
        <w:rPr>
          <w:rFonts w:ascii="Book Antiqua" w:hAnsi="Book Antiqua"/>
          <w:lang w:val="es-ES"/>
        </w:rPr>
        <w:t xml:space="preserve"> que una ley puede tener vigencia a partir de una fecha distinta a la de su </w:t>
      </w:r>
      <w:r w:rsidR="003B353E" w:rsidRPr="000C1572">
        <w:rPr>
          <w:rFonts w:ascii="Book Antiqua" w:hAnsi="Book Antiqua"/>
          <w:lang w:val="es-ES"/>
        </w:rPr>
        <w:t>ap</w:t>
      </w:r>
      <w:r w:rsidR="0081723C" w:rsidRPr="000C1572">
        <w:rPr>
          <w:rFonts w:ascii="Book Antiqua" w:hAnsi="Book Antiqua"/>
          <w:lang w:val="es-ES"/>
        </w:rPr>
        <w:t>robación, ni</w:t>
      </w:r>
      <w:r w:rsidR="004B37F9" w:rsidRPr="000C1572">
        <w:rPr>
          <w:rFonts w:ascii="Book Antiqua" w:hAnsi="Book Antiqua"/>
          <w:lang w:val="es-ES"/>
        </w:rPr>
        <w:t xml:space="preserve"> la complejidad </w:t>
      </w:r>
      <w:r w:rsidR="00C20316">
        <w:rPr>
          <w:rFonts w:ascii="Book Antiqua" w:hAnsi="Book Antiqua"/>
          <w:lang w:val="es-ES"/>
        </w:rPr>
        <w:t>o</w:t>
      </w:r>
      <w:r w:rsidR="004B37F9" w:rsidRPr="000C1572">
        <w:rPr>
          <w:rFonts w:ascii="Book Antiqua" w:hAnsi="Book Antiqua"/>
          <w:lang w:val="es-ES"/>
        </w:rPr>
        <w:t xml:space="preserve"> particularidades </w:t>
      </w:r>
      <w:r w:rsidR="0081723C" w:rsidRPr="000C1572">
        <w:rPr>
          <w:rFonts w:ascii="Book Antiqua" w:hAnsi="Book Antiqua"/>
          <w:lang w:val="es-ES"/>
        </w:rPr>
        <w:t>de los asuntos a reglamenta</w:t>
      </w:r>
      <w:r w:rsidR="003B353E" w:rsidRPr="000C1572">
        <w:rPr>
          <w:rFonts w:ascii="Book Antiqua" w:hAnsi="Book Antiqua"/>
          <w:lang w:val="es-ES"/>
        </w:rPr>
        <w:t>r.</w:t>
      </w:r>
      <w:r w:rsidR="0081723C" w:rsidRPr="000C1572">
        <w:rPr>
          <w:rFonts w:ascii="Book Antiqua" w:hAnsi="Book Antiqua"/>
          <w:lang w:val="es-ES"/>
        </w:rPr>
        <w:t xml:space="preserve"> </w:t>
      </w:r>
    </w:p>
    <w:p w14:paraId="1FE34C7A" w14:textId="35EEB365" w:rsidR="003B353E" w:rsidRPr="000C1572" w:rsidRDefault="00325F4A" w:rsidP="00325F4A">
      <w:pPr>
        <w:spacing w:after="120" w:line="298" w:lineRule="auto"/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</w:t>
      </w:r>
      <w:r w:rsidR="0081723C" w:rsidRPr="000C1572">
        <w:rPr>
          <w:rFonts w:ascii="Book Antiqua" w:hAnsi="Book Antiqua"/>
          <w:lang w:val="es-ES"/>
        </w:rPr>
        <w:t xml:space="preserve">a promulgación de reglamentos tiene su génesis en el reconocimiento legislativo de que la implementación de </w:t>
      </w:r>
      <w:r w:rsidR="00C20316">
        <w:rPr>
          <w:rFonts w:ascii="Book Antiqua" w:hAnsi="Book Antiqua"/>
          <w:lang w:val="es-ES"/>
        </w:rPr>
        <w:t xml:space="preserve">la </w:t>
      </w:r>
      <w:r w:rsidR="0081723C" w:rsidRPr="000C1572">
        <w:rPr>
          <w:rFonts w:ascii="Book Antiqua" w:hAnsi="Book Antiqua"/>
          <w:lang w:val="es-ES"/>
        </w:rPr>
        <w:t>política pública requiere conocimiento especializado</w:t>
      </w:r>
      <w:r w:rsidR="00536B59">
        <w:rPr>
          <w:rFonts w:ascii="Book Antiqua" w:hAnsi="Book Antiqua"/>
          <w:lang w:val="es-ES"/>
        </w:rPr>
        <w:t>.</w:t>
      </w:r>
      <w:r w:rsidR="003B353E" w:rsidRPr="000C1572">
        <w:rPr>
          <w:rFonts w:ascii="Book Antiqua" w:hAnsi="Book Antiqua"/>
          <w:lang w:val="es-ES"/>
        </w:rPr>
        <w:t xml:space="preserve"> </w:t>
      </w:r>
      <w:r w:rsidR="00536B59">
        <w:rPr>
          <w:rFonts w:ascii="Book Antiqua" w:hAnsi="Book Antiqua"/>
          <w:lang w:val="es-ES"/>
        </w:rPr>
        <w:t>L</w:t>
      </w:r>
      <w:r w:rsidR="0081723C" w:rsidRPr="000C1572">
        <w:rPr>
          <w:rFonts w:ascii="Book Antiqua" w:hAnsi="Book Antiqua"/>
          <w:lang w:val="es-ES"/>
        </w:rPr>
        <w:t>a norma general vigente es que la legislación</w:t>
      </w:r>
      <w:r w:rsidR="003B353E" w:rsidRPr="000C1572">
        <w:rPr>
          <w:rFonts w:ascii="Book Antiqua" w:hAnsi="Book Antiqua"/>
          <w:lang w:val="es-ES"/>
        </w:rPr>
        <w:t xml:space="preserve"> </w:t>
      </w:r>
      <w:r w:rsidR="00536B59">
        <w:rPr>
          <w:rFonts w:ascii="Book Antiqua" w:hAnsi="Book Antiqua"/>
          <w:lang w:val="es-ES"/>
        </w:rPr>
        <w:t>—</w:t>
      </w:r>
      <w:r w:rsidR="006F7DB6" w:rsidRPr="000C1572">
        <w:rPr>
          <w:rFonts w:ascii="Book Antiqua" w:hAnsi="Book Antiqua"/>
          <w:lang w:val="es-ES"/>
        </w:rPr>
        <w:t>de acuerdo con</w:t>
      </w:r>
      <w:r w:rsidR="003B353E" w:rsidRPr="000C1572">
        <w:rPr>
          <w:rFonts w:ascii="Book Antiqua" w:hAnsi="Book Antiqua"/>
          <w:lang w:val="es-ES"/>
        </w:rPr>
        <w:t xml:space="preserve"> las particularidades del asunto</w:t>
      </w:r>
      <w:r w:rsidR="00536B59">
        <w:rPr>
          <w:rFonts w:ascii="Book Antiqua" w:hAnsi="Book Antiqua"/>
          <w:lang w:val="es-ES"/>
        </w:rPr>
        <w:t>—</w:t>
      </w:r>
      <w:r w:rsidR="003B353E" w:rsidRPr="000C1572">
        <w:rPr>
          <w:rFonts w:ascii="Book Antiqua" w:hAnsi="Book Antiqua"/>
          <w:lang w:val="es-ES"/>
        </w:rPr>
        <w:t xml:space="preserve"> provee el término para que una agencia administrativa </w:t>
      </w:r>
      <w:r w:rsidR="0081723C" w:rsidRPr="000C1572">
        <w:rPr>
          <w:rFonts w:ascii="Book Antiqua" w:hAnsi="Book Antiqua"/>
          <w:lang w:val="es-ES"/>
        </w:rPr>
        <w:t>regl</w:t>
      </w:r>
      <w:r w:rsidR="003B353E" w:rsidRPr="000C1572">
        <w:rPr>
          <w:rFonts w:ascii="Book Antiqua" w:hAnsi="Book Antiqua"/>
          <w:lang w:val="es-ES"/>
        </w:rPr>
        <w:t>a</w:t>
      </w:r>
      <w:r w:rsidR="0081723C" w:rsidRPr="000C1572">
        <w:rPr>
          <w:rFonts w:ascii="Book Antiqua" w:hAnsi="Book Antiqua"/>
          <w:lang w:val="es-ES"/>
        </w:rPr>
        <w:t>ment</w:t>
      </w:r>
      <w:r w:rsidR="006F7DB6">
        <w:rPr>
          <w:rFonts w:ascii="Book Antiqua" w:hAnsi="Book Antiqua"/>
          <w:lang w:val="es-ES"/>
        </w:rPr>
        <w:t>e</w:t>
      </w:r>
      <w:r w:rsidR="003B353E" w:rsidRPr="000C1572">
        <w:rPr>
          <w:rFonts w:ascii="Book Antiqua" w:hAnsi="Book Antiqua"/>
          <w:lang w:val="es-ES"/>
        </w:rPr>
        <w:t>. Por lo tanto, el Departamento se posiciona en que la discreción técnica y la flexibilidad es necesaria para elaborar reglamentos adecuados.</w:t>
      </w:r>
    </w:p>
    <w:p w14:paraId="7875A147" w14:textId="25EA60B1" w:rsidR="00700A74" w:rsidRPr="000C1572" w:rsidRDefault="003B353E" w:rsidP="002F305C">
      <w:pPr>
        <w:spacing w:after="120" w:line="298" w:lineRule="auto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ab/>
      </w:r>
      <w:r w:rsidR="00EE34ED">
        <w:rPr>
          <w:rFonts w:ascii="Book Antiqua" w:hAnsi="Book Antiqua"/>
          <w:lang w:val="es-ES"/>
        </w:rPr>
        <w:t>E</w:t>
      </w:r>
      <w:r w:rsidRPr="000C1572">
        <w:rPr>
          <w:rFonts w:ascii="Book Antiqua" w:hAnsi="Book Antiqua"/>
          <w:lang w:val="es-ES"/>
        </w:rPr>
        <w:t xml:space="preserve">l Departamento </w:t>
      </w:r>
      <w:r w:rsidR="00EE34ED">
        <w:rPr>
          <w:rFonts w:ascii="Book Antiqua" w:hAnsi="Book Antiqua"/>
          <w:lang w:val="es-ES"/>
        </w:rPr>
        <w:t xml:space="preserve">también </w:t>
      </w:r>
      <w:r w:rsidRPr="000C1572">
        <w:rPr>
          <w:rFonts w:ascii="Book Antiqua" w:hAnsi="Book Antiqua"/>
          <w:lang w:val="es-ES"/>
        </w:rPr>
        <w:t xml:space="preserve">expone en su Memorial que ya existen mecanismos legales que obligan </w:t>
      </w:r>
      <w:r w:rsidR="00C20316">
        <w:rPr>
          <w:rFonts w:ascii="Book Antiqua" w:hAnsi="Book Antiqua"/>
          <w:lang w:val="es-ES"/>
        </w:rPr>
        <w:t xml:space="preserve">a </w:t>
      </w:r>
      <w:r w:rsidRPr="000C1572">
        <w:rPr>
          <w:rFonts w:ascii="Book Antiqua" w:hAnsi="Book Antiqua"/>
          <w:lang w:val="es-ES"/>
        </w:rPr>
        <w:t>las agencias a reglamentar dentro de términos razonables</w:t>
      </w:r>
      <w:r w:rsidR="00650558">
        <w:rPr>
          <w:rFonts w:ascii="Book Antiqua" w:hAnsi="Book Antiqua"/>
          <w:lang w:val="es-ES"/>
        </w:rPr>
        <w:t>.</w:t>
      </w:r>
      <w:r w:rsidRPr="000C1572">
        <w:rPr>
          <w:rFonts w:ascii="Book Antiqua" w:hAnsi="Book Antiqua"/>
          <w:lang w:val="es-ES"/>
        </w:rPr>
        <w:t xml:space="preserve"> </w:t>
      </w:r>
      <w:r w:rsidR="00CE6249">
        <w:rPr>
          <w:rFonts w:ascii="Book Antiqua" w:hAnsi="Book Antiqua"/>
          <w:lang w:val="es-ES"/>
        </w:rPr>
        <w:t>L</w:t>
      </w:r>
      <w:r w:rsidRPr="000C1572">
        <w:rPr>
          <w:rFonts w:ascii="Book Antiqua" w:hAnsi="Book Antiqua"/>
          <w:lang w:val="es-ES"/>
        </w:rPr>
        <w:t xml:space="preserve">a Asamblea Legislativa tiene autoridad para citar </w:t>
      </w:r>
      <w:r w:rsidR="00C20316">
        <w:rPr>
          <w:rFonts w:ascii="Book Antiqua" w:hAnsi="Book Antiqua"/>
          <w:lang w:val="es-ES"/>
        </w:rPr>
        <w:t xml:space="preserve">a </w:t>
      </w:r>
      <w:r w:rsidRPr="000C1572">
        <w:rPr>
          <w:rFonts w:ascii="Book Antiqua" w:hAnsi="Book Antiqua"/>
          <w:lang w:val="es-ES"/>
        </w:rPr>
        <w:t xml:space="preserve">los jefes de agencias, departamentos y demás dependencias de la Rama Ejecutiva a una sesión de interpelación, sin la necesidad de legislar para establecer un término uniforme. </w:t>
      </w:r>
      <w:r w:rsidR="00157616">
        <w:rPr>
          <w:rFonts w:ascii="Book Antiqua" w:hAnsi="Book Antiqua"/>
          <w:lang w:val="es-ES"/>
        </w:rPr>
        <w:t xml:space="preserve">El Departamento </w:t>
      </w:r>
      <w:r w:rsidRPr="000C1572">
        <w:rPr>
          <w:rFonts w:ascii="Book Antiqua" w:hAnsi="Book Antiqua"/>
          <w:lang w:val="es-ES"/>
        </w:rPr>
        <w:t>resalta que las órdenes ejecutivas OE-2025-009 y OE-2025-023 viabilizan un andamiaje administrativo eficiente y moderno en cuanto a la reglamentación, por lo que el P. de la C. 248 redunda en este aspecto.</w:t>
      </w:r>
    </w:p>
    <w:p w14:paraId="45B7D454" w14:textId="1F8074E7" w:rsidR="00480585" w:rsidRDefault="00700A74" w:rsidP="002F305C">
      <w:pPr>
        <w:spacing w:after="120" w:line="298" w:lineRule="auto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lastRenderedPageBreak/>
        <w:tab/>
        <w:t xml:space="preserve">Por </w:t>
      </w:r>
      <w:r w:rsidR="00480585">
        <w:rPr>
          <w:rFonts w:ascii="Book Antiqua" w:hAnsi="Book Antiqua"/>
          <w:lang w:val="es-ES"/>
        </w:rPr>
        <w:t>los fundamentos expuestos</w:t>
      </w:r>
      <w:r w:rsidRPr="000C1572">
        <w:rPr>
          <w:rFonts w:ascii="Book Antiqua" w:hAnsi="Book Antiqua"/>
          <w:lang w:val="es-ES"/>
        </w:rPr>
        <w:t>, el Departamento entiende que la enmienda propuesta en el P. de la C. 248 podría ser innecesaria y tener efectos negativos en el proceso de reglamentación.</w:t>
      </w:r>
      <w:bookmarkStart w:id="0" w:name="_Hlk196644757"/>
    </w:p>
    <w:p w14:paraId="6533D634" w14:textId="77777777" w:rsidR="00A93D63" w:rsidRDefault="00A93D63" w:rsidP="00A93D63">
      <w:pPr>
        <w:spacing w:after="120" w:line="298" w:lineRule="auto"/>
        <w:ind w:firstLine="706"/>
        <w:jc w:val="center"/>
        <w:rPr>
          <w:rFonts w:ascii="Book Antiqua" w:hAnsi="Book Antiqua"/>
          <w:b/>
          <w:bCs/>
          <w:lang w:val="es-ES"/>
        </w:rPr>
      </w:pPr>
      <w:r>
        <w:rPr>
          <w:rFonts w:ascii="Book Antiqua" w:hAnsi="Book Antiqua"/>
          <w:b/>
          <w:bCs/>
          <w:lang w:val="es-ES"/>
        </w:rPr>
        <w:t>Departamento de Justicia (Justicia)</w:t>
      </w:r>
    </w:p>
    <w:p w14:paraId="34ECFF9B" w14:textId="77777777" w:rsidR="002D0F89" w:rsidRDefault="00A93D63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Justicia se opone al P. de la C. 248 según redactado. Entiende que imponer un plazo general obligatorio para aprobar reglamentos pudiera invadir el ámbito de la Rama Ejecutiva. </w:t>
      </w:r>
      <w:r w:rsidR="008C26AB">
        <w:rPr>
          <w:rFonts w:ascii="Book Antiqua" w:hAnsi="Book Antiqua"/>
          <w:lang w:val="es-ES"/>
        </w:rPr>
        <w:t xml:space="preserve">Esto, en posible contravención </w:t>
      </w:r>
      <w:r>
        <w:rPr>
          <w:rFonts w:ascii="Book Antiqua" w:hAnsi="Book Antiqua"/>
          <w:lang w:val="es-ES"/>
        </w:rPr>
        <w:t>con la Constitución de Puerto Rico, Artículo IV, sobre las facultades del Poder Ejecutivo para ejecutar leyes y administrar las agencias.</w:t>
      </w:r>
    </w:p>
    <w:p w14:paraId="10AD7DA2" w14:textId="001F9E0B" w:rsidR="00A93D63" w:rsidRDefault="002562B0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Justicia t</w:t>
      </w:r>
      <w:r w:rsidRPr="00A812FB">
        <w:rPr>
          <w:rFonts w:ascii="Book Antiqua" w:hAnsi="Book Antiqua"/>
          <w:lang w:val="es-ES"/>
        </w:rPr>
        <w:t>ambién entiende que este proyect</w:t>
      </w:r>
      <w:r w:rsidR="00DF428B" w:rsidRPr="00A812FB">
        <w:rPr>
          <w:rFonts w:ascii="Book Antiqua" w:hAnsi="Book Antiqua"/>
          <w:lang w:val="es-ES"/>
        </w:rPr>
        <w:t>o pudiera confligir con la Ley 48-2018</w:t>
      </w:r>
      <w:r w:rsidR="00A812FB" w:rsidRPr="00A812FB">
        <w:rPr>
          <w:rFonts w:ascii="Book Antiqua" w:hAnsi="Book Antiqua"/>
          <w:lang w:val="es-ES"/>
        </w:rPr>
        <w:t xml:space="preserve">, </w:t>
      </w:r>
      <w:r w:rsidR="00A812FB">
        <w:rPr>
          <w:rFonts w:ascii="Book Antiqua" w:hAnsi="Book Antiqua"/>
          <w:lang w:val="es-ES"/>
        </w:rPr>
        <w:t>s</w:t>
      </w:r>
      <w:proofErr w:type="spellStart"/>
      <w:r w:rsidR="00A812FB" w:rsidRPr="00A812FB">
        <w:rPr>
          <w:rFonts w:ascii="Book Antiqua" w:hAnsi="Book Antiqua"/>
        </w:rPr>
        <w:t>egún</w:t>
      </w:r>
      <w:proofErr w:type="spellEnd"/>
      <w:r w:rsidR="00A812FB" w:rsidRPr="00A812FB">
        <w:rPr>
          <w:rFonts w:ascii="Book Antiqua" w:hAnsi="Book Antiqua"/>
        </w:rPr>
        <w:t xml:space="preserve"> enmendada, y conocida como “Ley de la Revisión e Implementación de Reglamentos Administrativos.”</w:t>
      </w:r>
      <w:r w:rsidR="002E1B99">
        <w:rPr>
          <w:rFonts w:ascii="Book Antiqua" w:hAnsi="Book Antiqua"/>
        </w:rPr>
        <w:t xml:space="preserve"> Esta ley </w:t>
      </w:r>
      <w:r w:rsidR="002E1B99" w:rsidRPr="002E1B99">
        <w:rPr>
          <w:rFonts w:ascii="Book Antiqua" w:hAnsi="Book Antiqua"/>
          <w:lang w:val="es-ES"/>
        </w:rPr>
        <w:t>cre</w:t>
      </w:r>
      <w:r w:rsidR="002E1B99">
        <w:rPr>
          <w:rFonts w:ascii="Book Antiqua" w:hAnsi="Book Antiqua"/>
          <w:lang w:val="es-ES"/>
        </w:rPr>
        <w:t>ó</w:t>
      </w:r>
      <w:r w:rsidR="002E1B99" w:rsidRPr="002E1B99">
        <w:rPr>
          <w:rFonts w:ascii="Book Antiqua" w:hAnsi="Book Antiqua"/>
          <w:lang w:val="es-ES"/>
        </w:rPr>
        <w:t xml:space="preserve"> la </w:t>
      </w:r>
      <w:r w:rsidR="00C7318E">
        <w:rPr>
          <w:rFonts w:ascii="Book Antiqua" w:hAnsi="Book Antiqua"/>
          <w:lang w:val="es-ES"/>
        </w:rPr>
        <w:t>c</w:t>
      </w:r>
      <w:r w:rsidR="002E1B99" w:rsidRPr="002E1B99">
        <w:rPr>
          <w:rFonts w:ascii="Book Antiqua" w:hAnsi="Book Antiqua"/>
          <w:lang w:val="es-ES"/>
        </w:rPr>
        <w:t xml:space="preserve">omisión </w:t>
      </w:r>
      <w:r w:rsidR="00C7318E">
        <w:rPr>
          <w:rFonts w:ascii="Book Antiqua" w:hAnsi="Book Antiqua"/>
          <w:lang w:val="es-ES"/>
        </w:rPr>
        <w:t>c</w:t>
      </w:r>
      <w:r w:rsidR="002E1B99" w:rsidRPr="002E1B99">
        <w:rPr>
          <w:rFonts w:ascii="Book Antiqua" w:hAnsi="Book Antiqua"/>
          <w:lang w:val="es-ES"/>
        </w:rPr>
        <w:t xml:space="preserve">onjunta </w:t>
      </w:r>
      <w:r w:rsidR="00C7318E">
        <w:rPr>
          <w:rFonts w:ascii="Book Antiqua" w:hAnsi="Book Antiqua"/>
          <w:lang w:val="es-ES"/>
        </w:rPr>
        <w:t>p</w:t>
      </w:r>
      <w:r w:rsidR="002E1B99" w:rsidRPr="002E1B99">
        <w:rPr>
          <w:rFonts w:ascii="Book Antiqua" w:hAnsi="Book Antiqua"/>
          <w:lang w:val="es-ES"/>
        </w:rPr>
        <w:t xml:space="preserve">ermanente de la Asamblea Legislativa </w:t>
      </w:r>
      <w:r w:rsidR="00C7318E">
        <w:rPr>
          <w:rFonts w:ascii="Book Antiqua" w:hAnsi="Book Antiqua"/>
          <w:lang w:val="es-ES"/>
        </w:rPr>
        <w:t xml:space="preserve">denominada como </w:t>
      </w:r>
      <w:r w:rsidR="00C7318E" w:rsidRPr="00C7318E">
        <w:rPr>
          <w:rFonts w:ascii="Book Antiqua" w:hAnsi="Book Antiqua"/>
          <w:i/>
          <w:iCs/>
          <w:lang w:val="es-ES"/>
        </w:rPr>
        <w:t>Comisión Conjunta para la Revisión e Implementación de Reglamentos Administrativos</w:t>
      </w:r>
      <w:r w:rsidR="00C7318E">
        <w:rPr>
          <w:rFonts w:ascii="Book Antiqua" w:hAnsi="Book Antiqua"/>
          <w:lang w:val="es-ES"/>
        </w:rPr>
        <w:t xml:space="preserve">. </w:t>
      </w:r>
      <w:r w:rsidR="00034C87">
        <w:rPr>
          <w:rFonts w:ascii="Book Antiqua" w:hAnsi="Book Antiqua"/>
          <w:lang w:val="es-ES"/>
        </w:rPr>
        <w:t xml:space="preserve">Según </w:t>
      </w:r>
      <w:r w:rsidR="002C606D">
        <w:rPr>
          <w:rFonts w:ascii="Book Antiqua" w:hAnsi="Book Antiqua"/>
          <w:lang w:val="es-ES"/>
        </w:rPr>
        <w:t>J</w:t>
      </w:r>
      <w:r w:rsidR="00034C87">
        <w:rPr>
          <w:rFonts w:ascii="Book Antiqua" w:hAnsi="Book Antiqua"/>
          <w:lang w:val="es-ES"/>
        </w:rPr>
        <w:t xml:space="preserve">usticia, el referido estatuto y esta medida comparten una intención común: combatir la inercia reglamentaria y promover el cumplimiento efectivo. </w:t>
      </w:r>
      <w:r w:rsidR="00543C92">
        <w:rPr>
          <w:rFonts w:ascii="Book Antiqua" w:hAnsi="Book Antiqua"/>
          <w:lang w:val="es-ES"/>
        </w:rPr>
        <w:t xml:space="preserve">Así, Justicia recomienda que se evalúe </w:t>
      </w:r>
      <w:r w:rsidR="00FF027E">
        <w:rPr>
          <w:rFonts w:ascii="Book Antiqua" w:hAnsi="Book Antiqua"/>
          <w:lang w:val="es-ES"/>
        </w:rPr>
        <w:t xml:space="preserve">integrar este proyecto como enmienda a la Ley 48-2018, </w:t>
      </w:r>
      <w:r w:rsidR="00C9536E">
        <w:rPr>
          <w:rFonts w:ascii="Book Antiqua" w:hAnsi="Book Antiqua"/>
          <w:lang w:val="es-ES"/>
        </w:rPr>
        <w:t>o que se mencion</w:t>
      </w:r>
      <w:r w:rsidR="005C4A90">
        <w:rPr>
          <w:rFonts w:ascii="Book Antiqua" w:hAnsi="Book Antiqua"/>
          <w:lang w:val="es-ES"/>
        </w:rPr>
        <w:t>e</w:t>
      </w:r>
      <w:r w:rsidR="00C9536E">
        <w:rPr>
          <w:rFonts w:ascii="Book Antiqua" w:hAnsi="Book Antiqua"/>
          <w:lang w:val="es-ES"/>
        </w:rPr>
        <w:t xml:space="preserve"> el referido estatuto en esta medida para evitar conflictos interpretativos. </w:t>
      </w:r>
    </w:p>
    <w:p w14:paraId="2C0EC4B5" w14:textId="77777777" w:rsidR="003A6D10" w:rsidRDefault="004C3C6E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De otro lado, </w:t>
      </w:r>
      <w:r w:rsidR="00424AEF">
        <w:rPr>
          <w:rFonts w:ascii="Book Antiqua" w:hAnsi="Book Antiqua"/>
          <w:lang w:val="es-ES"/>
        </w:rPr>
        <w:t xml:space="preserve">a Justicia no le queda claro si los plazos y obligaciones que establece el </w:t>
      </w:r>
      <w:r w:rsidR="00424AEF" w:rsidRPr="000C1572">
        <w:rPr>
          <w:rFonts w:ascii="Book Antiqua" w:hAnsi="Book Antiqua"/>
          <w:lang w:val="es-ES"/>
        </w:rPr>
        <w:t>P. de la C. 248</w:t>
      </w:r>
      <w:r w:rsidR="00424AEF">
        <w:rPr>
          <w:rFonts w:ascii="Book Antiqua" w:hAnsi="Book Antiqua"/>
          <w:lang w:val="es-ES"/>
        </w:rPr>
        <w:t xml:space="preserve"> solo aplican cuando una ley especial expresamente dispone que se debe aprobar </w:t>
      </w:r>
      <w:r w:rsidR="0040528D">
        <w:rPr>
          <w:rFonts w:ascii="Book Antiqua" w:hAnsi="Book Antiqua"/>
          <w:lang w:val="es-ES"/>
        </w:rPr>
        <w:t xml:space="preserve">un reglamento. </w:t>
      </w:r>
      <w:r w:rsidR="00387B30">
        <w:rPr>
          <w:rFonts w:ascii="Book Antiqua" w:hAnsi="Book Antiqua"/>
          <w:lang w:val="es-ES"/>
        </w:rPr>
        <w:t xml:space="preserve">Por tanto, Justicia </w:t>
      </w:r>
      <w:r w:rsidR="00A858B3">
        <w:rPr>
          <w:rFonts w:ascii="Book Antiqua" w:hAnsi="Book Antiqua"/>
          <w:lang w:val="es-ES"/>
        </w:rPr>
        <w:t xml:space="preserve">recomienda lo siguiente: </w:t>
      </w:r>
    </w:p>
    <w:p w14:paraId="1DE8C010" w14:textId="77777777" w:rsidR="003A6D10" w:rsidRDefault="00A858B3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(1) aclarar que los </w:t>
      </w:r>
      <w:r w:rsidR="00D440DB">
        <w:rPr>
          <w:rFonts w:ascii="Book Antiqua" w:hAnsi="Book Antiqua"/>
          <w:lang w:val="es-ES"/>
        </w:rPr>
        <w:t xml:space="preserve">términos </w:t>
      </w:r>
      <w:r w:rsidR="00D43330">
        <w:rPr>
          <w:rFonts w:ascii="Book Antiqua" w:hAnsi="Book Antiqua"/>
          <w:lang w:val="es-ES"/>
        </w:rPr>
        <w:t xml:space="preserve">para reglamentar solo aplican cuando así se disponga expresamente por ley; </w:t>
      </w:r>
    </w:p>
    <w:p w14:paraId="40BA072E" w14:textId="77777777" w:rsidR="003A6D10" w:rsidRDefault="00D43330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(2) </w:t>
      </w:r>
      <w:r w:rsidR="004521A9">
        <w:rPr>
          <w:rFonts w:ascii="Book Antiqua" w:hAnsi="Book Antiqua"/>
          <w:lang w:val="es-ES"/>
        </w:rPr>
        <w:t>permitir que se justifique el incumplimiento con l</w:t>
      </w:r>
      <w:r w:rsidR="00D440DB">
        <w:rPr>
          <w:rFonts w:ascii="Book Antiqua" w:hAnsi="Book Antiqua"/>
          <w:lang w:val="es-ES"/>
        </w:rPr>
        <w:t>os términos para reglamentar;</w:t>
      </w:r>
    </w:p>
    <w:p w14:paraId="0EE2397F" w14:textId="3BB25910" w:rsidR="002562B0" w:rsidRDefault="00D440DB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(3) </w:t>
      </w:r>
      <w:r w:rsidR="002F4271">
        <w:rPr>
          <w:rFonts w:ascii="Book Antiqua" w:hAnsi="Book Antiqua"/>
          <w:lang w:val="es-ES"/>
        </w:rPr>
        <w:t xml:space="preserve">mantener la interpelación legislativa como una facultad general, y no como una sanción automática; </w:t>
      </w:r>
    </w:p>
    <w:p w14:paraId="214004F3" w14:textId="2FC9FA49" w:rsidR="003A6D10" w:rsidRDefault="003A6D10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(4) </w:t>
      </w:r>
      <w:r w:rsidR="00CD69F7">
        <w:rPr>
          <w:rFonts w:ascii="Book Antiqua" w:hAnsi="Book Antiqua"/>
          <w:lang w:val="es-ES"/>
        </w:rPr>
        <w:t>incluir una cláusula que reconozca que esta medida no limita la autoridad ejecutiva constitucional para reglamentar cuando no exista mandato legislativo específico.</w:t>
      </w:r>
    </w:p>
    <w:p w14:paraId="2055EFF7" w14:textId="7627F3D6" w:rsidR="00CD69F7" w:rsidRPr="009523E8" w:rsidRDefault="00F56720" w:rsidP="00A93D63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último, Justicia entiende que </w:t>
      </w:r>
      <w:r w:rsidR="00E82B42">
        <w:rPr>
          <w:rFonts w:ascii="Book Antiqua" w:hAnsi="Book Antiqua"/>
          <w:lang w:val="es-ES"/>
        </w:rPr>
        <w:t xml:space="preserve">la enmienda para añadir </w:t>
      </w:r>
      <w:r>
        <w:rPr>
          <w:rFonts w:ascii="Book Antiqua" w:hAnsi="Book Antiqua"/>
          <w:lang w:val="es-ES"/>
        </w:rPr>
        <w:t xml:space="preserve">una nueva Sección 2.21 a la LPAU, </w:t>
      </w:r>
      <w:r w:rsidR="00A75594">
        <w:rPr>
          <w:rFonts w:ascii="Book Antiqua" w:hAnsi="Book Antiqua"/>
          <w:lang w:val="es-ES"/>
        </w:rPr>
        <w:t>no afectaría nuestro ordenamiento jurídico, pues expresaría el estado de derecho vigente.</w:t>
      </w:r>
    </w:p>
    <w:p w14:paraId="15356BC2" w14:textId="69388D6C" w:rsidR="00B02865" w:rsidRPr="00952F53" w:rsidRDefault="00C03C24" w:rsidP="00475EC5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952F53">
        <w:rPr>
          <w:rFonts w:ascii="Book Antiqua" w:hAnsi="Book Antiqua"/>
          <w:b/>
          <w:bCs/>
          <w:lang w:val="es-ES"/>
        </w:rPr>
        <w:lastRenderedPageBreak/>
        <w:t>Oficina de Administración de los Tribunales (OAT)</w:t>
      </w:r>
      <w:bookmarkEnd w:id="0"/>
    </w:p>
    <w:p w14:paraId="2408A0FB" w14:textId="6EC452DF" w:rsidR="00BB61EE" w:rsidRPr="000C1572" w:rsidRDefault="00700A74" w:rsidP="00CE5055">
      <w:pPr>
        <w:spacing w:after="120" w:line="298" w:lineRule="auto"/>
        <w:ind w:firstLine="708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En los </w:t>
      </w:r>
      <w:r w:rsidR="003D4359">
        <w:rPr>
          <w:rFonts w:ascii="Book Antiqua" w:hAnsi="Book Antiqua"/>
          <w:lang w:val="es-ES"/>
        </w:rPr>
        <w:t>c</w:t>
      </w:r>
      <w:r w:rsidRPr="000C1572">
        <w:rPr>
          <w:rFonts w:ascii="Book Antiqua" w:hAnsi="Book Antiqua"/>
          <w:lang w:val="es-ES"/>
        </w:rPr>
        <w:t>omentarios al P. de la C. 248 solicitados por esta Comisión, l</w:t>
      </w:r>
      <w:r w:rsidR="00C03C24" w:rsidRPr="000C1572">
        <w:rPr>
          <w:rFonts w:ascii="Book Antiqua" w:hAnsi="Book Antiqua"/>
          <w:lang w:val="es-ES"/>
        </w:rPr>
        <w:t>a</w:t>
      </w:r>
      <w:r w:rsidR="005670E8" w:rsidRPr="000C1572">
        <w:rPr>
          <w:rFonts w:ascii="Book Antiqua" w:hAnsi="Book Antiqua"/>
          <w:lang w:val="es-ES"/>
        </w:rPr>
        <w:t xml:space="preserve"> </w:t>
      </w:r>
      <w:r w:rsidR="00C03C24" w:rsidRPr="000C1572">
        <w:rPr>
          <w:rFonts w:ascii="Book Antiqua" w:hAnsi="Book Antiqua"/>
          <w:lang w:val="es-ES"/>
        </w:rPr>
        <w:t xml:space="preserve">OAT </w:t>
      </w:r>
      <w:r w:rsidRPr="000C1572">
        <w:rPr>
          <w:rFonts w:ascii="Book Antiqua" w:hAnsi="Book Antiqua"/>
          <w:lang w:val="es-ES"/>
        </w:rPr>
        <w:t>destac</w:t>
      </w:r>
      <w:r w:rsidR="00DD12CC">
        <w:rPr>
          <w:rFonts w:ascii="Book Antiqua" w:hAnsi="Book Antiqua"/>
          <w:lang w:val="es-ES"/>
        </w:rPr>
        <w:t>ó</w:t>
      </w:r>
      <w:r w:rsidRPr="000C1572">
        <w:rPr>
          <w:rFonts w:ascii="Book Antiqua" w:hAnsi="Book Antiqua"/>
          <w:lang w:val="es-ES"/>
        </w:rPr>
        <w:t xml:space="preserve"> que la LPAU </w:t>
      </w:r>
      <w:r w:rsidR="000C1572" w:rsidRPr="000C1572">
        <w:rPr>
          <w:rFonts w:ascii="Book Antiqua" w:hAnsi="Book Antiqua"/>
          <w:lang w:val="es-ES"/>
        </w:rPr>
        <w:t>aplica a los procesos administrativos ante las agencias que no están expresamente exceptuadas</w:t>
      </w:r>
      <w:r w:rsidR="00DD12CC">
        <w:rPr>
          <w:rFonts w:ascii="Book Antiqua" w:hAnsi="Book Antiqua"/>
          <w:lang w:val="es-ES"/>
        </w:rPr>
        <w:t>.</w:t>
      </w:r>
      <w:r w:rsidR="000C1572" w:rsidRPr="000C1572">
        <w:rPr>
          <w:rFonts w:ascii="Book Antiqua" w:hAnsi="Book Antiqua"/>
          <w:lang w:val="es-ES"/>
        </w:rPr>
        <w:t xml:space="preserve"> </w:t>
      </w:r>
      <w:r w:rsidR="00DD12CC">
        <w:rPr>
          <w:rFonts w:ascii="Book Antiqua" w:hAnsi="Book Antiqua"/>
          <w:lang w:val="es-ES"/>
        </w:rPr>
        <w:t xml:space="preserve">Así, </w:t>
      </w:r>
      <w:r w:rsidRPr="000C1572">
        <w:rPr>
          <w:rFonts w:ascii="Book Antiqua" w:hAnsi="Book Antiqua"/>
          <w:lang w:val="es-ES"/>
        </w:rPr>
        <w:t xml:space="preserve">no aplica al ámbito judicial, al Senado ni </w:t>
      </w:r>
      <w:r w:rsidR="007E5891">
        <w:rPr>
          <w:rFonts w:ascii="Book Antiqua" w:hAnsi="Book Antiqua"/>
          <w:lang w:val="es-ES"/>
        </w:rPr>
        <w:t xml:space="preserve">a </w:t>
      </w:r>
      <w:r w:rsidRPr="000C1572">
        <w:rPr>
          <w:rFonts w:ascii="Book Antiqua" w:hAnsi="Book Antiqua"/>
          <w:lang w:val="es-ES"/>
        </w:rPr>
        <w:t>la Cámara de Representantes, entre otras entidades, según establece expresamente la Sección 1.3 de la referida ley</w:t>
      </w:r>
      <w:r w:rsidR="000C1572" w:rsidRPr="000C1572">
        <w:rPr>
          <w:rFonts w:ascii="Book Antiqua" w:hAnsi="Book Antiqua"/>
          <w:lang w:val="es-ES"/>
        </w:rPr>
        <w:t xml:space="preserve"> al definir el término </w:t>
      </w:r>
      <w:r w:rsidR="00DD12CC" w:rsidRPr="00DD12CC">
        <w:rPr>
          <w:rFonts w:ascii="Book Antiqua" w:hAnsi="Book Antiqua"/>
          <w:i/>
          <w:iCs/>
          <w:lang w:val="es-ES"/>
        </w:rPr>
        <w:t>a</w:t>
      </w:r>
      <w:r w:rsidR="000C1572" w:rsidRPr="00DD12CC">
        <w:rPr>
          <w:rFonts w:ascii="Book Antiqua" w:hAnsi="Book Antiqua"/>
          <w:i/>
          <w:iCs/>
          <w:lang w:val="es-ES"/>
        </w:rPr>
        <w:t>gencia</w:t>
      </w:r>
      <w:r w:rsidRPr="000C1572">
        <w:rPr>
          <w:rFonts w:ascii="Book Antiqua" w:hAnsi="Book Antiqua"/>
          <w:lang w:val="es-ES"/>
        </w:rPr>
        <w:t>. La OAT reconoce que el P. de la C. 248 conlleva determinaciones de política pública que recaen dentro de la autoridad de la Rama Ejecutiva y la Rama Legislativa</w:t>
      </w:r>
      <w:r w:rsidR="00DD12CC">
        <w:rPr>
          <w:rFonts w:ascii="Book Antiqua" w:hAnsi="Book Antiqua"/>
          <w:lang w:val="es-ES"/>
        </w:rPr>
        <w:t>.</w:t>
      </w:r>
      <w:r w:rsidRPr="000C1572">
        <w:rPr>
          <w:rFonts w:ascii="Book Antiqua" w:hAnsi="Book Antiqua"/>
          <w:lang w:val="es-ES"/>
        </w:rPr>
        <w:t xml:space="preserve"> </w:t>
      </w:r>
      <w:r w:rsidR="00DD12CC">
        <w:rPr>
          <w:rFonts w:ascii="Book Antiqua" w:hAnsi="Book Antiqua"/>
          <w:lang w:val="es-ES"/>
        </w:rPr>
        <w:t>C</w:t>
      </w:r>
      <w:r w:rsidRPr="000C1572">
        <w:rPr>
          <w:rFonts w:ascii="Book Antiqua" w:hAnsi="Book Antiqua"/>
          <w:lang w:val="es-ES"/>
        </w:rPr>
        <w:t>omo norma institucional, se abstie</w:t>
      </w:r>
      <w:r w:rsidR="00534281">
        <w:rPr>
          <w:rFonts w:ascii="Book Antiqua" w:hAnsi="Book Antiqua"/>
          <w:lang w:val="es-ES"/>
        </w:rPr>
        <w:t>ne</w:t>
      </w:r>
      <w:r w:rsidRPr="000C1572">
        <w:rPr>
          <w:rFonts w:ascii="Book Antiqua" w:hAnsi="Book Antiqua"/>
          <w:lang w:val="es-ES"/>
        </w:rPr>
        <w:t xml:space="preserve"> de emitir opinión sobre iniciativas que traten </w:t>
      </w:r>
      <w:r w:rsidR="00C20316">
        <w:rPr>
          <w:rFonts w:ascii="Book Antiqua" w:hAnsi="Book Antiqua"/>
          <w:lang w:val="es-ES"/>
        </w:rPr>
        <w:t xml:space="preserve">de </w:t>
      </w:r>
      <w:r w:rsidRPr="000C1572">
        <w:rPr>
          <w:rFonts w:ascii="Book Antiqua" w:hAnsi="Book Antiqua"/>
          <w:lang w:val="es-ES"/>
        </w:rPr>
        <w:t>política pú</w:t>
      </w:r>
      <w:r w:rsidR="000C1572" w:rsidRPr="000C1572">
        <w:rPr>
          <w:rFonts w:ascii="Book Antiqua" w:hAnsi="Book Antiqua"/>
          <w:lang w:val="es-ES"/>
        </w:rPr>
        <w:t>b</w:t>
      </w:r>
      <w:r w:rsidRPr="000C1572">
        <w:rPr>
          <w:rFonts w:ascii="Book Antiqua" w:hAnsi="Book Antiqua"/>
          <w:lang w:val="es-ES"/>
        </w:rPr>
        <w:t xml:space="preserve">lica gubernamental ajena a la Rama Judicial. Por lo expuesto, la OAT </w:t>
      </w:r>
      <w:r w:rsidR="00534281">
        <w:rPr>
          <w:rFonts w:ascii="Book Antiqua" w:hAnsi="Book Antiqua"/>
          <w:lang w:val="es-ES"/>
        </w:rPr>
        <w:t>declinó</w:t>
      </w:r>
      <w:r w:rsidRPr="000C1572">
        <w:rPr>
          <w:rFonts w:ascii="Book Antiqua" w:hAnsi="Book Antiqua"/>
          <w:lang w:val="es-ES"/>
        </w:rPr>
        <w:t xml:space="preserve"> comentar sobre los méritos del referido proyecto de ley.</w:t>
      </w:r>
    </w:p>
    <w:p w14:paraId="6ACF9D8B" w14:textId="4847BECA" w:rsidR="000C1572" w:rsidRPr="00534281" w:rsidRDefault="000C1572" w:rsidP="00E32E3D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534281">
        <w:rPr>
          <w:rFonts w:ascii="Book Antiqua" w:hAnsi="Book Antiqua"/>
          <w:b/>
          <w:bCs/>
          <w:lang w:val="es-ES"/>
        </w:rPr>
        <w:t>Oficina del Contr</w:t>
      </w:r>
      <w:r w:rsidR="00F75FA1" w:rsidRPr="00534281">
        <w:rPr>
          <w:rFonts w:ascii="Book Antiqua" w:hAnsi="Book Antiqua"/>
          <w:b/>
          <w:bCs/>
          <w:lang w:val="es-ES"/>
        </w:rPr>
        <w:t>al</w:t>
      </w:r>
      <w:r w:rsidRPr="00534281">
        <w:rPr>
          <w:rFonts w:ascii="Book Antiqua" w:hAnsi="Book Antiqua"/>
          <w:b/>
          <w:bCs/>
          <w:lang w:val="es-ES"/>
        </w:rPr>
        <w:t>or Electoral (OCE)</w:t>
      </w:r>
    </w:p>
    <w:p w14:paraId="6FFFFE97" w14:textId="6D9EB29B" w:rsidR="00706171" w:rsidRDefault="000C1572" w:rsidP="00534281">
      <w:pPr>
        <w:spacing w:line="298" w:lineRule="auto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ab/>
      </w:r>
      <w:r w:rsidR="002C32E5">
        <w:rPr>
          <w:rFonts w:ascii="Book Antiqua" w:hAnsi="Book Antiqua"/>
          <w:lang w:val="es-ES"/>
        </w:rPr>
        <w:t>En su Memorial Explicativo, l</w:t>
      </w:r>
      <w:r w:rsidRPr="000C1572">
        <w:rPr>
          <w:rFonts w:ascii="Book Antiqua" w:hAnsi="Book Antiqua"/>
          <w:lang w:val="es-ES"/>
        </w:rPr>
        <w:t>a OCE expresó deferencia a la Asamblea Legislativa respecto a</w:t>
      </w:r>
      <w:r w:rsidR="002C32E5">
        <w:rPr>
          <w:rFonts w:ascii="Book Antiqua" w:hAnsi="Book Antiqua"/>
          <w:lang w:val="es-ES"/>
        </w:rPr>
        <w:t xml:space="preserve"> la determinación de la adopción del</w:t>
      </w:r>
      <w:r w:rsidRPr="000C1572">
        <w:rPr>
          <w:rFonts w:ascii="Book Antiqua" w:hAnsi="Book Antiqua"/>
          <w:lang w:val="es-ES"/>
        </w:rPr>
        <w:t xml:space="preserve"> P. de la C. 248</w:t>
      </w:r>
      <w:r w:rsidR="00485232">
        <w:rPr>
          <w:rFonts w:ascii="Book Antiqua" w:hAnsi="Book Antiqua"/>
          <w:lang w:val="es-ES"/>
        </w:rPr>
        <w:t>.</w:t>
      </w:r>
      <w:r w:rsidRPr="000C1572">
        <w:rPr>
          <w:rFonts w:ascii="Book Antiqua" w:hAnsi="Book Antiqua"/>
          <w:lang w:val="es-ES"/>
        </w:rPr>
        <w:t xml:space="preserve"> </w:t>
      </w:r>
      <w:r w:rsidR="00485232">
        <w:rPr>
          <w:rFonts w:ascii="Book Antiqua" w:hAnsi="Book Antiqua"/>
          <w:lang w:val="es-ES"/>
        </w:rPr>
        <w:t xml:space="preserve">Este </w:t>
      </w:r>
      <w:r w:rsidRPr="000C1572">
        <w:rPr>
          <w:rFonts w:ascii="Book Antiqua" w:hAnsi="Book Antiqua"/>
          <w:lang w:val="es-ES"/>
        </w:rPr>
        <w:t>proyecto no afecta ni incide sobre sus funciones</w:t>
      </w:r>
      <w:r w:rsidR="00485232">
        <w:rPr>
          <w:rFonts w:ascii="Book Antiqua" w:hAnsi="Book Antiqua"/>
          <w:lang w:val="es-ES"/>
        </w:rPr>
        <w:t>,</w:t>
      </w:r>
      <w:r w:rsidRPr="000C1572">
        <w:rPr>
          <w:rFonts w:ascii="Book Antiqua" w:hAnsi="Book Antiqua"/>
          <w:lang w:val="es-ES"/>
        </w:rPr>
        <w:t xml:space="preserve"> y la LPAU no le</w:t>
      </w:r>
      <w:r w:rsidR="00485232">
        <w:rPr>
          <w:rFonts w:ascii="Book Antiqua" w:hAnsi="Book Antiqua"/>
          <w:lang w:val="es-ES"/>
        </w:rPr>
        <w:t xml:space="preserve"> aplica</w:t>
      </w:r>
      <w:r w:rsidR="00E827FA">
        <w:rPr>
          <w:rFonts w:ascii="Book Antiqua" w:hAnsi="Book Antiqua"/>
          <w:lang w:val="es-ES"/>
        </w:rPr>
        <w:t>. Esto,</w:t>
      </w:r>
      <w:r w:rsidRPr="000C1572">
        <w:rPr>
          <w:rFonts w:ascii="Book Antiqua" w:hAnsi="Book Antiqua"/>
          <w:lang w:val="es-ES"/>
        </w:rPr>
        <w:t xml:space="preserve"> conforme a los Artículos 3.003A (</w:t>
      </w:r>
      <w:proofErr w:type="spellStart"/>
      <w:r w:rsidRPr="000C1572">
        <w:rPr>
          <w:rFonts w:ascii="Book Antiqua" w:hAnsi="Book Antiqua"/>
          <w:lang w:val="es-ES"/>
        </w:rPr>
        <w:t>dd</w:t>
      </w:r>
      <w:proofErr w:type="spellEnd"/>
      <w:r w:rsidRPr="000C1572">
        <w:rPr>
          <w:rFonts w:ascii="Book Antiqua" w:hAnsi="Book Antiqua"/>
          <w:lang w:val="es-ES"/>
        </w:rPr>
        <w:t>) y 12.004 de su le</w:t>
      </w:r>
      <w:r w:rsidR="00706171">
        <w:rPr>
          <w:rFonts w:ascii="Book Antiqua" w:hAnsi="Book Antiqua"/>
          <w:lang w:val="es-ES"/>
        </w:rPr>
        <w:t>y</w:t>
      </w:r>
      <w:r w:rsidRPr="000C1572">
        <w:rPr>
          <w:rFonts w:ascii="Book Antiqua" w:hAnsi="Book Antiqua"/>
          <w:lang w:val="es-ES"/>
        </w:rPr>
        <w:t xml:space="preserve"> habilitadora, la Ley 222-2011, según enmendada, conocida como “Ley para la Fiscalización del </w:t>
      </w:r>
      <w:r w:rsidR="00706171" w:rsidRPr="000C1572">
        <w:rPr>
          <w:rFonts w:ascii="Book Antiqua" w:hAnsi="Book Antiqua"/>
          <w:lang w:val="es-ES"/>
        </w:rPr>
        <w:t>Financiamiento</w:t>
      </w:r>
      <w:r w:rsidRPr="000C1572">
        <w:rPr>
          <w:rFonts w:ascii="Book Antiqua" w:hAnsi="Book Antiqua"/>
          <w:lang w:val="es-ES"/>
        </w:rPr>
        <w:t xml:space="preserve"> de Campañas Políticas en Puerto Rico”.</w:t>
      </w:r>
    </w:p>
    <w:p w14:paraId="7C931693" w14:textId="3CF677F5" w:rsidR="0082587F" w:rsidRDefault="00706171" w:rsidP="00534281">
      <w:pPr>
        <w:spacing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Por su parte, la OCE destaca que siempre ha sido diligente en cumplir con los términos dispuestos por legislación para adoptar reglamentos en asuntos electorales. En cuanto a la veda </w:t>
      </w:r>
      <w:r w:rsidR="002C32E5">
        <w:rPr>
          <w:rFonts w:ascii="Book Antiqua" w:hAnsi="Book Antiqua"/>
          <w:lang w:val="es-ES"/>
        </w:rPr>
        <w:t xml:space="preserve">electoral o veda </w:t>
      </w:r>
      <w:r>
        <w:rPr>
          <w:rFonts w:ascii="Book Antiqua" w:hAnsi="Book Antiqua"/>
          <w:lang w:val="es-ES"/>
        </w:rPr>
        <w:t>publicitaria regulada por el Artículo 10.006 de la Ley 222-2011, la OCE señala que</w:t>
      </w:r>
      <w:r w:rsidR="00A85049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según la Ley 78-2011, hoy derogada, conocida como “Código Electoral de Puerto Rico para el Siglo XXI”, </w:t>
      </w:r>
      <w:r w:rsidR="00F52E63">
        <w:rPr>
          <w:rFonts w:ascii="Book Antiqua" w:hAnsi="Book Antiqua"/>
          <w:lang w:val="es-ES"/>
        </w:rPr>
        <w:t xml:space="preserve">dicho asunto </w:t>
      </w:r>
      <w:r>
        <w:rPr>
          <w:rFonts w:ascii="Book Antiqua" w:hAnsi="Book Antiqua"/>
          <w:lang w:val="es-ES"/>
        </w:rPr>
        <w:t xml:space="preserve">fue transferido a la jurisdicción de la OCE. En virtud de ello, recomienda </w:t>
      </w:r>
      <w:r w:rsidRPr="002F7C13">
        <w:rPr>
          <w:rFonts w:ascii="Book Antiqua" w:hAnsi="Book Antiqua"/>
          <w:lang w:val="es-ES"/>
        </w:rPr>
        <w:t xml:space="preserve">revisar la referencia incluida en el </w:t>
      </w:r>
      <w:r w:rsidRPr="008442E6">
        <w:rPr>
          <w:rFonts w:ascii="Book Antiqua" w:hAnsi="Book Antiqua"/>
          <w:lang w:val="es-ES"/>
        </w:rPr>
        <w:t>Artículo 1, línea 5, página 5 de</w:t>
      </w:r>
      <w:r w:rsidR="00480585" w:rsidRPr="008442E6">
        <w:rPr>
          <w:rFonts w:ascii="Book Antiqua" w:hAnsi="Book Antiqua"/>
          <w:lang w:val="es-ES"/>
        </w:rPr>
        <w:t xml:space="preserve"> la medida</w:t>
      </w:r>
      <w:r w:rsidRPr="008442E6">
        <w:rPr>
          <w:rFonts w:ascii="Book Antiqua" w:hAnsi="Book Antiqua"/>
          <w:lang w:val="es-ES"/>
        </w:rPr>
        <w:t>, para que refleje correctamente la legislación vigente.</w:t>
      </w:r>
    </w:p>
    <w:p w14:paraId="75A2ED22" w14:textId="1C5DB82B" w:rsidR="003B05E6" w:rsidRPr="00751C87" w:rsidRDefault="003B05E6" w:rsidP="00941CB4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751C87">
        <w:rPr>
          <w:rFonts w:ascii="Book Antiqua" w:hAnsi="Book Antiqua"/>
          <w:b/>
          <w:bCs/>
          <w:lang w:val="es-ES"/>
        </w:rPr>
        <w:t>Oficina del Inspector General (OIG</w:t>
      </w:r>
      <w:r w:rsidR="00BB61EE" w:rsidRPr="00751C87">
        <w:rPr>
          <w:rFonts w:ascii="Book Antiqua" w:hAnsi="Book Antiqua"/>
          <w:b/>
          <w:bCs/>
          <w:lang w:val="es-ES"/>
        </w:rPr>
        <w:t>)</w:t>
      </w:r>
    </w:p>
    <w:p w14:paraId="76C180A7" w14:textId="538C99E1" w:rsidR="006C0079" w:rsidRDefault="003B05E6" w:rsidP="00323CD9">
      <w:pPr>
        <w:spacing w:after="12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962546">
        <w:rPr>
          <w:rFonts w:ascii="Book Antiqua" w:hAnsi="Book Antiqua"/>
          <w:lang w:val="es-ES"/>
        </w:rPr>
        <w:t>L</w:t>
      </w:r>
      <w:r>
        <w:rPr>
          <w:rFonts w:ascii="Book Antiqua" w:hAnsi="Book Antiqua"/>
          <w:lang w:val="es-ES"/>
        </w:rPr>
        <w:t xml:space="preserve">a OIG </w:t>
      </w:r>
      <w:r w:rsidR="006C0079">
        <w:rPr>
          <w:rFonts w:ascii="Book Antiqua" w:hAnsi="Book Antiqua"/>
          <w:lang w:val="es-ES"/>
        </w:rPr>
        <w:t>destac</w:t>
      </w:r>
      <w:r w:rsidR="00962546">
        <w:rPr>
          <w:rFonts w:ascii="Book Antiqua" w:hAnsi="Book Antiqua"/>
          <w:lang w:val="es-ES"/>
        </w:rPr>
        <w:t>ó</w:t>
      </w:r>
      <w:r w:rsidR="006C0079">
        <w:rPr>
          <w:rFonts w:ascii="Book Antiqua" w:hAnsi="Book Antiqua"/>
          <w:lang w:val="es-ES"/>
        </w:rPr>
        <w:t xml:space="preserve"> su</w:t>
      </w:r>
      <w:r w:rsidR="00BB651E">
        <w:rPr>
          <w:rFonts w:ascii="Book Antiqua" w:hAnsi="Book Antiqua"/>
          <w:lang w:val="es-ES"/>
        </w:rPr>
        <w:t xml:space="preserve"> </w:t>
      </w:r>
      <w:r w:rsidR="006C0079">
        <w:rPr>
          <w:rFonts w:ascii="Book Antiqua" w:hAnsi="Book Antiqua"/>
          <w:lang w:val="es-ES"/>
        </w:rPr>
        <w:t xml:space="preserve">facultad de realizar estudios y evaluaciones dirigidas a mejorar la efectividad y eficiencia de </w:t>
      </w:r>
      <w:r w:rsidR="00822DD5">
        <w:rPr>
          <w:rFonts w:ascii="Book Antiqua" w:hAnsi="Book Antiqua"/>
          <w:lang w:val="es-ES"/>
        </w:rPr>
        <w:t>las funciones gubernamentales</w:t>
      </w:r>
      <w:r w:rsidR="00962546">
        <w:rPr>
          <w:rFonts w:ascii="Book Antiqua" w:hAnsi="Book Antiqua"/>
          <w:lang w:val="es-ES"/>
        </w:rPr>
        <w:t>. También resaltó</w:t>
      </w:r>
      <w:r w:rsidR="00BB651E">
        <w:rPr>
          <w:rFonts w:ascii="Book Antiqua" w:hAnsi="Book Antiqua"/>
          <w:lang w:val="es-ES"/>
        </w:rPr>
        <w:t xml:space="preserve"> </w:t>
      </w:r>
      <w:r w:rsidR="00962546">
        <w:rPr>
          <w:rFonts w:ascii="Book Antiqua" w:hAnsi="Book Antiqua"/>
          <w:lang w:val="es-ES"/>
        </w:rPr>
        <w:t xml:space="preserve">su </w:t>
      </w:r>
      <w:r w:rsidR="00BB651E">
        <w:rPr>
          <w:rFonts w:ascii="Book Antiqua" w:hAnsi="Book Antiqua"/>
          <w:lang w:val="es-ES"/>
        </w:rPr>
        <w:t>facultad de desarrollar estándares y políticas que establezcan un control adecuado y prácticas de sana administración</w:t>
      </w:r>
      <w:r w:rsidR="006C0079">
        <w:rPr>
          <w:rFonts w:ascii="Book Antiqua" w:hAnsi="Book Antiqua"/>
          <w:lang w:val="es-ES"/>
        </w:rPr>
        <w:t xml:space="preserve">, </w:t>
      </w:r>
      <w:r w:rsidR="00BB651E">
        <w:rPr>
          <w:rFonts w:ascii="Book Antiqua" w:hAnsi="Book Antiqua"/>
          <w:lang w:val="es-ES"/>
        </w:rPr>
        <w:t xml:space="preserve">ambas </w:t>
      </w:r>
      <w:r w:rsidR="006C0079">
        <w:rPr>
          <w:rFonts w:ascii="Book Antiqua" w:hAnsi="Book Antiqua"/>
          <w:lang w:val="es-ES"/>
        </w:rPr>
        <w:t>conferida</w:t>
      </w:r>
      <w:r w:rsidR="00BB651E">
        <w:rPr>
          <w:rFonts w:ascii="Book Antiqua" w:hAnsi="Book Antiqua"/>
          <w:lang w:val="es-ES"/>
        </w:rPr>
        <w:t>s</w:t>
      </w:r>
      <w:r w:rsidR="006C0079">
        <w:rPr>
          <w:rFonts w:ascii="Book Antiqua" w:hAnsi="Book Antiqua"/>
          <w:lang w:val="es-ES"/>
        </w:rPr>
        <w:t xml:space="preserve"> por su ley habilitadora</w:t>
      </w:r>
      <w:r w:rsidR="00984F05">
        <w:rPr>
          <w:rFonts w:ascii="Book Antiqua" w:hAnsi="Book Antiqua"/>
          <w:lang w:val="es-ES"/>
        </w:rPr>
        <w:t>.</w:t>
      </w:r>
      <w:r w:rsidR="005019D7">
        <w:rPr>
          <w:rStyle w:val="FootnoteReference"/>
          <w:rFonts w:ascii="Book Antiqua" w:hAnsi="Book Antiqua"/>
          <w:lang w:val="es-ES"/>
        </w:rPr>
        <w:footnoteReference w:id="1"/>
      </w:r>
      <w:r w:rsidR="005019D7">
        <w:rPr>
          <w:rFonts w:ascii="Book Antiqua" w:hAnsi="Book Antiqua"/>
          <w:lang w:val="es-ES"/>
        </w:rPr>
        <w:t xml:space="preserve"> </w:t>
      </w:r>
      <w:r w:rsidR="006C0079">
        <w:rPr>
          <w:rFonts w:ascii="Book Antiqua" w:hAnsi="Book Antiqua"/>
          <w:lang w:val="es-ES"/>
        </w:rPr>
        <w:t>En virtud de</w:t>
      </w:r>
      <w:r w:rsidR="005019D7">
        <w:rPr>
          <w:rFonts w:ascii="Book Antiqua" w:hAnsi="Book Antiqua"/>
          <w:lang w:val="es-ES"/>
        </w:rPr>
        <w:t xml:space="preserve"> esta</w:t>
      </w:r>
      <w:r w:rsidR="00984F05">
        <w:rPr>
          <w:rFonts w:ascii="Book Antiqua" w:hAnsi="Book Antiqua"/>
          <w:lang w:val="es-ES"/>
        </w:rPr>
        <w:t>,</w:t>
      </w:r>
      <w:r w:rsidR="006C0079">
        <w:rPr>
          <w:rFonts w:ascii="Book Antiqua" w:hAnsi="Book Antiqua"/>
          <w:lang w:val="es-ES"/>
        </w:rPr>
        <w:t xml:space="preserve"> y los Memorandos OIG-ME-2023-02 y OIG-2020-03, realizó un estudio de la normativa interna </w:t>
      </w:r>
      <w:r w:rsidR="006C0079">
        <w:rPr>
          <w:rFonts w:ascii="Book Antiqua" w:hAnsi="Book Antiqua"/>
          <w:lang w:val="es-ES"/>
        </w:rPr>
        <w:lastRenderedPageBreak/>
        <w:t xml:space="preserve">aplicable </w:t>
      </w:r>
      <w:r w:rsidR="00BB651E">
        <w:rPr>
          <w:rFonts w:ascii="Book Antiqua" w:hAnsi="Book Antiqua"/>
          <w:lang w:val="es-ES"/>
        </w:rPr>
        <w:t xml:space="preserve">y las recomendaciones emitidas por su oficina </w:t>
      </w:r>
      <w:r w:rsidR="006C0079">
        <w:rPr>
          <w:rFonts w:ascii="Book Antiqua" w:hAnsi="Book Antiqua"/>
          <w:lang w:val="es-ES"/>
        </w:rPr>
        <w:t>en trece (13) áreas administrativas</w:t>
      </w:r>
      <w:r w:rsidR="00986858">
        <w:rPr>
          <w:rFonts w:ascii="Book Antiqua" w:hAnsi="Book Antiqua"/>
          <w:lang w:val="es-ES"/>
        </w:rPr>
        <w:t>. La OIG</w:t>
      </w:r>
      <w:r w:rsidR="006C0079">
        <w:rPr>
          <w:rFonts w:ascii="Book Antiqua" w:hAnsi="Book Antiqua"/>
          <w:lang w:val="es-ES"/>
        </w:rPr>
        <w:t xml:space="preserve"> identific</w:t>
      </w:r>
      <w:r w:rsidR="00986858">
        <w:rPr>
          <w:rFonts w:ascii="Book Antiqua" w:hAnsi="Book Antiqua"/>
          <w:lang w:val="es-ES"/>
        </w:rPr>
        <w:t>ó</w:t>
      </w:r>
      <w:r w:rsidR="006C0079">
        <w:rPr>
          <w:rFonts w:ascii="Book Antiqua" w:hAnsi="Book Antiqua"/>
          <w:lang w:val="es-ES"/>
        </w:rPr>
        <w:t xml:space="preserve"> prácticas, deficiencias y oportunidades de mejora en los procesos de reglamentación y control interno de las agencias y dependencias gubernamentales. En su Memorial</w:t>
      </w:r>
      <w:r w:rsidR="003C6072">
        <w:rPr>
          <w:rFonts w:ascii="Book Antiqua" w:hAnsi="Book Antiqua"/>
          <w:lang w:val="es-ES"/>
        </w:rPr>
        <w:t xml:space="preserve"> Explicativo</w:t>
      </w:r>
      <w:r w:rsidR="006C0079">
        <w:rPr>
          <w:rFonts w:ascii="Book Antiqua" w:hAnsi="Book Antiqua"/>
          <w:lang w:val="es-ES"/>
        </w:rPr>
        <w:t xml:space="preserve">, </w:t>
      </w:r>
      <w:r>
        <w:rPr>
          <w:rFonts w:ascii="Book Antiqua" w:hAnsi="Book Antiqua"/>
          <w:lang w:val="es-ES"/>
        </w:rPr>
        <w:t>respalda la aprobación del referido proyecto de ley por responder a los hallazgos críticos de su informe sobre el incumplimiento generalizado con las secciones 1.6 y 2.19 de la LPAU</w:t>
      </w:r>
      <w:r w:rsidR="006C0079">
        <w:rPr>
          <w:rFonts w:ascii="Book Antiqua" w:hAnsi="Book Antiqua"/>
          <w:lang w:val="es-ES"/>
        </w:rPr>
        <w:t xml:space="preserve">. </w:t>
      </w:r>
    </w:p>
    <w:p w14:paraId="68187283" w14:textId="5B783D09" w:rsidR="00BB651E" w:rsidRDefault="006C0079" w:rsidP="00323CD9">
      <w:pPr>
        <w:spacing w:after="12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475B72">
        <w:rPr>
          <w:rFonts w:ascii="Book Antiqua" w:hAnsi="Book Antiqua"/>
          <w:lang w:val="es-ES"/>
        </w:rPr>
        <w:t>En su referido informe, la OIG revisó los procedimientos de reglamentación, trámites administrativos</w:t>
      </w:r>
      <w:r w:rsidR="00986858">
        <w:rPr>
          <w:rFonts w:ascii="Book Antiqua" w:hAnsi="Book Antiqua"/>
          <w:lang w:val="es-ES"/>
        </w:rPr>
        <w:t>,</w:t>
      </w:r>
      <w:r w:rsidR="00475B72">
        <w:rPr>
          <w:rFonts w:ascii="Book Antiqua" w:hAnsi="Book Antiqua"/>
          <w:lang w:val="es-ES"/>
        </w:rPr>
        <w:t xml:space="preserve"> y estructuras organizacionales hasta noviembre de 2024, y verificó el cumplimiento con las normativas de 86 instrumentalidades del Gobierno de Puerto Rico. Según su análisis,</w:t>
      </w:r>
      <w:r>
        <w:rPr>
          <w:rFonts w:ascii="Book Antiqua" w:hAnsi="Book Antiqua"/>
          <w:lang w:val="es-ES"/>
        </w:rPr>
        <w:t xml:space="preserve"> </w:t>
      </w:r>
      <w:r w:rsidR="00BB651E">
        <w:rPr>
          <w:rFonts w:ascii="Book Antiqua" w:hAnsi="Book Antiqua"/>
          <w:lang w:val="es-ES"/>
        </w:rPr>
        <w:t xml:space="preserve">el 90% de los reglamentos vigentes no han sido revisados en más de cinco </w:t>
      </w:r>
      <w:r w:rsidR="00FC5F93">
        <w:rPr>
          <w:rFonts w:ascii="Book Antiqua" w:hAnsi="Book Antiqua"/>
          <w:lang w:val="es-ES"/>
        </w:rPr>
        <w:t xml:space="preserve">(5) </w:t>
      </w:r>
      <w:r w:rsidR="00BB651E">
        <w:rPr>
          <w:rFonts w:ascii="Book Antiqua" w:hAnsi="Book Antiqua"/>
          <w:lang w:val="es-ES"/>
        </w:rPr>
        <w:t>años</w:t>
      </w:r>
      <w:r w:rsidR="008B24E6">
        <w:rPr>
          <w:rFonts w:ascii="Book Antiqua" w:hAnsi="Book Antiqua"/>
          <w:lang w:val="es-ES"/>
        </w:rPr>
        <w:t>. Esto</w:t>
      </w:r>
      <w:r w:rsidR="00BB651E">
        <w:rPr>
          <w:rFonts w:ascii="Book Antiqua" w:hAnsi="Book Antiqua"/>
          <w:lang w:val="es-ES"/>
        </w:rPr>
        <w:t xml:space="preserve"> incumpl</w:t>
      </w:r>
      <w:r w:rsidR="008B24E6">
        <w:rPr>
          <w:rFonts w:ascii="Book Antiqua" w:hAnsi="Book Antiqua"/>
          <w:lang w:val="es-ES"/>
        </w:rPr>
        <w:t>e</w:t>
      </w:r>
      <w:r w:rsidR="00BB651E">
        <w:rPr>
          <w:rFonts w:ascii="Book Antiqua" w:hAnsi="Book Antiqua"/>
          <w:lang w:val="es-ES"/>
        </w:rPr>
        <w:t xml:space="preserve"> con la obligación de actualización periódica</w:t>
      </w:r>
      <w:r w:rsidR="008B24E6">
        <w:rPr>
          <w:rFonts w:ascii="Book Antiqua" w:hAnsi="Book Antiqua"/>
          <w:lang w:val="es-ES"/>
        </w:rPr>
        <w:t>:</w:t>
      </w:r>
      <w:r w:rsidR="00BB651E">
        <w:rPr>
          <w:rFonts w:ascii="Book Antiqua" w:hAnsi="Book Antiqua"/>
          <w:lang w:val="es-ES"/>
        </w:rPr>
        <w:t xml:space="preserve"> de los 2,986 reglamentos registrados electrónicamente en la página web del Departamento de Estado, 2,700 </w:t>
      </w:r>
      <w:r w:rsidR="00475B72">
        <w:rPr>
          <w:rFonts w:ascii="Book Antiqua" w:hAnsi="Book Antiqua"/>
          <w:lang w:val="es-ES"/>
        </w:rPr>
        <w:t>no han sido actualizados</w:t>
      </w:r>
      <w:r w:rsidR="00BB651E">
        <w:rPr>
          <w:rFonts w:ascii="Book Antiqua" w:hAnsi="Book Antiqua"/>
          <w:lang w:val="es-ES"/>
        </w:rPr>
        <w:t xml:space="preserve">. La OIG considera que ello representa un riesgo para la eficiencia </w:t>
      </w:r>
      <w:r w:rsidR="00635A7A">
        <w:rPr>
          <w:rFonts w:ascii="Book Antiqua" w:hAnsi="Book Antiqua"/>
          <w:lang w:val="es-ES"/>
        </w:rPr>
        <w:t>operacional</w:t>
      </w:r>
      <w:r w:rsidR="00BB651E">
        <w:rPr>
          <w:rFonts w:ascii="Book Antiqua" w:hAnsi="Book Antiqua"/>
          <w:lang w:val="es-ES"/>
        </w:rPr>
        <w:t>, el control interno</w:t>
      </w:r>
      <w:r w:rsidR="00FD7B81">
        <w:rPr>
          <w:rFonts w:ascii="Book Antiqua" w:hAnsi="Book Antiqua"/>
          <w:lang w:val="es-ES"/>
        </w:rPr>
        <w:t>,</w:t>
      </w:r>
      <w:r w:rsidR="00BB651E">
        <w:rPr>
          <w:rFonts w:ascii="Book Antiqua" w:hAnsi="Book Antiqua"/>
          <w:lang w:val="es-ES"/>
        </w:rPr>
        <w:t xml:space="preserve"> y la transparencia institucional del Gobierno de Puerto Rico</w:t>
      </w:r>
      <w:r w:rsidR="00F139B7">
        <w:rPr>
          <w:rFonts w:ascii="Book Antiqua" w:hAnsi="Book Antiqua"/>
          <w:lang w:val="es-ES"/>
        </w:rPr>
        <w:t>.</w:t>
      </w:r>
      <w:r w:rsidR="0069280D">
        <w:rPr>
          <w:rFonts w:ascii="Book Antiqua" w:hAnsi="Book Antiqua"/>
          <w:lang w:val="es-ES"/>
        </w:rPr>
        <w:t xml:space="preserve"> </w:t>
      </w:r>
    </w:p>
    <w:p w14:paraId="24FA274F" w14:textId="77777777" w:rsidR="00DE4A05" w:rsidRDefault="00BB651E" w:rsidP="00323CD9">
      <w:pPr>
        <w:spacing w:after="12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34292">
        <w:rPr>
          <w:rFonts w:ascii="Book Antiqua" w:hAnsi="Book Antiqua"/>
          <w:lang w:val="es-ES"/>
        </w:rPr>
        <w:t>Evaluadas la</w:t>
      </w:r>
      <w:r w:rsidR="00F61687">
        <w:rPr>
          <w:rFonts w:ascii="Book Antiqua" w:hAnsi="Book Antiqua"/>
          <w:lang w:val="es-ES"/>
        </w:rPr>
        <w:t>s</w:t>
      </w:r>
      <w:r w:rsidR="00634292">
        <w:rPr>
          <w:rFonts w:ascii="Book Antiqua" w:hAnsi="Book Antiqua"/>
          <w:lang w:val="es-ES"/>
        </w:rPr>
        <w:t xml:space="preserve"> enmiendas propuestas por el P. de la C. 248, la OIG concluye lo siguiente: el Artículo 1 es razonable por el incumplimiento </w:t>
      </w:r>
      <w:r w:rsidR="00596595">
        <w:rPr>
          <w:rFonts w:ascii="Book Antiqua" w:hAnsi="Book Antiqua"/>
          <w:lang w:val="es-ES"/>
        </w:rPr>
        <w:t xml:space="preserve">sobre </w:t>
      </w:r>
      <w:r w:rsidR="00634292">
        <w:rPr>
          <w:rFonts w:ascii="Book Antiqua" w:hAnsi="Book Antiqua"/>
          <w:lang w:val="es-ES"/>
        </w:rPr>
        <w:t xml:space="preserve">revisión reglamentaria evidenciado en su informe y para propósitos de atajar la inacción institucional y asegurar el cumplimiento oportuno de las leyes. </w:t>
      </w:r>
      <w:r w:rsidR="00153282">
        <w:rPr>
          <w:rFonts w:ascii="Book Antiqua" w:hAnsi="Book Antiqua"/>
          <w:lang w:val="es-ES"/>
        </w:rPr>
        <w:t xml:space="preserve"> </w:t>
      </w:r>
      <w:r w:rsidR="00634292">
        <w:rPr>
          <w:rFonts w:ascii="Book Antiqua" w:hAnsi="Book Antiqua"/>
          <w:lang w:val="es-ES"/>
        </w:rPr>
        <w:t xml:space="preserve">El lenguaje que incorpora dicho </w:t>
      </w:r>
      <w:r w:rsidR="00E9660B">
        <w:rPr>
          <w:rFonts w:ascii="Book Antiqua" w:hAnsi="Book Antiqua"/>
          <w:lang w:val="es-ES"/>
        </w:rPr>
        <w:t>a</w:t>
      </w:r>
      <w:r w:rsidR="00634292">
        <w:rPr>
          <w:rFonts w:ascii="Book Antiqua" w:hAnsi="Book Antiqua"/>
          <w:lang w:val="es-ES"/>
        </w:rPr>
        <w:t>rtículo sobre la validez de las leyes</w:t>
      </w:r>
      <w:r w:rsidR="00153282">
        <w:rPr>
          <w:rFonts w:ascii="Book Antiqua" w:hAnsi="Book Antiqua"/>
          <w:lang w:val="es-ES"/>
        </w:rPr>
        <w:t>,</w:t>
      </w:r>
      <w:r w:rsidR="00634292">
        <w:rPr>
          <w:rFonts w:ascii="Book Antiqua" w:hAnsi="Book Antiqua"/>
          <w:lang w:val="es-ES"/>
        </w:rPr>
        <w:t xml:space="preserve"> aún con la ausencia de reglamentación</w:t>
      </w:r>
      <w:r w:rsidR="00153282">
        <w:rPr>
          <w:rFonts w:ascii="Book Antiqua" w:hAnsi="Book Antiqua"/>
          <w:lang w:val="es-ES"/>
        </w:rPr>
        <w:t>,</w:t>
      </w:r>
      <w:r w:rsidR="00634292">
        <w:rPr>
          <w:rFonts w:ascii="Book Antiqua" w:hAnsi="Book Antiqua"/>
          <w:lang w:val="es-ES"/>
        </w:rPr>
        <w:t xml:space="preserve"> es razonable por brindar certeza jurídica y prevenir la inercia al incorporar lo resuelto por el Tribunal Supremo de Puerto Rico. </w:t>
      </w:r>
    </w:p>
    <w:p w14:paraId="6B743A23" w14:textId="2ECA610E" w:rsidR="000F5571" w:rsidRDefault="00634292" w:rsidP="00DE4A05">
      <w:pPr>
        <w:spacing w:after="120" w:line="298" w:lineRule="auto"/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En cuanto al Artículo 2, la OIG entiende</w:t>
      </w:r>
      <w:r w:rsidR="000F5571">
        <w:rPr>
          <w:rFonts w:ascii="Book Antiqua" w:hAnsi="Book Antiqua"/>
          <w:lang w:val="es-ES"/>
        </w:rPr>
        <w:t xml:space="preserve"> que</w:t>
      </w:r>
      <w:r w:rsidR="00E94E00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</w:t>
      </w:r>
      <w:r w:rsidR="000F5571">
        <w:rPr>
          <w:rFonts w:ascii="Book Antiqua" w:hAnsi="Book Antiqua"/>
          <w:lang w:val="es-ES"/>
        </w:rPr>
        <w:t>por haber identificado una falta de responsabilidad institucionalizada,</w:t>
      </w:r>
      <w:r>
        <w:rPr>
          <w:rFonts w:ascii="Book Antiqua" w:hAnsi="Book Antiqua"/>
          <w:lang w:val="es-ES"/>
        </w:rPr>
        <w:t xml:space="preserve"> </w:t>
      </w:r>
      <w:r w:rsidR="000F5571">
        <w:rPr>
          <w:rFonts w:ascii="Book Antiqua" w:hAnsi="Book Antiqua"/>
          <w:lang w:val="es-ES"/>
        </w:rPr>
        <w:t xml:space="preserve">resulta </w:t>
      </w:r>
      <w:r>
        <w:rPr>
          <w:rFonts w:ascii="Book Antiqua" w:hAnsi="Book Antiqua"/>
          <w:lang w:val="es-ES"/>
        </w:rPr>
        <w:t>necesaria la obligación adicional impuesta a los jefes de agencias que incumplen los términos de reglamentación para fortalecer la rendición de cuentas</w:t>
      </w:r>
      <w:r w:rsidR="000F5571">
        <w:rPr>
          <w:rFonts w:ascii="Book Antiqua" w:hAnsi="Book Antiqua"/>
          <w:lang w:val="es-ES"/>
        </w:rPr>
        <w:t>. Subraya que la citación personal e indelegable de los jefes de agencia ante la Asamblea Legislativa refuerza directamente la obligación de cumplimiento al responsabilizarlos personalmente</w:t>
      </w:r>
      <w:r w:rsidR="00BF2258">
        <w:rPr>
          <w:rFonts w:ascii="Book Antiqua" w:hAnsi="Book Antiqua"/>
          <w:lang w:val="es-ES"/>
        </w:rPr>
        <w:t>. Así se</w:t>
      </w:r>
      <w:r w:rsidR="000F5571">
        <w:rPr>
          <w:rFonts w:ascii="Book Antiqua" w:hAnsi="Book Antiqua"/>
          <w:lang w:val="es-ES"/>
        </w:rPr>
        <w:t xml:space="preserve"> enmarc</w:t>
      </w:r>
      <w:r w:rsidR="00BF2258">
        <w:rPr>
          <w:rFonts w:ascii="Book Antiqua" w:hAnsi="Book Antiqua"/>
          <w:lang w:val="es-ES"/>
        </w:rPr>
        <w:t>a</w:t>
      </w:r>
      <w:r w:rsidR="000F5571">
        <w:rPr>
          <w:rFonts w:ascii="Book Antiqua" w:hAnsi="Book Antiqua"/>
          <w:lang w:val="es-ES"/>
        </w:rPr>
        <w:t xml:space="preserve"> el deber de los funcionarios públicos de cumplir con los principios de integridad, transparencia y eficiencia.</w:t>
      </w:r>
    </w:p>
    <w:p w14:paraId="2782FBE5" w14:textId="2A18E775" w:rsidR="00655576" w:rsidRDefault="000F5571" w:rsidP="00323CD9">
      <w:pPr>
        <w:spacing w:after="12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En cuanto al Artículo 3, la OIG considera que la obligación de presentar los reglamentos simultáneamente en inglés reduce cargas innecesarias sin afectar el acceso </w:t>
      </w:r>
      <w:r>
        <w:rPr>
          <w:rFonts w:ascii="Book Antiqua" w:hAnsi="Book Antiqua"/>
          <w:lang w:val="es-ES"/>
        </w:rPr>
        <w:lastRenderedPageBreak/>
        <w:t>público</w:t>
      </w:r>
      <w:r w:rsidR="00A86A7D">
        <w:rPr>
          <w:rFonts w:ascii="Book Antiqua" w:hAnsi="Book Antiqua"/>
          <w:lang w:val="es-ES"/>
        </w:rPr>
        <w:t>. Esto</w:t>
      </w:r>
      <w:r>
        <w:rPr>
          <w:rFonts w:ascii="Book Antiqua" w:hAnsi="Book Antiqua"/>
          <w:lang w:val="es-ES"/>
        </w:rPr>
        <w:t xml:space="preserve"> mejora el procedimiento de </w:t>
      </w:r>
      <w:r w:rsidR="00A86A7D">
        <w:rPr>
          <w:rFonts w:ascii="Book Antiqua" w:hAnsi="Book Antiqua"/>
          <w:lang w:val="es-ES"/>
        </w:rPr>
        <w:t xml:space="preserve">presentación </w:t>
      </w:r>
      <w:r>
        <w:rPr>
          <w:rFonts w:ascii="Book Antiqua" w:hAnsi="Book Antiqua"/>
          <w:lang w:val="es-ES"/>
        </w:rPr>
        <w:t>electrónica y la actualización del registro electrónico</w:t>
      </w:r>
      <w:r w:rsidR="003E0ACD">
        <w:rPr>
          <w:rFonts w:ascii="Book Antiqua" w:hAnsi="Book Antiqua"/>
          <w:lang w:val="es-ES"/>
        </w:rPr>
        <w:t>.</w:t>
      </w:r>
      <w:r w:rsidR="00ED7B2B">
        <w:rPr>
          <w:rFonts w:ascii="Book Antiqua" w:hAnsi="Book Antiqua"/>
          <w:lang w:val="es-ES"/>
        </w:rPr>
        <w:t xml:space="preserve"> Al respecto, </w:t>
      </w:r>
      <w:r w:rsidR="001B1128">
        <w:rPr>
          <w:rFonts w:ascii="Book Antiqua" w:hAnsi="Book Antiqua"/>
          <w:lang w:val="es-ES"/>
        </w:rPr>
        <w:t xml:space="preserve">la OIG </w:t>
      </w:r>
      <w:r w:rsidR="00ED7B2B">
        <w:rPr>
          <w:rFonts w:ascii="Book Antiqua" w:hAnsi="Book Antiqua"/>
          <w:lang w:val="es-ES"/>
        </w:rPr>
        <w:t>abunda</w:t>
      </w:r>
      <w:r w:rsidR="001B1128">
        <w:rPr>
          <w:rFonts w:ascii="Book Antiqua" w:hAnsi="Book Antiqua"/>
          <w:lang w:val="es-ES"/>
        </w:rPr>
        <w:t xml:space="preserve"> en lo siguiente</w:t>
      </w:r>
      <w:r w:rsidR="00ED7B2B">
        <w:rPr>
          <w:rFonts w:ascii="Book Antiqua" w:hAnsi="Book Antiqua"/>
          <w:lang w:val="es-ES"/>
        </w:rPr>
        <w:t>:</w:t>
      </w:r>
    </w:p>
    <w:p w14:paraId="5800A62E" w14:textId="11357D50" w:rsidR="00655576" w:rsidRDefault="00655576" w:rsidP="00323CD9">
      <w:pPr>
        <w:spacing w:before="240" w:line="240" w:lineRule="auto"/>
        <w:ind w:left="288" w:right="288"/>
        <w:jc w:val="both"/>
        <w:rPr>
          <w:rFonts w:ascii="Book Antiqua" w:hAnsi="Book Antiqua"/>
          <w:lang w:val="es-ES"/>
        </w:rPr>
      </w:pPr>
      <w:r w:rsidRPr="00655576">
        <w:rPr>
          <w:rFonts w:ascii="Book Antiqua" w:hAnsi="Book Antiqua"/>
          <w:lang w:val="es-ES"/>
        </w:rPr>
        <w:t>Al clarificar el proceso de radicación, permitir el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uso de medios electrónicos y establecer condiciones claras para la vigencia de los reglamentos, se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facilita, a nuestro juicio, la gestión administrativa de dicha entidad relacionada a este proceso de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reglamentación. Esta disposición complementa las recomendaciones de nuestro Informe, que destacó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la necesidad de evitar la subsistencia de reglamentos derogados, incongruentes o desactualizados en el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Registro. La transparencia normativa requiere, no sólo que los reglamentos sean aprobados a tiempo,</w:t>
      </w:r>
      <w:r>
        <w:rPr>
          <w:rFonts w:ascii="Book Antiqua" w:hAnsi="Book Antiqua"/>
          <w:lang w:val="es-ES"/>
        </w:rPr>
        <w:t xml:space="preserve"> </w:t>
      </w:r>
      <w:r w:rsidRPr="00655576">
        <w:rPr>
          <w:rFonts w:ascii="Book Antiqua" w:hAnsi="Book Antiqua"/>
          <w:lang w:val="es-ES"/>
        </w:rPr>
        <w:t>sino que estén accesibles y debidamente catalogados.</w:t>
      </w:r>
      <w:r>
        <w:rPr>
          <w:rStyle w:val="FootnoteReference"/>
          <w:rFonts w:ascii="Book Antiqua" w:hAnsi="Book Antiqua"/>
          <w:lang w:val="es-ES"/>
        </w:rPr>
        <w:footnoteReference w:id="2"/>
      </w:r>
    </w:p>
    <w:p w14:paraId="1331FEAF" w14:textId="33A2A7DC" w:rsidR="00634292" w:rsidRDefault="00A04094" w:rsidP="00822DD5">
      <w:pPr>
        <w:spacing w:before="240" w:after="120" w:line="298" w:lineRule="auto"/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Sobre el Artículo 4, expresa la OIG que la inclusión de la nueva Sección 2.21 es de suma importancia</w:t>
      </w:r>
      <w:r w:rsidR="00D01080">
        <w:rPr>
          <w:rFonts w:ascii="Book Antiqua" w:hAnsi="Book Antiqua"/>
          <w:lang w:val="es-ES"/>
        </w:rPr>
        <w:t>:</w:t>
      </w:r>
      <w:r>
        <w:rPr>
          <w:rFonts w:ascii="Book Antiqua" w:hAnsi="Book Antiqua"/>
          <w:lang w:val="es-ES"/>
        </w:rPr>
        <w:t xml:space="preserve"> al aclarar que la falta de reglamentación no impide la implementación de la ley, se </w:t>
      </w:r>
      <w:r w:rsidR="00ED7B2B">
        <w:rPr>
          <w:rFonts w:ascii="Book Antiqua" w:hAnsi="Book Antiqua"/>
          <w:lang w:val="es-ES"/>
        </w:rPr>
        <w:t>fortalece</w:t>
      </w:r>
      <w:r>
        <w:rPr>
          <w:rFonts w:ascii="Book Antiqua" w:hAnsi="Book Antiqua"/>
          <w:lang w:val="es-ES"/>
        </w:rPr>
        <w:t xml:space="preserve"> de la ejecución inmediata de las leye</w:t>
      </w:r>
      <w:r w:rsidR="009914C2">
        <w:rPr>
          <w:rFonts w:ascii="Book Antiqua" w:hAnsi="Book Antiqua"/>
          <w:lang w:val="es-ES"/>
        </w:rPr>
        <w:t>s. Esto</w:t>
      </w:r>
      <w:r>
        <w:rPr>
          <w:rFonts w:ascii="Book Antiqua" w:hAnsi="Book Antiqua"/>
          <w:lang w:val="es-ES"/>
        </w:rPr>
        <w:t xml:space="preserve"> evita las excusas administrativas para retrasar la vigencia</w:t>
      </w:r>
      <w:r w:rsidR="00ED7B2B">
        <w:rPr>
          <w:rFonts w:ascii="Book Antiqua" w:hAnsi="Book Antiqua"/>
          <w:lang w:val="es-ES"/>
        </w:rPr>
        <w:t xml:space="preserve"> de éstas</w:t>
      </w:r>
      <w:r>
        <w:rPr>
          <w:rFonts w:ascii="Book Antiqua" w:hAnsi="Book Antiqua"/>
          <w:lang w:val="es-ES"/>
        </w:rPr>
        <w:t xml:space="preserve">, </w:t>
      </w:r>
      <w:r w:rsidR="0031393C">
        <w:rPr>
          <w:rFonts w:ascii="Book Antiqua" w:hAnsi="Book Antiqua"/>
          <w:lang w:val="es-ES"/>
        </w:rPr>
        <w:t xml:space="preserve">pues </w:t>
      </w:r>
      <w:r>
        <w:rPr>
          <w:rFonts w:ascii="Book Antiqua" w:hAnsi="Book Antiqua"/>
          <w:lang w:val="es-ES"/>
        </w:rPr>
        <w:t xml:space="preserve">las agencias toman la inexistencia de reglamentación como </w:t>
      </w:r>
      <w:r w:rsidR="00BB61EE">
        <w:rPr>
          <w:rFonts w:ascii="Book Antiqua" w:hAnsi="Book Antiqua"/>
          <w:lang w:val="es-ES"/>
        </w:rPr>
        <w:t xml:space="preserve">un </w:t>
      </w:r>
      <w:r>
        <w:rPr>
          <w:rFonts w:ascii="Book Antiqua" w:hAnsi="Book Antiqua"/>
          <w:lang w:val="es-ES"/>
        </w:rPr>
        <w:t>obstáculo para actuar.</w:t>
      </w:r>
    </w:p>
    <w:p w14:paraId="214A7350" w14:textId="643A41A4" w:rsidR="00BB651E" w:rsidRDefault="00BB651E" w:rsidP="00323CD9">
      <w:pPr>
        <w:spacing w:after="120" w:line="298" w:lineRule="auto"/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Por todo lo anterior, la OIG recomienda la aprobación del P. de la C. 24</w:t>
      </w:r>
      <w:r w:rsidR="00634292">
        <w:rPr>
          <w:rFonts w:ascii="Book Antiqua" w:hAnsi="Book Antiqua"/>
          <w:lang w:val="es-ES"/>
        </w:rPr>
        <w:t>8</w:t>
      </w:r>
      <w:r w:rsidR="0031393C"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"/>
        </w:rPr>
        <w:t xml:space="preserve"> </w:t>
      </w:r>
      <w:r w:rsidR="0031393C">
        <w:rPr>
          <w:rFonts w:ascii="Book Antiqua" w:hAnsi="Book Antiqua"/>
          <w:lang w:val="es-ES"/>
        </w:rPr>
        <w:t>S</w:t>
      </w:r>
      <w:r>
        <w:rPr>
          <w:rFonts w:ascii="Book Antiqua" w:hAnsi="Book Antiqua"/>
          <w:lang w:val="es-ES"/>
        </w:rPr>
        <w:t>ubraya que las propuestas contenidas atienden las deficiencias correctas</w:t>
      </w:r>
      <w:r w:rsidR="00ED7B2B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y </w:t>
      </w:r>
      <w:r w:rsidR="00ED7B2B">
        <w:rPr>
          <w:rFonts w:ascii="Book Antiqua" w:hAnsi="Book Antiqua"/>
          <w:lang w:val="es-ES"/>
        </w:rPr>
        <w:t xml:space="preserve">se mantienen </w:t>
      </w:r>
      <w:r>
        <w:rPr>
          <w:rFonts w:ascii="Book Antiqua" w:hAnsi="Book Antiqua"/>
          <w:lang w:val="es-ES"/>
        </w:rPr>
        <w:t xml:space="preserve">en línea con la política pública impulsada por la actual administración. </w:t>
      </w:r>
    </w:p>
    <w:p w14:paraId="6D9D07F7" w14:textId="480DF003" w:rsidR="000A2504" w:rsidRPr="00941CB4" w:rsidRDefault="000A2504" w:rsidP="00941CB4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941CB4">
        <w:rPr>
          <w:rFonts w:ascii="Book Antiqua" w:hAnsi="Book Antiqua"/>
          <w:b/>
          <w:bCs/>
          <w:lang w:val="es-ES"/>
        </w:rPr>
        <w:t>Oficina de Ética Gubernamental de Puerto Rico (OEG)</w:t>
      </w:r>
    </w:p>
    <w:p w14:paraId="3F1EEE0C" w14:textId="06C841F4" w:rsidR="00B954B2" w:rsidRDefault="0034633B" w:rsidP="00941CB4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</w:t>
      </w:r>
      <w:r w:rsidR="00E10C43">
        <w:rPr>
          <w:rFonts w:ascii="Book Antiqua" w:hAnsi="Book Antiqua"/>
          <w:lang w:val="es-ES"/>
        </w:rPr>
        <w:t xml:space="preserve">a OEG considera razonable que se establezcan términos para que las agencias adopten </w:t>
      </w:r>
      <w:r w:rsidR="00147FC6">
        <w:rPr>
          <w:rFonts w:ascii="Book Antiqua" w:hAnsi="Book Antiqua"/>
          <w:lang w:val="es-ES"/>
        </w:rPr>
        <w:t>su</w:t>
      </w:r>
      <w:r w:rsidR="00E10C43">
        <w:rPr>
          <w:rFonts w:ascii="Book Antiqua" w:hAnsi="Book Antiqua"/>
          <w:lang w:val="es-ES"/>
        </w:rPr>
        <w:t xml:space="preserve"> reglamentación</w:t>
      </w:r>
      <w:r w:rsidR="00147FC6">
        <w:rPr>
          <w:rFonts w:ascii="Book Antiqua" w:hAnsi="Book Antiqua"/>
          <w:lang w:val="es-ES"/>
        </w:rPr>
        <w:t>,</w:t>
      </w:r>
      <w:r w:rsidR="00E10C43">
        <w:rPr>
          <w:rFonts w:ascii="Book Antiqua" w:hAnsi="Book Antiqua"/>
          <w:lang w:val="es-ES"/>
        </w:rPr>
        <w:t xml:space="preserve"> y que la legislación </w:t>
      </w:r>
      <w:r w:rsidR="00E671EF">
        <w:rPr>
          <w:rFonts w:ascii="Book Antiqua" w:hAnsi="Book Antiqua"/>
          <w:lang w:val="es-ES"/>
        </w:rPr>
        <w:t>se</w:t>
      </w:r>
      <w:r w:rsidR="00E10C43">
        <w:rPr>
          <w:rFonts w:ascii="Book Antiqua" w:hAnsi="Book Antiqua"/>
          <w:lang w:val="es-ES"/>
        </w:rPr>
        <w:t xml:space="preserve"> </w:t>
      </w:r>
      <w:r w:rsidR="00361D6A">
        <w:rPr>
          <w:rFonts w:ascii="Book Antiqua" w:hAnsi="Book Antiqua"/>
          <w:lang w:val="es-ES"/>
        </w:rPr>
        <w:t>aplique</w:t>
      </w:r>
      <w:r w:rsidR="00E10C43">
        <w:rPr>
          <w:rFonts w:ascii="Book Antiqua" w:hAnsi="Book Antiqua"/>
          <w:lang w:val="es-ES"/>
        </w:rPr>
        <w:t xml:space="preserve"> sin </w:t>
      </w:r>
      <w:r w:rsidR="00131C97">
        <w:rPr>
          <w:rFonts w:ascii="Book Antiqua" w:hAnsi="Book Antiqua"/>
          <w:lang w:val="es-ES"/>
        </w:rPr>
        <w:t xml:space="preserve">que tal </w:t>
      </w:r>
      <w:r w:rsidR="00361D6A">
        <w:rPr>
          <w:rFonts w:ascii="Book Antiqua" w:hAnsi="Book Antiqua"/>
          <w:lang w:val="es-ES"/>
        </w:rPr>
        <w:t>aplica</w:t>
      </w:r>
      <w:r w:rsidR="00131C97">
        <w:rPr>
          <w:rFonts w:ascii="Book Antiqua" w:hAnsi="Book Antiqua"/>
          <w:lang w:val="es-ES"/>
        </w:rPr>
        <w:t xml:space="preserve">ción </w:t>
      </w:r>
      <w:r w:rsidR="00E32297">
        <w:rPr>
          <w:rFonts w:ascii="Book Antiqua" w:hAnsi="Book Antiqua"/>
          <w:lang w:val="es-ES"/>
        </w:rPr>
        <w:t xml:space="preserve">dependa de la vigencia de la reglamentación </w:t>
      </w:r>
      <w:r w:rsidR="00E10C43">
        <w:rPr>
          <w:rFonts w:ascii="Book Antiqua" w:hAnsi="Book Antiqua"/>
          <w:lang w:val="es-ES"/>
        </w:rPr>
        <w:t>correspondiente</w:t>
      </w:r>
      <w:r w:rsidR="003421DD">
        <w:rPr>
          <w:rFonts w:ascii="Book Antiqua" w:hAnsi="Book Antiqua"/>
          <w:lang w:val="es-ES"/>
        </w:rPr>
        <w:t>. Esto, pues</w:t>
      </w:r>
      <w:r w:rsidR="00E10C43">
        <w:rPr>
          <w:rFonts w:ascii="Book Antiqua" w:hAnsi="Book Antiqua"/>
          <w:lang w:val="es-ES"/>
        </w:rPr>
        <w:t xml:space="preserve"> las leyes tienen supremacía sobre los reglamentos en la jerarquía de las fuentes jurídicas.</w:t>
      </w:r>
      <w:r w:rsidR="00B954B2">
        <w:rPr>
          <w:rFonts w:ascii="Book Antiqua" w:hAnsi="Book Antiqua"/>
          <w:lang w:val="es-ES"/>
        </w:rPr>
        <w:t xml:space="preserve"> La</w:t>
      </w:r>
      <w:r w:rsidR="00E10C43">
        <w:rPr>
          <w:rFonts w:ascii="Book Antiqua" w:hAnsi="Book Antiqua"/>
          <w:lang w:val="es-ES"/>
        </w:rPr>
        <w:t xml:space="preserve"> OEG favorece la intención legislativa que persigue el proyecto de ley bajo análisis</w:t>
      </w:r>
      <w:r w:rsidR="00B954B2">
        <w:rPr>
          <w:rFonts w:ascii="Book Antiqua" w:hAnsi="Book Antiqua"/>
          <w:lang w:val="es-ES"/>
        </w:rPr>
        <w:t xml:space="preserve">. No obstante, ofrece varias recomendaciones y comentarios. </w:t>
      </w:r>
    </w:p>
    <w:p w14:paraId="42B2A7B9" w14:textId="0AA716BA" w:rsidR="00B954B2" w:rsidRDefault="00B954B2" w:rsidP="00941CB4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Sobre la responsabilidad del jefe de agencia en cuanto a retrasos en la aprobación de reglamentación, la OEG considera que cursa</w:t>
      </w:r>
      <w:r w:rsidR="00440D2C">
        <w:rPr>
          <w:rFonts w:ascii="Book Antiqua" w:hAnsi="Book Antiqua"/>
          <w:lang w:val="es-ES"/>
        </w:rPr>
        <w:t>r</w:t>
      </w:r>
      <w:r>
        <w:rPr>
          <w:rFonts w:ascii="Book Antiqua" w:hAnsi="Book Antiqua"/>
          <w:lang w:val="es-ES"/>
        </w:rPr>
        <w:t xml:space="preserve"> una misiva al gobernante para justificar la demora es un mecanismo efect</w:t>
      </w:r>
      <w:r w:rsidR="00440D2C">
        <w:rPr>
          <w:rFonts w:ascii="Book Antiqua" w:hAnsi="Book Antiqua"/>
          <w:lang w:val="es-ES"/>
        </w:rPr>
        <w:t>ivo</w:t>
      </w:r>
      <w:r>
        <w:rPr>
          <w:rFonts w:ascii="Book Antiqua" w:hAnsi="Book Antiqua"/>
          <w:lang w:val="es-ES"/>
        </w:rPr>
        <w:t xml:space="preserve"> de comunicación. Sin embargo, opina que es excesivo que el jefe de la agencia esté sujeto a interpelación</w:t>
      </w:r>
      <w:r w:rsidR="00B30ACD">
        <w:rPr>
          <w:rFonts w:ascii="Book Antiqua" w:hAnsi="Book Antiqua"/>
          <w:lang w:val="es-ES"/>
        </w:rPr>
        <w:t>. Esto,</w:t>
      </w:r>
      <w:r>
        <w:rPr>
          <w:rFonts w:ascii="Book Antiqua" w:hAnsi="Book Antiqua"/>
          <w:lang w:val="es-ES"/>
        </w:rPr>
        <w:t xml:space="preserve"> p</w:t>
      </w:r>
      <w:r w:rsidR="00B30ACD">
        <w:rPr>
          <w:rFonts w:ascii="Book Antiqua" w:hAnsi="Book Antiqua"/>
          <w:lang w:val="es-ES"/>
        </w:rPr>
        <w:t>ues</w:t>
      </w:r>
      <w:r>
        <w:rPr>
          <w:rFonts w:ascii="Book Antiqua" w:hAnsi="Book Antiqua"/>
          <w:lang w:val="es-ES"/>
        </w:rPr>
        <w:t xml:space="preserve"> exist</w:t>
      </w:r>
      <w:r w:rsidR="00B30ACD">
        <w:rPr>
          <w:rFonts w:ascii="Book Antiqua" w:hAnsi="Book Antiqua"/>
          <w:lang w:val="es-ES"/>
        </w:rPr>
        <w:t>en</w:t>
      </w:r>
      <w:r>
        <w:rPr>
          <w:rFonts w:ascii="Book Antiqua" w:hAnsi="Book Antiqua"/>
          <w:lang w:val="es-ES"/>
        </w:rPr>
        <w:t xml:space="preserve"> otros métodos para mantener informada a la Asamblea Legislativa de las razones por las cuales no se adopt</w:t>
      </w:r>
      <w:r w:rsidR="00B30ACD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reglamentación</w:t>
      </w:r>
      <w:r w:rsidR="00666AB3">
        <w:rPr>
          <w:rFonts w:ascii="Book Antiqua" w:hAnsi="Book Antiqua"/>
          <w:lang w:val="es-ES"/>
        </w:rPr>
        <w:t>, tales como</w:t>
      </w:r>
      <w:r>
        <w:rPr>
          <w:rFonts w:ascii="Book Antiqua" w:hAnsi="Book Antiqua"/>
          <w:lang w:val="es-ES"/>
        </w:rPr>
        <w:t xml:space="preserve"> la comunicación por escrito dirigida a los </w:t>
      </w:r>
      <w:r>
        <w:rPr>
          <w:rFonts w:ascii="Book Antiqua" w:hAnsi="Book Antiqua"/>
          <w:lang w:val="es-ES"/>
        </w:rPr>
        <w:lastRenderedPageBreak/>
        <w:t xml:space="preserve">cuerpos legislativos para justificar la tardanza. </w:t>
      </w:r>
      <w:r w:rsidR="00666AB3">
        <w:rPr>
          <w:rFonts w:ascii="Book Antiqua" w:hAnsi="Book Antiqua"/>
          <w:lang w:val="es-ES"/>
        </w:rPr>
        <w:t>S</w:t>
      </w:r>
      <w:r>
        <w:rPr>
          <w:rFonts w:ascii="Book Antiqua" w:hAnsi="Book Antiqua"/>
          <w:lang w:val="es-ES"/>
        </w:rPr>
        <w:t xml:space="preserve">i bien la interpelación es una herramienta de fiscalización disponible </w:t>
      </w:r>
      <w:r w:rsidR="004A7594">
        <w:rPr>
          <w:rFonts w:ascii="Book Antiqua" w:hAnsi="Book Antiqua"/>
          <w:lang w:val="es-ES"/>
        </w:rPr>
        <w:t>en</w:t>
      </w:r>
      <w:r>
        <w:rPr>
          <w:rFonts w:ascii="Book Antiqua" w:hAnsi="Book Antiqua"/>
          <w:lang w:val="es-ES"/>
        </w:rPr>
        <w:t xml:space="preserve"> la Asamblea Legislativa, </w:t>
      </w:r>
      <w:r w:rsidR="00FC4EB5">
        <w:rPr>
          <w:rFonts w:ascii="Book Antiqua" w:hAnsi="Book Antiqua"/>
          <w:lang w:val="es-ES"/>
        </w:rPr>
        <w:t xml:space="preserve">ello </w:t>
      </w:r>
      <w:r>
        <w:rPr>
          <w:rFonts w:ascii="Book Antiqua" w:hAnsi="Book Antiqua"/>
          <w:lang w:val="es-ES"/>
        </w:rPr>
        <w:t xml:space="preserve">implica la constitución de una Comisión Total que es requerida como norma general para asuntos de alto interés público. </w:t>
      </w:r>
      <w:r w:rsidR="000B6FBD">
        <w:rPr>
          <w:rFonts w:ascii="Book Antiqua" w:hAnsi="Book Antiqua"/>
          <w:lang w:val="es-ES"/>
        </w:rPr>
        <w:t>E</w:t>
      </w:r>
      <w:r>
        <w:rPr>
          <w:rFonts w:ascii="Book Antiqua" w:hAnsi="Book Antiqua"/>
          <w:lang w:val="es-ES"/>
        </w:rPr>
        <w:t>xisten medios menos onerosos para que los jefes de agencia rindan cuentas a la legislatura sobre la dilación en el procedimiento de reglamentación.</w:t>
      </w:r>
    </w:p>
    <w:p w14:paraId="6C8FD637" w14:textId="04C5AE8C" w:rsidR="002F7C13" w:rsidRDefault="00B954B2" w:rsidP="00135FA0">
      <w:pPr>
        <w:spacing w:after="240" w:line="29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Finalmente, en la línea 4 de la página 6</w:t>
      </w:r>
      <w:r w:rsidR="00365BDA">
        <w:rPr>
          <w:rFonts w:ascii="Book Antiqua" w:hAnsi="Book Antiqua"/>
          <w:lang w:val="es-ES"/>
        </w:rPr>
        <w:t xml:space="preserve"> de la medida legislativa</w:t>
      </w:r>
      <w:r>
        <w:rPr>
          <w:rFonts w:ascii="Book Antiqua" w:hAnsi="Book Antiqua"/>
          <w:lang w:val="es-ES"/>
        </w:rPr>
        <w:t xml:space="preserve">, </w:t>
      </w:r>
      <w:r w:rsidR="004E01B9">
        <w:rPr>
          <w:rFonts w:ascii="Book Antiqua" w:hAnsi="Book Antiqua"/>
          <w:lang w:val="es-ES"/>
        </w:rPr>
        <w:t xml:space="preserve">la OEG </w:t>
      </w:r>
      <w:r>
        <w:rPr>
          <w:rFonts w:ascii="Book Antiqua" w:hAnsi="Book Antiqua"/>
          <w:lang w:val="es-ES"/>
        </w:rPr>
        <w:t>recomienda aclarar cómo se computará el término que se dispone de una semana; si se entiende una semana por cinco</w:t>
      </w:r>
      <w:r w:rsidR="00B60598">
        <w:rPr>
          <w:rFonts w:ascii="Book Antiqua" w:hAnsi="Book Antiqua"/>
          <w:lang w:val="es-ES"/>
        </w:rPr>
        <w:t xml:space="preserve"> (5)</w:t>
      </w:r>
      <w:r>
        <w:rPr>
          <w:rFonts w:ascii="Book Antiqua" w:hAnsi="Book Antiqua"/>
          <w:lang w:val="es-ES"/>
        </w:rPr>
        <w:t xml:space="preserve"> o siete </w:t>
      </w:r>
      <w:r w:rsidR="00B60598">
        <w:rPr>
          <w:rFonts w:ascii="Book Antiqua" w:hAnsi="Book Antiqua"/>
          <w:lang w:val="es-ES"/>
        </w:rPr>
        <w:t xml:space="preserve">(7) </w:t>
      </w:r>
      <w:r>
        <w:rPr>
          <w:rFonts w:ascii="Book Antiqua" w:hAnsi="Book Antiqua"/>
          <w:lang w:val="es-ES"/>
        </w:rPr>
        <w:t xml:space="preserve">días. Al respecto, recomiendan que el término de una semana se considere de siete </w:t>
      </w:r>
      <w:r w:rsidR="00B60598">
        <w:rPr>
          <w:rFonts w:ascii="Book Antiqua" w:hAnsi="Book Antiqua"/>
          <w:lang w:val="es-ES"/>
        </w:rPr>
        <w:t xml:space="preserve">(7) </w:t>
      </w:r>
      <w:r>
        <w:rPr>
          <w:rFonts w:ascii="Book Antiqua" w:hAnsi="Book Antiqua"/>
          <w:lang w:val="es-ES"/>
        </w:rPr>
        <w:t xml:space="preserve">días. </w:t>
      </w:r>
    </w:p>
    <w:p w14:paraId="015F67E8" w14:textId="658093F3" w:rsidR="00F94272" w:rsidRPr="000C1572" w:rsidRDefault="00CB4BCC" w:rsidP="00A93D63">
      <w:pPr>
        <w:spacing w:before="240" w:line="298" w:lineRule="auto"/>
        <w:jc w:val="center"/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ANÁLISIS DE LA MEDIDA</w:t>
      </w:r>
    </w:p>
    <w:p w14:paraId="165BC40D" w14:textId="246E66D9" w:rsidR="00BB02BB" w:rsidRPr="00BB02BB" w:rsidRDefault="006B6070" w:rsidP="00483DA4">
      <w:pPr>
        <w:spacing w:after="12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Luego de evaluar detenidamente los comentarios recibidos, esta Comisión reconoce que</w:t>
      </w:r>
      <w:r w:rsid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el </w:t>
      </w:r>
      <w:r w:rsidR="0046288E">
        <w:rPr>
          <w:rFonts w:ascii="Book Antiqua" w:hAnsi="Book Antiqua"/>
          <w:lang w:val="es-ES"/>
        </w:rPr>
        <w:t>P. de la C.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248 responde a una necesidad legítima de atender deficiencias sistemáticas en el proce</w:t>
      </w:r>
      <w:r w:rsidR="00FA042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dimiento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 </w:t>
      </w:r>
      <w:r w:rsidR="0040734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la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reglamentación administrativa en Puerto Rico. Si bien la medida ha generado preocupaciones entre algunas entidades</w:t>
      </w:r>
      <w:r w:rsidR="0046288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,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entendemos que los argumentos a favor del proyecto sostienen un reclamo </w:t>
      </w:r>
      <w:r w:rsid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fundamentado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en favor de la eficiencia, la transparencia y la rendición de cuentas en la gestión pública.</w:t>
      </w:r>
    </w:p>
    <w:p w14:paraId="58118058" w14:textId="21C9965D" w:rsidR="00F6432B" w:rsidRPr="00BB02BB" w:rsidRDefault="00BB02BB" w:rsidP="00483DA4">
      <w:pPr>
        <w:spacing w:after="12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Coincidimos con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las </w:t>
      </w:r>
      <w:r w:rsidR="00FA042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entidades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comparecientes </w:t>
      </w:r>
      <w:r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en que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la medida refuer</w:t>
      </w:r>
      <w:r w:rsidR="00EB6138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za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el principio de que la ausencia de reglamentación no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incide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en la </w:t>
      </w:r>
      <w:r w:rsidR="002F7C1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implementación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 la </w:t>
      </w:r>
      <w:r w:rsidR="002F7C1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ley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que la ordena</w:t>
      </w:r>
      <w:r w:rsidR="002F7C1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. De esta manera y como bien señala la OIG, reforzar este principio aporta una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mayor certeza jurídica al incorporar la interpretación judicial en la legislación aplicable. </w:t>
      </w:r>
    </w:p>
    <w:p w14:paraId="076E30B9" w14:textId="60886257" w:rsidR="00553AFB" w:rsidRDefault="00553AFB" w:rsidP="00483DA4">
      <w:pPr>
        <w:spacing w:after="12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econocemos que el Departamento de Estado</w:t>
      </w:r>
      <w:r w:rsidR="00DA7C8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y </w:t>
      </w:r>
      <w:r w:rsidR="004A58E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el </w:t>
      </w:r>
      <w:r w:rsidR="00DA7C83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Departamento de</w:t>
      </w:r>
      <w:r w:rsidR="004A58E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Justicia</w:t>
      </w:r>
      <w:r w:rsidR="00DA7C8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plantea</w:t>
      </w:r>
      <w:r w:rsidR="004A58E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n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preocupaciones válidas sobre la diversidad de complejidades en los asuntos a reglamentar. No obstante, esta Comisión estima que la necesidad de establecer un marco uniforme no significa ignorar dicha complejidad, sino establecer una regla general que permita excepciones cuando una ley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que ordene la correspondiente reglamentación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así lo disponga expresamente.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Recordemos que l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 flexibilidad de las agencias se mantiene intacta siempre que actúen dentro de los parámetros que la Asamblea Legislativa determine como razonables para garantizar la ejecución oportuna de su política pública.</w:t>
      </w:r>
    </w:p>
    <w:p w14:paraId="0286D7FC" w14:textId="7ED33391" w:rsidR="00BB02BB" w:rsidRPr="00BB02BB" w:rsidRDefault="00FA042E" w:rsidP="00483DA4">
      <w:pPr>
        <w:spacing w:after="12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</w:p>
    <w:p w14:paraId="4E9770C0" w14:textId="636B386A" w:rsidR="00BB02BB" w:rsidRPr="00BB02BB" w:rsidRDefault="006A696D" w:rsidP="00483DA4">
      <w:pPr>
        <w:spacing w:after="12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lastRenderedPageBreak/>
        <w:t>E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 P. de la C. 248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es compatible 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con los esfuerzos de modernización administrativa de la actual administración, tal como reflejan las órdenes ejecutivas vigentes. Sin embargo, la experiencia demuestra que las órdenes ejecutivas y administrativas no siempre resultan suficientes para garantizar la ejecución </w:t>
      </w:r>
      <w:r w:rsidR="0020517C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continua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 políticas públicas. </w:t>
      </w:r>
      <w:r w:rsidR="00CE0B4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stablecer legislación al respecto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es una respuesta legítima y necesaria ante 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los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retrasos y falta de cumplimiento institucional</w:t>
      </w:r>
      <w:r w:rsidR="000276B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1F085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señalados</w:t>
      </w:r>
      <w:r w:rsidR="00F6432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por la OIG</w:t>
      </w:r>
      <w:r w:rsidR="00BB02BB" w:rsidRPr="00BB02BB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</w:p>
    <w:p w14:paraId="316DF6BA" w14:textId="4D869CA2" w:rsidR="00BB61EE" w:rsidRPr="00483DA4" w:rsidRDefault="00BB02BB" w:rsidP="00483DA4">
      <w:pPr>
        <w:spacing w:after="120" w:line="298" w:lineRule="auto"/>
        <w:ind w:firstLine="706"/>
        <w:jc w:val="both"/>
        <w:rPr>
          <w:rFonts w:ascii="Book Antiqua" w:hAnsi="Book Antiqua"/>
          <w:lang w:val="es-ES"/>
        </w:rPr>
      </w:pPr>
      <w:r w:rsidRPr="00483DA4">
        <w:rPr>
          <w:rFonts w:ascii="Book Antiqua" w:hAnsi="Book Antiqua"/>
          <w:lang w:val="es-ES"/>
        </w:rPr>
        <w:t xml:space="preserve">En virtud de lo anterior, esta Comisión recomienda la aprobación del </w:t>
      </w:r>
      <w:r w:rsidR="00494EBF" w:rsidRPr="009F5635">
        <w:rPr>
          <w:rFonts w:ascii="Book Antiqua" w:hAnsi="Book Antiqua"/>
          <w:lang w:val="es-ES"/>
        </w:rPr>
        <w:t>P. de la C.</w:t>
      </w:r>
      <w:r w:rsidRPr="00483DA4">
        <w:rPr>
          <w:rFonts w:ascii="Book Antiqua" w:hAnsi="Book Antiqua"/>
          <w:lang w:val="es-ES"/>
        </w:rPr>
        <w:t xml:space="preserve"> 248 con las enmiendas </w:t>
      </w:r>
      <w:r w:rsidR="0060097E" w:rsidRPr="00483DA4">
        <w:rPr>
          <w:rFonts w:ascii="Book Antiqua" w:hAnsi="Book Antiqua"/>
          <w:lang w:val="es-ES"/>
        </w:rPr>
        <w:t>contenidas en</w:t>
      </w:r>
      <w:r w:rsidRPr="00483DA4">
        <w:rPr>
          <w:rFonts w:ascii="Book Antiqua" w:hAnsi="Book Antiqua"/>
          <w:lang w:val="es-ES"/>
        </w:rPr>
        <w:t xml:space="preserve"> </w:t>
      </w:r>
      <w:r w:rsidR="0060097E" w:rsidRPr="00483DA4">
        <w:rPr>
          <w:rFonts w:ascii="Book Antiqua" w:hAnsi="Book Antiqua"/>
          <w:lang w:val="es-ES"/>
        </w:rPr>
        <w:t xml:space="preserve">el </w:t>
      </w:r>
      <w:proofErr w:type="spellStart"/>
      <w:r w:rsidR="0060097E" w:rsidRPr="00483DA4">
        <w:rPr>
          <w:rFonts w:ascii="Book Antiqua" w:hAnsi="Book Antiqua"/>
          <w:lang w:val="es-ES"/>
        </w:rPr>
        <w:t>entirillado</w:t>
      </w:r>
      <w:proofErr w:type="spellEnd"/>
      <w:r w:rsidR="0060097E" w:rsidRPr="00483DA4">
        <w:rPr>
          <w:rFonts w:ascii="Book Antiqua" w:hAnsi="Book Antiqua"/>
          <w:lang w:val="es-ES"/>
        </w:rPr>
        <w:t xml:space="preserve"> electrónico que acompaña este informe</w:t>
      </w:r>
      <w:r w:rsidR="00890F50">
        <w:rPr>
          <w:rFonts w:ascii="Book Antiqua" w:hAnsi="Book Antiqua"/>
          <w:lang w:val="es-ES"/>
        </w:rPr>
        <w:t>.</w:t>
      </w:r>
      <w:r w:rsidR="0060097E" w:rsidRPr="00483DA4">
        <w:rPr>
          <w:rFonts w:ascii="Book Antiqua" w:hAnsi="Book Antiqua"/>
          <w:lang w:val="es-ES"/>
        </w:rPr>
        <w:t xml:space="preserve"> </w:t>
      </w:r>
      <w:r w:rsidR="00890F50">
        <w:rPr>
          <w:rFonts w:ascii="Book Antiqua" w:hAnsi="Book Antiqua"/>
          <w:lang w:val="es-ES"/>
        </w:rPr>
        <w:t>L</w:t>
      </w:r>
      <w:r w:rsidR="0060097E" w:rsidRPr="00483DA4">
        <w:rPr>
          <w:rFonts w:ascii="Book Antiqua" w:hAnsi="Book Antiqua"/>
          <w:lang w:val="es-ES"/>
        </w:rPr>
        <w:t>a medida</w:t>
      </w:r>
      <w:r w:rsidRPr="00483DA4">
        <w:rPr>
          <w:rFonts w:ascii="Book Antiqua" w:hAnsi="Book Antiqua"/>
          <w:lang w:val="es-ES"/>
        </w:rPr>
        <w:t xml:space="preserve"> atiende de forma </w:t>
      </w:r>
      <w:r w:rsidR="00D31C96">
        <w:rPr>
          <w:rFonts w:ascii="Book Antiqua" w:hAnsi="Book Antiqua"/>
          <w:lang w:val="es-ES"/>
        </w:rPr>
        <w:t xml:space="preserve">concreta </w:t>
      </w:r>
      <w:r w:rsidR="008C2FBA" w:rsidRPr="00483DA4">
        <w:rPr>
          <w:rFonts w:ascii="Book Antiqua" w:hAnsi="Book Antiqua"/>
          <w:lang w:val="es-ES"/>
        </w:rPr>
        <w:t xml:space="preserve">las dilaciones </w:t>
      </w:r>
      <w:r w:rsidR="006D5CC4" w:rsidRPr="00483DA4">
        <w:rPr>
          <w:rFonts w:ascii="Book Antiqua" w:hAnsi="Book Antiqua"/>
          <w:lang w:val="es-ES"/>
        </w:rPr>
        <w:t>en l</w:t>
      </w:r>
      <w:r w:rsidR="00867C88" w:rsidRPr="00483DA4">
        <w:rPr>
          <w:rFonts w:ascii="Book Antiqua" w:hAnsi="Book Antiqua"/>
          <w:lang w:val="es-ES"/>
        </w:rPr>
        <w:t>a promulgación</w:t>
      </w:r>
      <w:r w:rsidR="006D5CC4" w:rsidRPr="00483DA4">
        <w:rPr>
          <w:rFonts w:ascii="Book Antiqua" w:hAnsi="Book Antiqua"/>
          <w:lang w:val="es-ES"/>
        </w:rPr>
        <w:t xml:space="preserve"> de </w:t>
      </w:r>
      <w:r w:rsidR="00AD6B85" w:rsidRPr="00483DA4">
        <w:rPr>
          <w:rFonts w:ascii="Book Antiqua" w:hAnsi="Book Antiqua"/>
          <w:lang w:val="es-ES"/>
        </w:rPr>
        <w:t xml:space="preserve">la </w:t>
      </w:r>
      <w:r w:rsidR="006D5CC4" w:rsidRPr="00483DA4">
        <w:rPr>
          <w:rFonts w:ascii="Book Antiqua" w:hAnsi="Book Antiqua"/>
          <w:lang w:val="es-ES"/>
        </w:rPr>
        <w:t xml:space="preserve">reglamentación </w:t>
      </w:r>
      <w:r w:rsidR="00AD6B85" w:rsidRPr="00483DA4">
        <w:rPr>
          <w:rFonts w:ascii="Book Antiqua" w:hAnsi="Book Antiqua"/>
          <w:lang w:val="es-ES"/>
        </w:rPr>
        <w:t xml:space="preserve">necesaria </w:t>
      </w:r>
      <w:r w:rsidR="006D5CC4" w:rsidRPr="00483DA4">
        <w:rPr>
          <w:rFonts w:ascii="Book Antiqua" w:hAnsi="Book Antiqua"/>
          <w:lang w:val="es-ES"/>
        </w:rPr>
        <w:t xml:space="preserve">por parte de las agencias, lo </w:t>
      </w:r>
      <w:r w:rsidR="00867C88" w:rsidRPr="00483DA4">
        <w:rPr>
          <w:rFonts w:ascii="Book Antiqua" w:hAnsi="Book Antiqua"/>
          <w:lang w:val="es-ES"/>
        </w:rPr>
        <w:t>cual</w:t>
      </w:r>
      <w:r w:rsidR="006D5CC4" w:rsidRPr="00483DA4">
        <w:rPr>
          <w:rFonts w:ascii="Book Antiqua" w:hAnsi="Book Antiqua"/>
          <w:lang w:val="es-ES"/>
        </w:rPr>
        <w:t xml:space="preserve"> impide la implementación </w:t>
      </w:r>
      <w:r w:rsidR="00AD6B85" w:rsidRPr="00483DA4">
        <w:rPr>
          <w:rFonts w:ascii="Book Antiqua" w:hAnsi="Book Antiqua"/>
          <w:lang w:val="es-ES"/>
        </w:rPr>
        <w:t xml:space="preserve">efectiva </w:t>
      </w:r>
      <w:r w:rsidR="006D5CC4" w:rsidRPr="00483DA4">
        <w:rPr>
          <w:rFonts w:ascii="Book Antiqua" w:hAnsi="Book Antiqua"/>
          <w:lang w:val="es-ES"/>
        </w:rPr>
        <w:t xml:space="preserve">de la política pública </w:t>
      </w:r>
      <w:r w:rsidR="00AD6B85" w:rsidRPr="00483DA4">
        <w:rPr>
          <w:rFonts w:ascii="Book Antiqua" w:hAnsi="Book Antiqua"/>
          <w:lang w:val="es-ES"/>
        </w:rPr>
        <w:t>establecida en las leyes</w:t>
      </w:r>
      <w:r w:rsidR="00867C88" w:rsidRPr="00483DA4">
        <w:rPr>
          <w:rFonts w:ascii="Book Antiqua" w:hAnsi="Book Antiqua"/>
          <w:lang w:val="es-ES"/>
        </w:rPr>
        <w:t xml:space="preserve"> de Puerto Rico</w:t>
      </w:r>
      <w:r w:rsidR="00AD6B85" w:rsidRPr="00483DA4">
        <w:rPr>
          <w:rFonts w:ascii="Book Antiqua" w:hAnsi="Book Antiqua"/>
          <w:lang w:val="es-ES"/>
        </w:rPr>
        <w:t xml:space="preserve">. </w:t>
      </w:r>
    </w:p>
    <w:p w14:paraId="6B6F77A8" w14:textId="0A95D736" w:rsidR="00C94F38" w:rsidRPr="000C1572" w:rsidRDefault="00CB4BCC" w:rsidP="005711A4">
      <w:pPr>
        <w:spacing w:before="240" w:after="120" w:line="298" w:lineRule="auto"/>
        <w:jc w:val="center"/>
        <w:rPr>
          <w:rFonts w:ascii="Book Antiqua" w:eastAsia="Book Antiqua" w:hAnsi="Book Antiqua" w:cs="Book Antiqua"/>
          <w:b/>
          <w:spacing w:val="12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b/>
          <w:spacing w:val="12"/>
          <w:kern w:val="0"/>
          <w:lang w:val="es-ES"/>
          <w14:ligatures w14:val="none"/>
        </w:rPr>
        <w:t>CONCLUSIÓN</w:t>
      </w:r>
    </w:p>
    <w:p w14:paraId="21488ADE" w14:textId="1FD6C4F1" w:rsidR="000743E5" w:rsidRPr="009F5635" w:rsidRDefault="000743E5" w:rsidP="005711A4">
      <w:pPr>
        <w:pStyle w:val="NormalWeb"/>
        <w:spacing w:before="0" w:beforeAutospacing="0" w:after="120" w:afterAutospacing="0" w:line="298" w:lineRule="auto"/>
        <w:ind w:firstLine="706"/>
        <w:jc w:val="both"/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</w:pPr>
      <w:r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Por los fundamentos expuestos, la Comisión de lo Jurídico recomienda la aprobación del </w:t>
      </w:r>
      <w:r w:rsidR="00376DD0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P. de la C.</w:t>
      </w:r>
      <w:r w:rsidR="002E44AD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 </w:t>
      </w:r>
      <w:r w:rsidR="00376DD0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248</w:t>
      </w:r>
      <w:r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, con las enmiendas incluidas en el </w:t>
      </w:r>
      <w:proofErr w:type="spellStart"/>
      <w:r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entirillado</w:t>
      </w:r>
      <w:proofErr w:type="spellEnd"/>
      <w:r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 electrónico que acompaña a este informe y que se hace formar parte </w:t>
      </w:r>
      <w:r w:rsidR="000B72A1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de </w:t>
      </w:r>
      <w:r w:rsidR="00263686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é</w:t>
      </w:r>
      <w:r w:rsidR="000B72A1"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ste</w:t>
      </w:r>
      <w:r w:rsidRPr="009F5635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>.</w:t>
      </w:r>
    </w:p>
    <w:p w14:paraId="44E63056" w14:textId="77777777" w:rsidR="000B72A1" w:rsidRPr="000C1572" w:rsidRDefault="000B72A1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</w:p>
    <w:p w14:paraId="5144D337" w14:textId="104868B9" w:rsidR="00CB4BCC" w:rsidRPr="000C1572" w:rsidRDefault="00CB4BCC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 xml:space="preserve">Respetuosamente </w:t>
      </w:r>
      <w:r w:rsidR="006B02FF"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presentad</w:t>
      </w: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o,</w:t>
      </w:r>
    </w:p>
    <w:p w14:paraId="5867B946" w14:textId="77777777" w:rsidR="00CB4BCC" w:rsidRPr="000C1572" w:rsidRDefault="00CB4BCC" w:rsidP="00CB4BCC">
      <w:pPr>
        <w:spacing w:after="0" w:line="360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725277FD" w14:textId="77777777" w:rsidR="00F46CE1" w:rsidRPr="000C1572" w:rsidRDefault="00F46CE1" w:rsidP="00CB4BCC">
      <w:pPr>
        <w:spacing w:after="0" w:line="360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1E3B9989" w14:textId="4D34957A" w:rsidR="00CB4BCC" w:rsidRPr="000C1572" w:rsidRDefault="00320217" w:rsidP="00CB4BCC">
      <w:pPr>
        <w:spacing w:after="0" w:line="240" w:lineRule="auto"/>
        <w:jc w:val="both"/>
        <w:rPr>
          <w:rFonts w:ascii="Book Antiqua" w:eastAsia="Book Antiqua" w:hAnsi="Book Antiqua" w:cs="Book Antiqua"/>
          <w:smallCaps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smallCaps/>
          <w:kern w:val="0"/>
          <w:lang w:val="es-ES"/>
          <w14:ligatures w14:val="none"/>
        </w:rPr>
        <w:t>José J. Pérez Cordero</w:t>
      </w:r>
    </w:p>
    <w:p w14:paraId="6F7DCDD8" w14:textId="77777777" w:rsidR="00CB4BCC" w:rsidRPr="000C1572" w:rsidRDefault="00CB4BCC" w:rsidP="00CB4BCC">
      <w:pPr>
        <w:spacing w:after="0" w:line="24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Presidente</w:t>
      </w:r>
    </w:p>
    <w:p w14:paraId="36546E0C" w14:textId="29775F61" w:rsidR="00AD63FF" w:rsidRPr="000C1572" w:rsidRDefault="00320217" w:rsidP="00644A21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Comisión de lo Jurídico</w:t>
      </w:r>
    </w:p>
    <w:sectPr w:rsidR="00AD63FF" w:rsidRPr="000C1572" w:rsidSect="00CB4BCC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0A1A9" w14:textId="77777777" w:rsidR="001643BA" w:rsidRDefault="001643BA">
      <w:pPr>
        <w:spacing w:after="0" w:line="240" w:lineRule="auto"/>
      </w:pPr>
      <w:r>
        <w:separator/>
      </w:r>
    </w:p>
  </w:endnote>
  <w:endnote w:type="continuationSeparator" w:id="0">
    <w:p w14:paraId="20F66D26" w14:textId="77777777" w:rsidR="001643BA" w:rsidRDefault="0016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06FE" w14:textId="77777777" w:rsidR="001643BA" w:rsidRDefault="001643BA">
      <w:pPr>
        <w:spacing w:after="0" w:line="240" w:lineRule="auto"/>
      </w:pPr>
      <w:r>
        <w:separator/>
      </w:r>
    </w:p>
  </w:footnote>
  <w:footnote w:type="continuationSeparator" w:id="0">
    <w:p w14:paraId="0AD784C2" w14:textId="77777777" w:rsidR="001643BA" w:rsidRDefault="001643BA">
      <w:pPr>
        <w:spacing w:after="0" w:line="240" w:lineRule="auto"/>
      </w:pPr>
      <w:r>
        <w:continuationSeparator/>
      </w:r>
    </w:p>
  </w:footnote>
  <w:footnote w:id="1">
    <w:p w14:paraId="3A0DDF03" w14:textId="77777777" w:rsidR="005019D7" w:rsidRPr="00C16E5C" w:rsidRDefault="005019D7" w:rsidP="005019D7">
      <w:pPr>
        <w:pStyle w:val="FootnoteText"/>
        <w:rPr>
          <w:rFonts w:ascii="Book Antiqua" w:hAnsi="Book Antiqua"/>
        </w:rPr>
      </w:pPr>
      <w:r w:rsidRPr="00C16E5C">
        <w:rPr>
          <w:rStyle w:val="FootnoteReference"/>
          <w:rFonts w:ascii="Book Antiqua" w:hAnsi="Book Antiqua"/>
        </w:rPr>
        <w:footnoteRef/>
      </w:r>
      <w:r w:rsidRPr="00C16E5C">
        <w:rPr>
          <w:rFonts w:ascii="Book Antiqua" w:hAnsi="Book Antiqua"/>
        </w:rPr>
        <w:t xml:space="preserve"> Ley 15-2017, según enmendada, conocida como “Ley del Inspector General de Puerto Rico”.</w:t>
      </w:r>
    </w:p>
  </w:footnote>
  <w:footnote w:id="2">
    <w:p w14:paraId="4C15218E" w14:textId="6A7386BA" w:rsidR="00655576" w:rsidRPr="00655576" w:rsidRDefault="00655576">
      <w:pPr>
        <w:pStyle w:val="FootnoteText"/>
        <w:rPr>
          <w:rFonts w:ascii="Book Antiqua" w:hAnsi="Book Antiqua"/>
        </w:rPr>
      </w:pPr>
      <w:r w:rsidRPr="00655576">
        <w:rPr>
          <w:rStyle w:val="FootnoteReference"/>
          <w:rFonts w:ascii="Book Antiqua" w:hAnsi="Book Antiqua"/>
        </w:rPr>
        <w:footnoteRef/>
      </w:r>
      <w:r w:rsidRPr="00655576">
        <w:rPr>
          <w:rFonts w:ascii="Book Antiqua" w:hAnsi="Book Antiqua"/>
        </w:rPr>
        <w:t xml:space="preserve"> Memorial de la Oficina del Inspecto</w:t>
      </w:r>
      <w:r w:rsidR="00941CB4">
        <w:rPr>
          <w:rFonts w:ascii="Book Antiqua" w:hAnsi="Book Antiqua"/>
        </w:rPr>
        <w:t>r</w:t>
      </w:r>
      <w:r w:rsidRPr="00655576">
        <w:rPr>
          <w:rFonts w:ascii="Book Antiqua" w:hAnsi="Book Antiqua"/>
        </w:rPr>
        <w:t xml:space="preserve"> General sobre P. de la C. 248, a la pág.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92309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6C079BA" w14:textId="4EEF050D" w:rsidR="00DC0D78" w:rsidRDefault="00DC0D78" w:rsidP="00BA0FB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3C962" w14:textId="77777777" w:rsidR="00DC0D78" w:rsidRDefault="00DC0D78" w:rsidP="00DC0D7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Book Antiqua" w:hAnsi="Book Antiqua"/>
        <w:sz w:val="20"/>
      </w:rPr>
      <w:id w:val="68123744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C5FEFF4" w14:textId="7958099E" w:rsidR="00BA0FB9" w:rsidRPr="00BA0FB9" w:rsidRDefault="00BA0FB9">
        <w:pPr>
          <w:pStyle w:val="Header"/>
          <w:framePr w:wrap="none" w:vAnchor="text" w:hAnchor="margin" w:xAlign="right" w:y="1"/>
          <w:rPr>
            <w:rStyle w:val="PageNumber"/>
            <w:rFonts w:ascii="Book Antiqua" w:hAnsi="Book Antiqua"/>
            <w:sz w:val="20"/>
          </w:rPr>
        </w:pPr>
        <w:r w:rsidRPr="00BA0FB9">
          <w:rPr>
            <w:rStyle w:val="PageNumber"/>
            <w:rFonts w:ascii="Book Antiqua" w:hAnsi="Book Antiqua"/>
            <w:sz w:val="20"/>
          </w:rPr>
          <w:fldChar w:fldCharType="begin"/>
        </w:r>
        <w:r w:rsidRPr="00BA0FB9">
          <w:rPr>
            <w:rStyle w:val="PageNumber"/>
            <w:rFonts w:ascii="Book Antiqua" w:hAnsi="Book Antiqua"/>
            <w:sz w:val="20"/>
          </w:rPr>
          <w:instrText xml:space="preserve"> PAGE </w:instrText>
        </w:r>
        <w:r w:rsidRPr="00BA0FB9">
          <w:rPr>
            <w:rStyle w:val="PageNumber"/>
            <w:rFonts w:ascii="Book Antiqua" w:hAnsi="Book Antiqua"/>
            <w:sz w:val="20"/>
          </w:rPr>
          <w:fldChar w:fldCharType="separate"/>
        </w:r>
        <w:r w:rsidRPr="00BA0FB9">
          <w:rPr>
            <w:rStyle w:val="PageNumber"/>
            <w:rFonts w:ascii="Book Antiqua" w:hAnsi="Book Antiqua"/>
            <w:noProof/>
            <w:sz w:val="20"/>
          </w:rPr>
          <w:t>5</w:t>
        </w:r>
        <w:r w:rsidRPr="00BA0FB9">
          <w:rPr>
            <w:rStyle w:val="PageNumber"/>
            <w:rFonts w:ascii="Book Antiqua" w:hAnsi="Book Antiqua"/>
            <w:sz w:val="20"/>
          </w:rPr>
          <w:fldChar w:fldCharType="end"/>
        </w:r>
      </w:p>
    </w:sdtContent>
  </w:sdt>
  <w:p w14:paraId="01DC0CA7" w14:textId="0C15CEA1" w:rsidR="00017DE0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Comisión de lo Jurídico</w:t>
    </w:r>
  </w:p>
  <w:p w14:paraId="63732081" w14:textId="6387638E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Informe</w:t>
    </w:r>
    <w:r w:rsidR="00322F83">
      <w:rPr>
        <w:rFonts w:ascii="Book Antiqua" w:hAnsi="Book Antiqua"/>
        <w:sz w:val="20"/>
      </w:rPr>
      <w:t xml:space="preserve"> sobre el</w:t>
    </w:r>
    <w:r w:rsidRPr="00BA0FB9">
      <w:rPr>
        <w:rFonts w:ascii="Book Antiqua" w:hAnsi="Book Antiqua"/>
        <w:sz w:val="20"/>
      </w:rPr>
      <w:t xml:space="preserve"> </w:t>
    </w:r>
    <w:r w:rsidR="00376DD0">
      <w:rPr>
        <w:rFonts w:ascii="Book Antiqua" w:hAnsi="Book Antiqua"/>
        <w:sz w:val="20"/>
      </w:rPr>
      <w:t>P. de la C.</w:t>
    </w:r>
    <w:r w:rsidR="002E44AD">
      <w:rPr>
        <w:rFonts w:ascii="Book Antiqua" w:hAnsi="Book Antiqua"/>
        <w:sz w:val="20"/>
      </w:rPr>
      <w:t xml:space="preserve"> </w:t>
    </w:r>
    <w:r w:rsidR="00376DD0">
      <w:rPr>
        <w:rFonts w:ascii="Book Antiqua" w:hAnsi="Book Antiqua"/>
        <w:sz w:val="20"/>
      </w:rPr>
      <w:t>248</w:t>
    </w:r>
  </w:p>
  <w:p w14:paraId="4C9DFBF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  <w:p w14:paraId="21538D5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7EBB"/>
    <w:multiLevelType w:val="multilevel"/>
    <w:tmpl w:val="224E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DD0A1D"/>
    <w:multiLevelType w:val="hybridMultilevel"/>
    <w:tmpl w:val="0B702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97640"/>
    <w:multiLevelType w:val="multilevel"/>
    <w:tmpl w:val="893A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80116"/>
    <w:multiLevelType w:val="multilevel"/>
    <w:tmpl w:val="C1E8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90137F"/>
    <w:multiLevelType w:val="hybridMultilevel"/>
    <w:tmpl w:val="3FC28190"/>
    <w:lvl w:ilvl="0" w:tplc="F0DCEE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796242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842932">
    <w:abstractNumId w:val="1"/>
  </w:num>
  <w:num w:numId="3" w16cid:durableId="574238919">
    <w:abstractNumId w:val="4"/>
  </w:num>
  <w:num w:numId="4" w16cid:durableId="1949703315">
    <w:abstractNumId w:val="0"/>
  </w:num>
  <w:num w:numId="5" w16cid:durableId="698550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CC"/>
    <w:rsid w:val="000035B6"/>
    <w:rsid w:val="0000415C"/>
    <w:rsid w:val="000120EA"/>
    <w:rsid w:val="000136F7"/>
    <w:rsid w:val="000140F6"/>
    <w:rsid w:val="000177B6"/>
    <w:rsid w:val="00017DE0"/>
    <w:rsid w:val="000276B3"/>
    <w:rsid w:val="000277D6"/>
    <w:rsid w:val="00033266"/>
    <w:rsid w:val="000341E7"/>
    <w:rsid w:val="00034B0C"/>
    <w:rsid w:val="00034C87"/>
    <w:rsid w:val="000368D3"/>
    <w:rsid w:val="00042AC4"/>
    <w:rsid w:val="000468B9"/>
    <w:rsid w:val="000504DF"/>
    <w:rsid w:val="000510A4"/>
    <w:rsid w:val="000515C3"/>
    <w:rsid w:val="00053414"/>
    <w:rsid w:val="00057149"/>
    <w:rsid w:val="0005781F"/>
    <w:rsid w:val="00062B3D"/>
    <w:rsid w:val="00064AF1"/>
    <w:rsid w:val="0006757A"/>
    <w:rsid w:val="00067A08"/>
    <w:rsid w:val="00070932"/>
    <w:rsid w:val="0007153C"/>
    <w:rsid w:val="00071AFA"/>
    <w:rsid w:val="000743E5"/>
    <w:rsid w:val="000748E3"/>
    <w:rsid w:val="00075B86"/>
    <w:rsid w:val="00076BDB"/>
    <w:rsid w:val="00087EB1"/>
    <w:rsid w:val="00095FDC"/>
    <w:rsid w:val="00096272"/>
    <w:rsid w:val="000A2504"/>
    <w:rsid w:val="000A48EB"/>
    <w:rsid w:val="000A5BDE"/>
    <w:rsid w:val="000A762F"/>
    <w:rsid w:val="000B13D7"/>
    <w:rsid w:val="000B15BE"/>
    <w:rsid w:val="000B30BC"/>
    <w:rsid w:val="000B434F"/>
    <w:rsid w:val="000B4646"/>
    <w:rsid w:val="000B6FBD"/>
    <w:rsid w:val="000B72A1"/>
    <w:rsid w:val="000C1572"/>
    <w:rsid w:val="000C18F3"/>
    <w:rsid w:val="000C474E"/>
    <w:rsid w:val="000C6CA5"/>
    <w:rsid w:val="000D434B"/>
    <w:rsid w:val="000D6272"/>
    <w:rsid w:val="000D6426"/>
    <w:rsid w:val="000D7951"/>
    <w:rsid w:val="000E3E7B"/>
    <w:rsid w:val="000F0B24"/>
    <w:rsid w:val="000F3725"/>
    <w:rsid w:val="000F48F4"/>
    <w:rsid w:val="000F5571"/>
    <w:rsid w:val="000F7BDE"/>
    <w:rsid w:val="0010043D"/>
    <w:rsid w:val="00101518"/>
    <w:rsid w:val="00103370"/>
    <w:rsid w:val="001054C2"/>
    <w:rsid w:val="00110219"/>
    <w:rsid w:val="001124E2"/>
    <w:rsid w:val="001155A8"/>
    <w:rsid w:val="001279AE"/>
    <w:rsid w:val="00127DAC"/>
    <w:rsid w:val="00131433"/>
    <w:rsid w:val="00131C97"/>
    <w:rsid w:val="001325B8"/>
    <w:rsid w:val="00134979"/>
    <w:rsid w:val="00135FA0"/>
    <w:rsid w:val="0013667B"/>
    <w:rsid w:val="00136D7B"/>
    <w:rsid w:val="00137636"/>
    <w:rsid w:val="001407A8"/>
    <w:rsid w:val="00142C72"/>
    <w:rsid w:val="0014669D"/>
    <w:rsid w:val="00147FC6"/>
    <w:rsid w:val="00151944"/>
    <w:rsid w:val="00151C0B"/>
    <w:rsid w:val="00151EAB"/>
    <w:rsid w:val="00153282"/>
    <w:rsid w:val="00155053"/>
    <w:rsid w:val="00157616"/>
    <w:rsid w:val="001606B1"/>
    <w:rsid w:val="00162770"/>
    <w:rsid w:val="00163F28"/>
    <w:rsid w:val="001643BA"/>
    <w:rsid w:val="00165172"/>
    <w:rsid w:val="00165BB2"/>
    <w:rsid w:val="00165F38"/>
    <w:rsid w:val="0016625F"/>
    <w:rsid w:val="00167D19"/>
    <w:rsid w:val="00171BA9"/>
    <w:rsid w:val="00171D05"/>
    <w:rsid w:val="00172176"/>
    <w:rsid w:val="001722E3"/>
    <w:rsid w:val="00176FB0"/>
    <w:rsid w:val="00183348"/>
    <w:rsid w:val="001843A5"/>
    <w:rsid w:val="00185250"/>
    <w:rsid w:val="00186A03"/>
    <w:rsid w:val="00187592"/>
    <w:rsid w:val="00191A62"/>
    <w:rsid w:val="001A0BCA"/>
    <w:rsid w:val="001A1EDF"/>
    <w:rsid w:val="001A1FF4"/>
    <w:rsid w:val="001A261F"/>
    <w:rsid w:val="001A2630"/>
    <w:rsid w:val="001B058C"/>
    <w:rsid w:val="001B0E86"/>
    <w:rsid w:val="001B1128"/>
    <w:rsid w:val="001B2964"/>
    <w:rsid w:val="001B7C12"/>
    <w:rsid w:val="001C6691"/>
    <w:rsid w:val="001C7436"/>
    <w:rsid w:val="001D0ECC"/>
    <w:rsid w:val="001D2E44"/>
    <w:rsid w:val="001D7E64"/>
    <w:rsid w:val="001E040E"/>
    <w:rsid w:val="001E08C3"/>
    <w:rsid w:val="001F0023"/>
    <w:rsid w:val="001F085E"/>
    <w:rsid w:val="001F2813"/>
    <w:rsid w:val="001F2BD5"/>
    <w:rsid w:val="001F2E26"/>
    <w:rsid w:val="001F4835"/>
    <w:rsid w:val="001F65F6"/>
    <w:rsid w:val="001F682B"/>
    <w:rsid w:val="00200E2C"/>
    <w:rsid w:val="002016B5"/>
    <w:rsid w:val="00202382"/>
    <w:rsid w:val="00202B70"/>
    <w:rsid w:val="00203301"/>
    <w:rsid w:val="002039C9"/>
    <w:rsid w:val="00203B38"/>
    <w:rsid w:val="002044FE"/>
    <w:rsid w:val="00204A9D"/>
    <w:rsid w:val="0020517C"/>
    <w:rsid w:val="00211176"/>
    <w:rsid w:val="002136CB"/>
    <w:rsid w:val="002149FE"/>
    <w:rsid w:val="00217313"/>
    <w:rsid w:val="00217E90"/>
    <w:rsid w:val="002221F0"/>
    <w:rsid w:val="002236D8"/>
    <w:rsid w:val="00226E4E"/>
    <w:rsid w:val="0022747E"/>
    <w:rsid w:val="00230542"/>
    <w:rsid w:val="002310D2"/>
    <w:rsid w:val="002323A7"/>
    <w:rsid w:val="0024035A"/>
    <w:rsid w:val="00240B7C"/>
    <w:rsid w:val="0024129A"/>
    <w:rsid w:val="00242BF0"/>
    <w:rsid w:val="00250F0F"/>
    <w:rsid w:val="00252E35"/>
    <w:rsid w:val="002541BE"/>
    <w:rsid w:val="002562B0"/>
    <w:rsid w:val="0026053E"/>
    <w:rsid w:val="00263686"/>
    <w:rsid w:val="00265D81"/>
    <w:rsid w:val="00272B73"/>
    <w:rsid w:val="00275C5D"/>
    <w:rsid w:val="00275F07"/>
    <w:rsid w:val="00277355"/>
    <w:rsid w:val="00282A9F"/>
    <w:rsid w:val="00283DF6"/>
    <w:rsid w:val="00294277"/>
    <w:rsid w:val="00294435"/>
    <w:rsid w:val="0029494C"/>
    <w:rsid w:val="00296EC8"/>
    <w:rsid w:val="002A439F"/>
    <w:rsid w:val="002A5686"/>
    <w:rsid w:val="002B1F9B"/>
    <w:rsid w:val="002B25FE"/>
    <w:rsid w:val="002B28D2"/>
    <w:rsid w:val="002B2A35"/>
    <w:rsid w:val="002B4C35"/>
    <w:rsid w:val="002B51B7"/>
    <w:rsid w:val="002B5A64"/>
    <w:rsid w:val="002C0D49"/>
    <w:rsid w:val="002C2D88"/>
    <w:rsid w:val="002C32E5"/>
    <w:rsid w:val="002C46B6"/>
    <w:rsid w:val="002C606D"/>
    <w:rsid w:val="002C724B"/>
    <w:rsid w:val="002C792B"/>
    <w:rsid w:val="002D0F89"/>
    <w:rsid w:val="002D2E26"/>
    <w:rsid w:val="002D45AC"/>
    <w:rsid w:val="002D5334"/>
    <w:rsid w:val="002E1B99"/>
    <w:rsid w:val="002E3BD8"/>
    <w:rsid w:val="002E44AD"/>
    <w:rsid w:val="002E49F0"/>
    <w:rsid w:val="002E4EC1"/>
    <w:rsid w:val="002E53E1"/>
    <w:rsid w:val="002F0998"/>
    <w:rsid w:val="002F18AB"/>
    <w:rsid w:val="002F1980"/>
    <w:rsid w:val="002F305C"/>
    <w:rsid w:val="002F4271"/>
    <w:rsid w:val="002F4AC2"/>
    <w:rsid w:val="002F4E78"/>
    <w:rsid w:val="002F4F33"/>
    <w:rsid w:val="002F5B77"/>
    <w:rsid w:val="002F751E"/>
    <w:rsid w:val="002F7C13"/>
    <w:rsid w:val="00300B4D"/>
    <w:rsid w:val="00303A08"/>
    <w:rsid w:val="00303DE8"/>
    <w:rsid w:val="003062C9"/>
    <w:rsid w:val="003067F4"/>
    <w:rsid w:val="00306E26"/>
    <w:rsid w:val="00310674"/>
    <w:rsid w:val="00310C64"/>
    <w:rsid w:val="00313661"/>
    <w:rsid w:val="0031393C"/>
    <w:rsid w:val="003140AD"/>
    <w:rsid w:val="0031417B"/>
    <w:rsid w:val="0031443B"/>
    <w:rsid w:val="00317204"/>
    <w:rsid w:val="00320217"/>
    <w:rsid w:val="003206BB"/>
    <w:rsid w:val="003206D9"/>
    <w:rsid w:val="00322C70"/>
    <w:rsid w:val="00322F83"/>
    <w:rsid w:val="00323CD9"/>
    <w:rsid w:val="00325F4A"/>
    <w:rsid w:val="0032636C"/>
    <w:rsid w:val="00327C3F"/>
    <w:rsid w:val="00331040"/>
    <w:rsid w:val="00332DC5"/>
    <w:rsid w:val="00333271"/>
    <w:rsid w:val="00337C3E"/>
    <w:rsid w:val="00337DDD"/>
    <w:rsid w:val="003409D2"/>
    <w:rsid w:val="003421DD"/>
    <w:rsid w:val="003429B9"/>
    <w:rsid w:val="003435EA"/>
    <w:rsid w:val="003439F8"/>
    <w:rsid w:val="00345A92"/>
    <w:rsid w:val="00345C57"/>
    <w:rsid w:val="0034633B"/>
    <w:rsid w:val="00352885"/>
    <w:rsid w:val="00352DF9"/>
    <w:rsid w:val="00361D6A"/>
    <w:rsid w:val="00365BDA"/>
    <w:rsid w:val="0037032F"/>
    <w:rsid w:val="00371A01"/>
    <w:rsid w:val="00371D82"/>
    <w:rsid w:val="00374936"/>
    <w:rsid w:val="00376DD0"/>
    <w:rsid w:val="0038195D"/>
    <w:rsid w:val="00381AE9"/>
    <w:rsid w:val="003828D1"/>
    <w:rsid w:val="003835CF"/>
    <w:rsid w:val="00385EA0"/>
    <w:rsid w:val="00387AA8"/>
    <w:rsid w:val="00387B30"/>
    <w:rsid w:val="003927E7"/>
    <w:rsid w:val="00393AFD"/>
    <w:rsid w:val="003A1A56"/>
    <w:rsid w:val="003A4D3E"/>
    <w:rsid w:val="003A5315"/>
    <w:rsid w:val="003A543A"/>
    <w:rsid w:val="003A56B4"/>
    <w:rsid w:val="003A6D10"/>
    <w:rsid w:val="003B05E6"/>
    <w:rsid w:val="003B353E"/>
    <w:rsid w:val="003B48B0"/>
    <w:rsid w:val="003C2B1D"/>
    <w:rsid w:val="003C2DBF"/>
    <w:rsid w:val="003C30E4"/>
    <w:rsid w:val="003C3D24"/>
    <w:rsid w:val="003C6072"/>
    <w:rsid w:val="003C61C9"/>
    <w:rsid w:val="003D0732"/>
    <w:rsid w:val="003D0CCD"/>
    <w:rsid w:val="003D2144"/>
    <w:rsid w:val="003D4359"/>
    <w:rsid w:val="003D4C49"/>
    <w:rsid w:val="003E0ACD"/>
    <w:rsid w:val="003E2C27"/>
    <w:rsid w:val="003E2D16"/>
    <w:rsid w:val="003E31B6"/>
    <w:rsid w:val="003E4B8A"/>
    <w:rsid w:val="003E5F73"/>
    <w:rsid w:val="003F07BA"/>
    <w:rsid w:val="003F353F"/>
    <w:rsid w:val="003F6738"/>
    <w:rsid w:val="003F6B6E"/>
    <w:rsid w:val="0040058A"/>
    <w:rsid w:val="00400694"/>
    <w:rsid w:val="00400BFB"/>
    <w:rsid w:val="004011C3"/>
    <w:rsid w:val="00401E40"/>
    <w:rsid w:val="0040230B"/>
    <w:rsid w:val="00403161"/>
    <w:rsid w:val="004047BE"/>
    <w:rsid w:val="0040528D"/>
    <w:rsid w:val="00407347"/>
    <w:rsid w:val="00410994"/>
    <w:rsid w:val="00413517"/>
    <w:rsid w:val="00414D73"/>
    <w:rsid w:val="00416B0C"/>
    <w:rsid w:val="0041772F"/>
    <w:rsid w:val="00417E18"/>
    <w:rsid w:val="0042009C"/>
    <w:rsid w:val="00420DC6"/>
    <w:rsid w:val="0042272E"/>
    <w:rsid w:val="0042399B"/>
    <w:rsid w:val="00424AEF"/>
    <w:rsid w:val="0042546D"/>
    <w:rsid w:val="00425F9C"/>
    <w:rsid w:val="00426675"/>
    <w:rsid w:val="0042743B"/>
    <w:rsid w:val="0042783C"/>
    <w:rsid w:val="00432086"/>
    <w:rsid w:val="00433900"/>
    <w:rsid w:val="004347CD"/>
    <w:rsid w:val="00434BA6"/>
    <w:rsid w:val="00435AB0"/>
    <w:rsid w:val="00436F96"/>
    <w:rsid w:val="00440D2C"/>
    <w:rsid w:val="00440ED7"/>
    <w:rsid w:val="00444A9E"/>
    <w:rsid w:val="00450143"/>
    <w:rsid w:val="0045102D"/>
    <w:rsid w:val="004521A9"/>
    <w:rsid w:val="004524C9"/>
    <w:rsid w:val="00452A96"/>
    <w:rsid w:val="00453139"/>
    <w:rsid w:val="00453CFE"/>
    <w:rsid w:val="00455EAC"/>
    <w:rsid w:val="00457F21"/>
    <w:rsid w:val="00460F8A"/>
    <w:rsid w:val="0046288E"/>
    <w:rsid w:val="004642B0"/>
    <w:rsid w:val="00465F31"/>
    <w:rsid w:val="004678C2"/>
    <w:rsid w:val="00471331"/>
    <w:rsid w:val="00475B72"/>
    <w:rsid w:val="00475EC5"/>
    <w:rsid w:val="00480585"/>
    <w:rsid w:val="00481F5C"/>
    <w:rsid w:val="004824F5"/>
    <w:rsid w:val="00483DA4"/>
    <w:rsid w:val="00485232"/>
    <w:rsid w:val="00486A6E"/>
    <w:rsid w:val="0049095B"/>
    <w:rsid w:val="00491057"/>
    <w:rsid w:val="004918F4"/>
    <w:rsid w:val="004922A1"/>
    <w:rsid w:val="00494EBF"/>
    <w:rsid w:val="004957F0"/>
    <w:rsid w:val="004A4D97"/>
    <w:rsid w:val="004A58E1"/>
    <w:rsid w:val="004A5C02"/>
    <w:rsid w:val="004A7594"/>
    <w:rsid w:val="004B05BC"/>
    <w:rsid w:val="004B14E8"/>
    <w:rsid w:val="004B37F9"/>
    <w:rsid w:val="004B39EC"/>
    <w:rsid w:val="004B3E0A"/>
    <w:rsid w:val="004B3E3A"/>
    <w:rsid w:val="004B4944"/>
    <w:rsid w:val="004C0DAB"/>
    <w:rsid w:val="004C14F1"/>
    <w:rsid w:val="004C3C30"/>
    <w:rsid w:val="004C3C6E"/>
    <w:rsid w:val="004D03F0"/>
    <w:rsid w:val="004D07CF"/>
    <w:rsid w:val="004D19BF"/>
    <w:rsid w:val="004D2FC8"/>
    <w:rsid w:val="004E01B9"/>
    <w:rsid w:val="004E1D46"/>
    <w:rsid w:val="004E696C"/>
    <w:rsid w:val="004F1018"/>
    <w:rsid w:val="004F188A"/>
    <w:rsid w:val="004F380E"/>
    <w:rsid w:val="004F5503"/>
    <w:rsid w:val="004F6867"/>
    <w:rsid w:val="004F7341"/>
    <w:rsid w:val="005003E2"/>
    <w:rsid w:val="005007EE"/>
    <w:rsid w:val="005019D7"/>
    <w:rsid w:val="00501A3E"/>
    <w:rsid w:val="005044D6"/>
    <w:rsid w:val="00505753"/>
    <w:rsid w:val="00510A81"/>
    <w:rsid w:val="00511877"/>
    <w:rsid w:val="00512BB2"/>
    <w:rsid w:val="00512D7C"/>
    <w:rsid w:val="00513338"/>
    <w:rsid w:val="005149DD"/>
    <w:rsid w:val="00517B4E"/>
    <w:rsid w:val="0052051E"/>
    <w:rsid w:val="00523529"/>
    <w:rsid w:val="00525C21"/>
    <w:rsid w:val="00525DEC"/>
    <w:rsid w:val="0052616E"/>
    <w:rsid w:val="00526E3D"/>
    <w:rsid w:val="0053085D"/>
    <w:rsid w:val="00532969"/>
    <w:rsid w:val="00532FBC"/>
    <w:rsid w:val="00534281"/>
    <w:rsid w:val="00536B59"/>
    <w:rsid w:val="0054073A"/>
    <w:rsid w:val="005429CD"/>
    <w:rsid w:val="00543C92"/>
    <w:rsid w:val="00544732"/>
    <w:rsid w:val="00544B79"/>
    <w:rsid w:val="005452A6"/>
    <w:rsid w:val="0054585D"/>
    <w:rsid w:val="0055257F"/>
    <w:rsid w:val="005534C8"/>
    <w:rsid w:val="00553AFB"/>
    <w:rsid w:val="0055498A"/>
    <w:rsid w:val="00566EB3"/>
    <w:rsid w:val="005670E8"/>
    <w:rsid w:val="00570A6F"/>
    <w:rsid w:val="00570CCC"/>
    <w:rsid w:val="005711A4"/>
    <w:rsid w:val="00571EBB"/>
    <w:rsid w:val="00574681"/>
    <w:rsid w:val="00575F07"/>
    <w:rsid w:val="00582671"/>
    <w:rsid w:val="005838C2"/>
    <w:rsid w:val="00586AF3"/>
    <w:rsid w:val="00590826"/>
    <w:rsid w:val="0059332C"/>
    <w:rsid w:val="00593F67"/>
    <w:rsid w:val="00595807"/>
    <w:rsid w:val="00595B66"/>
    <w:rsid w:val="00595E03"/>
    <w:rsid w:val="00596595"/>
    <w:rsid w:val="005979DD"/>
    <w:rsid w:val="005A13A5"/>
    <w:rsid w:val="005A1F4B"/>
    <w:rsid w:val="005A2049"/>
    <w:rsid w:val="005A295E"/>
    <w:rsid w:val="005A32A6"/>
    <w:rsid w:val="005A32FE"/>
    <w:rsid w:val="005A7DF9"/>
    <w:rsid w:val="005B08F8"/>
    <w:rsid w:val="005B1D73"/>
    <w:rsid w:val="005B1E02"/>
    <w:rsid w:val="005B1E47"/>
    <w:rsid w:val="005B2906"/>
    <w:rsid w:val="005B2A11"/>
    <w:rsid w:val="005B2E79"/>
    <w:rsid w:val="005B5ECB"/>
    <w:rsid w:val="005C4A90"/>
    <w:rsid w:val="005C4B93"/>
    <w:rsid w:val="005C5B93"/>
    <w:rsid w:val="005C6FEA"/>
    <w:rsid w:val="005D185C"/>
    <w:rsid w:val="005D2E19"/>
    <w:rsid w:val="005D415D"/>
    <w:rsid w:val="005E4019"/>
    <w:rsid w:val="005E4419"/>
    <w:rsid w:val="005E49FD"/>
    <w:rsid w:val="005E5A77"/>
    <w:rsid w:val="005E6827"/>
    <w:rsid w:val="005F06F3"/>
    <w:rsid w:val="005F2D63"/>
    <w:rsid w:val="005F595B"/>
    <w:rsid w:val="0060097E"/>
    <w:rsid w:val="006032A1"/>
    <w:rsid w:val="00604F86"/>
    <w:rsid w:val="00607753"/>
    <w:rsid w:val="00610995"/>
    <w:rsid w:val="00610B2E"/>
    <w:rsid w:val="00616C07"/>
    <w:rsid w:val="00621FFC"/>
    <w:rsid w:val="00622264"/>
    <w:rsid w:val="006227E0"/>
    <w:rsid w:val="006238A3"/>
    <w:rsid w:val="0063395F"/>
    <w:rsid w:val="00633DA8"/>
    <w:rsid w:val="00634292"/>
    <w:rsid w:val="00634555"/>
    <w:rsid w:val="00635A7A"/>
    <w:rsid w:val="00635FC4"/>
    <w:rsid w:val="0063667B"/>
    <w:rsid w:val="0064035D"/>
    <w:rsid w:val="006425CA"/>
    <w:rsid w:val="00642B14"/>
    <w:rsid w:val="00642B52"/>
    <w:rsid w:val="0064366D"/>
    <w:rsid w:val="006440AB"/>
    <w:rsid w:val="00644953"/>
    <w:rsid w:val="00644A21"/>
    <w:rsid w:val="00645C61"/>
    <w:rsid w:val="00647AE3"/>
    <w:rsid w:val="00650558"/>
    <w:rsid w:val="00650E61"/>
    <w:rsid w:val="0065253D"/>
    <w:rsid w:val="00655576"/>
    <w:rsid w:val="00656B8F"/>
    <w:rsid w:val="00656F82"/>
    <w:rsid w:val="006609D4"/>
    <w:rsid w:val="00660E3A"/>
    <w:rsid w:val="00661A92"/>
    <w:rsid w:val="00662077"/>
    <w:rsid w:val="00663C6C"/>
    <w:rsid w:val="00665CC0"/>
    <w:rsid w:val="00666AB3"/>
    <w:rsid w:val="00666BEA"/>
    <w:rsid w:val="0067020F"/>
    <w:rsid w:val="006702E7"/>
    <w:rsid w:val="00671E3F"/>
    <w:rsid w:val="00673104"/>
    <w:rsid w:val="006756B5"/>
    <w:rsid w:val="00681750"/>
    <w:rsid w:val="00681E98"/>
    <w:rsid w:val="00683C80"/>
    <w:rsid w:val="00690458"/>
    <w:rsid w:val="00690505"/>
    <w:rsid w:val="00690C0B"/>
    <w:rsid w:val="00692326"/>
    <w:rsid w:val="0069280D"/>
    <w:rsid w:val="006A151D"/>
    <w:rsid w:val="006A696D"/>
    <w:rsid w:val="006B02FF"/>
    <w:rsid w:val="006B47E8"/>
    <w:rsid w:val="006B55C5"/>
    <w:rsid w:val="006B5669"/>
    <w:rsid w:val="006B6070"/>
    <w:rsid w:val="006B7588"/>
    <w:rsid w:val="006C0079"/>
    <w:rsid w:val="006C178D"/>
    <w:rsid w:val="006C26B3"/>
    <w:rsid w:val="006C3629"/>
    <w:rsid w:val="006C3AC9"/>
    <w:rsid w:val="006C5F9E"/>
    <w:rsid w:val="006C6271"/>
    <w:rsid w:val="006C68A1"/>
    <w:rsid w:val="006C6C95"/>
    <w:rsid w:val="006D3D53"/>
    <w:rsid w:val="006D5BFE"/>
    <w:rsid w:val="006D5CC4"/>
    <w:rsid w:val="006D5EC1"/>
    <w:rsid w:val="006E019A"/>
    <w:rsid w:val="006E3AB8"/>
    <w:rsid w:val="006E3AFA"/>
    <w:rsid w:val="006E40DA"/>
    <w:rsid w:val="006E413B"/>
    <w:rsid w:val="006E441B"/>
    <w:rsid w:val="006E44D0"/>
    <w:rsid w:val="006E6FCA"/>
    <w:rsid w:val="006E7EED"/>
    <w:rsid w:val="006F62C4"/>
    <w:rsid w:val="006F687A"/>
    <w:rsid w:val="006F7DB6"/>
    <w:rsid w:val="00700A74"/>
    <w:rsid w:val="0070194A"/>
    <w:rsid w:val="00703AB8"/>
    <w:rsid w:val="007059A7"/>
    <w:rsid w:val="00706171"/>
    <w:rsid w:val="00706C48"/>
    <w:rsid w:val="00710CB1"/>
    <w:rsid w:val="00711B31"/>
    <w:rsid w:val="007138E7"/>
    <w:rsid w:val="00715AEE"/>
    <w:rsid w:val="00716FC2"/>
    <w:rsid w:val="00717CA9"/>
    <w:rsid w:val="0072272E"/>
    <w:rsid w:val="00724D9D"/>
    <w:rsid w:val="0072787E"/>
    <w:rsid w:val="00727AFB"/>
    <w:rsid w:val="00727FE4"/>
    <w:rsid w:val="00731469"/>
    <w:rsid w:val="007323DD"/>
    <w:rsid w:val="00732FE2"/>
    <w:rsid w:val="007343F0"/>
    <w:rsid w:val="00734878"/>
    <w:rsid w:val="007353C9"/>
    <w:rsid w:val="00735498"/>
    <w:rsid w:val="00737B0E"/>
    <w:rsid w:val="00744E2E"/>
    <w:rsid w:val="00751C87"/>
    <w:rsid w:val="007535C4"/>
    <w:rsid w:val="00753C77"/>
    <w:rsid w:val="00754522"/>
    <w:rsid w:val="00761B64"/>
    <w:rsid w:val="0076367F"/>
    <w:rsid w:val="00764B9A"/>
    <w:rsid w:val="00765490"/>
    <w:rsid w:val="0077111F"/>
    <w:rsid w:val="00774ADB"/>
    <w:rsid w:val="00781046"/>
    <w:rsid w:val="00783C56"/>
    <w:rsid w:val="0078410D"/>
    <w:rsid w:val="00790D17"/>
    <w:rsid w:val="007926D0"/>
    <w:rsid w:val="00794D28"/>
    <w:rsid w:val="00797EDD"/>
    <w:rsid w:val="007A57DF"/>
    <w:rsid w:val="007A5E0C"/>
    <w:rsid w:val="007B40D9"/>
    <w:rsid w:val="007B43B9"/>
    <w:rsid w:val="007B7D61"/>
    <w:rsid w:val="007C0447"/>
    <w:rsid w:val="007C07C2"/>
    <w:rsid w:val="007C2647"/>
    <w:rsid w:val="007C2A8D"/>
    <w:rsid w:val="007C2F35"/>
    <w:rsid w:val="007C4D01"/>
    <w:rsid w:val="007C4E34"/>
    <w:rsid w:val="007C60DB"/>
    <w:rsid w:val="007C70DB"/>
    <w:rsid w:val="007D1087"/>
    <w:rsid w:val="007D1174"/>
    <w:rsid w:val="007D1DEA"/>
    <w:rsid w:val="007D6F71"/>
    <w:rsid w:val="007E1DCE"/>
    <w:rsid w:val="007E1FA6"/>
    <w:rsid w:val="007E324B"/>
    <w:rsid w:val="007E4D0B"/>
    <w:rsid w:val="007E520E"/>
    <w:rsid w:val="007E5891"/>
    <w:rsid w:val="007E7DD1"/>
    <w:rsid w:val="007F0DBF"/>
    <w:rsid w:val="00800B2C"/>
    <w:rsid w:val="00801078"/>
    <w:rsid w:val="00803808"/>
    <w:rsid w:val="00804552"/>
    <w:rsid w:val="008048EC"/>
    <w:rsid w:val="0080694C"/>
    <w:rsid w:val="00807891"/>
    <w:rsid w:val="00811DB3"/>
    <w:rsid w:val="0081360F"/>
    <w:rsid w:val="00814F73"/>
    <w:rsid w:val="008169F6"/>
    <w:rsid w:val="00816BAF"/>
    <w:rsid w:val="0081723C"/>
    <w:rsid w:val="00817714"/>
    <w:rsid w:val="00821032"/>
    <w:rsid w:val="00822DD5"/>
    <w:rsid w:val="0082587F"/>
    <w:rsid w:val="00827EF7"/>
    <w:rsid w:val="008317B0"/>
    <w:rsid w:val="0083327E"/>
    <w:rsid w:val="0083507A"/>
    <w:rsid w:val="00836B0A"/>
    <w:rsid w:val="008414AA"/>
    <w:rsid w:val="008442E6"/>
    <w:rsid w:val="00844890"/>
    <w:rsid w:val="00847C71"/>
    <w:rsid w:val="008511D3"/>
    <w:rsid w:val="00855337"/>
    <w:rsid w:val="00860A65"/>
    <w:rsid w:val="00862C0D"/>
    <w:rsid w:val="00862DFE"/>
    <w:rsid w:val="00866738"/>
    <w:rsid w:val="00867C88"/>
    <w:rsid w:val="008703A0"/>
    <w:rsid w:val="0087092F"/>
    <w:rsid w:val="00873477"/>
    <w:rsid w:val="00875E12"/>
    <w:rsid w:val="00877607"/>
    <w:rsid w:val="00880772"/>
    <w:rsid w:val="00881EB6"/>
    <w:rsid w:val="00884F8A"/>
    <w:rsid w:val="00885102"/>
    <w:rsid w:val="00885B16"/>
    <w:rsid w:val="00885B8D"/>
    <w:rsid w:val="00887AA1"/>
    <w:rsid w:val="00890F50"/>
    <w:rsid w:val="00891F60"/>
    <w:rsid w:val="00897743"/>
    <w:rsid w:val="008A29AF"/>
    <w:rsid w:val="008A3931"/>
    <w:rsid w:val="008A70CD"/>
    <w:rsid w:val="008B0257"/>
    <w:rsid w:val="008B1DBA"/>
    <w:rsid w:val="008B24E6"/>
    <w:rsid w:val="008B2587"/>
    <w:rsid w:val="008B5563"/>
    <w:rsid w:val="008C0062"/>
    <w:rsid w:val="008C26AB"/>
    <w:rsid w:val="008C2FBA"/>
    <w:rsid w:val="008C4002"/>
    <w:rsid w:val="008D4790"/>
    <w:rsid w:val="008E19A5"/>
    <w:rsid w:val="008E2114"/>
    <w:rsid w:val="008E3355"/>
    <w:rsid w:val="008E47DE"/>
    <w:rsid w:val="008F0220"/>
    <w:rsid w:val="008F12F9"/>
    <w:rsid w:val="008F2F73"/>
    <w:rsid w:val="008F3FC5"/>
    <w:rsid w:val="008F509B"/>
    <w:rsid w:val="008F5B4F"/>
    <w:rsid w:val="00901D6D"/>
    <w:rsid w:val="009025C1"/>
    <w:rsid w:val="00902B84"/>
    <w:rsid w:val="00907023"/>
    <w:rsid w:val="00907242"/>
    <w:rsid w:val="00915134"/>
    <w:rsid w:val="009152B9"/>
    <w:rsid w:val="00917264"/>
    <w:rsid w:val="00921D43"/>
    <w:rsid w:val="009238D7"/>
    <w:rsid w:val="00924D99"/>
    <w:rsid w:val="009266CF"/>
    <w:rsid w:val="00926DE5"/>
    <w:rsid w:val="00927ED0"/>
    <w:rsid w:val="00931025"/>
    <w:rsid w:val="00932679"/>
    <w:rsid w:val="009338C3"/>
    <w:rsid w:val="00935627"/>
    <w:rsid w:val="0093575A"/>
    <w:rsid w:val="00941CB4"/>
    <w:rsid w:val="00943BBA"/>
    <w:rsid w:val="009523E8"/>
    <w:rsid w:val="0095282B"/>
    <w:rsid w:val="00952D5D"/>
    <w:rsid w:val="00952F53"/>
    <w:rsid w:val="00953EB2"/>
    <w:rsid w:val="0095527E"/>
    <w:rsid w:val="009602C6"/>
    <w:rsid w:val="00962546"/>
    <w:rsid w:val="00962693"/>
    <w:rsid w:val="00963D5B"/>
    <w:rsid w:val="009643AD"/>
    <w:rsid w:val="00964DC7"/>
    <w:rsid w:val="0096530F"/>
    <w:rsid w:val="00970143"/>
    <w:rsid w:val="009712A2"/>
    <w:rsid w:val="009725A9"/>
    <w:rsid w:val="00975A50"/>
    <w:rsid w:val="00977EE6"/>
    <w:rsid w:val="00981DCF"/>
    <w:rsid w:val="00982CB0"/>
    <w:rsid w:val="00984105"/>
    <w:rsid w:val="0098467A"/>
    <w:rsid w:val="009847AF"/>
    <w:rsid w:val="00984F05"/>
    <w:rsid w:val="00986858"/>
    <w:rsid w:val="009877D1"/>
    <w:rsid w:val="009914C2"/>
    <w:rsid w:val="00991596"/>
    <w:rsid w:val="00993247"/>
    <w:rsid w:val="00993383"/>
    <w:rsid w:val="00993EAF"/>
    <w:rsid w:val="0099414C"/>
    <w:rsid w:val="00996ED7"/>
    <w:rsid w:val="00997187"/>
    <w:rsid w:val="00997AFB"/>
    <w:rsid w:val="00997B9D"/>
    <w:rsid w:val="00997EC4"/>
    <w:rsid w:val="009A04F8"/>
    <w:rsid w:val="009A34A6"/>
    <w:rsid w:val="009A378D"/>
    <w:rsid w:val="009A40AE"/>
    <w:rsid w:val="009A497C"/>
    <w:rsid w:val="009A694F"/>
    <w:rsid w:val="009A704E"/>
    <w:rsid w:val="009B217F"/>
    <w:rsid w:val="009B4FB5"/>
    <w:rsid w:val="009B6234"/>
    <w:rsid w:val="009C2103"/>
    <w:rsid w:val="009C72E9"/>
    <w:rsid w:val="009D54C3"/>
    <w:rsid w:val="009D5AAE"/>
    <w:rsid w:val="009D7BA0"/>
    <w:rsid w:val="009D7BA5"/>
    <w:rsid w:val="009E04CA"/>
    <w:rsid w:val="009E198A"/>
    <w:rsid w:val="009E6DB5"/>
    <w:rsid w:val="009F2BA0"/>
    <w:rsid w:val="009F4E5C"/>
    <w:rsid w:val="009F53B4"/>
    <w:rsid w:val="009F5635"/>
    <w:rsid w:val="009F6764"/>
    <w:rsid w:val="009F6B5A"/>
    <w:rsid w:val="009F7109"/>
    <w:rsid w:val="009F7A36"/>
    <w:rsid w:val="00A006A6"/>
    <w:rsid w:val="00A0085F"/>
    <w:rsid w:val="00A01C2A"/>
    <w:rsid w:val="00A01F1A"/>
    <w:rsid w:val="00A02F26"/>
    <w:rsid w:val="00A03E58"/>
    <w:rsid w:val="00A04094"/>
    <w:rsid w:val="00A0449E"/>
    <w:rsid w:val="00A0671A"/>
    <w:rsid w:val="00A07404"/>
    <w:rsid w:val="00A10A5B"/>
    <w:rsid w:val="00A11846"/>
    <w:rsid w:val="00A2335A"/>
    <w:rsid w:val="00A24C90"/>
    <w:rsid w:val="00A27278"/>
    <w:rsid w:val="00A30B31"/>
    <w:rsid w:val="00A3135D"/>
    <w:rsid w:val="00A31858"/>
    <w:rsid w:val="00A36129"/>
    <w:rsid w:val="00A4357E"/>
    <w:rsid w:val="00A436EA"/>
    <w:rsid w:val="00A43EB6"/>
    <w:rsid w:val="00A4506C"/>
    <w:rsid w:val="00A453D6"/>
    <w:rsid w:val="00A456E2"/>
    <w:rsid w:val="00A45DD0"/>
    <w:rsid w:val="00A50956"/>
    <w:rsid w:val="00A50D44"/>
    <w:rsid w:val="00A619BC"/>
    <w:rsid w:val="00A63F11"/>
    <w:rsid w:val="00A65211"/>
    <w:rsid w:val="00A71C87"/>
    <w:rsid w:val="00A74BAB"/>
    <w:rsid w:val="00A75594"/>
    <w:rsid w:val="00A80596"/>
    <w:rsid w:val="00A812FB"/>
    <w:rsid w:val="00A816AC"/>
    <w:rsid w:val="00A84B57"/>
    <w:rsid w:val="00A84B58"/>
    <w:rsid w:val="00A85049"/>
    <w:rsid w:val="00A858B3"/>
    <w:rsid w:val="00A863CE"/>
    <w:rsid w:val="00A86A7D"/>
    <w:rsid w:val="00A877FA"/>
    <w:rsid w:val="00A879E7"/>
    <w:rsid w:val="00A925FE"/>
    <w:rsid w:val="00A92C00"/>
    <w:rsid w:val="00A93D63"/>
    <w:rsid w:val="00A94F88"/>
    <w:rsid w:val="00A95FAC"/>
    <w:rsid w:val="00A977CD"/>
    <w:rsid w:val="00AA1A70"/>
    <w:rsid w:val="00AA394D"/>
    <w:rsid w:val="00AA662B"/>
    <w:rsid w:val="00AB2D42"/>
    <w:rsid w:val="00AB31E0"/>
    <w:rsid w:val="00AB6F18"/>
    <w:rsid w:val="00AC073E"/>
    <w:rsid w:val="00AC3192"/>
    <w:rsid w:val="00AC4AA0"/>
    <w:rsid w:val="00AC78A6"/>
    <w:rsid w:val="00AC7AB9"/>
    <w:rsid w:val="00AD0F46"/>
    <w:rsid w:val="00AD2C7C"/>
    <w:rsid w:val="00AD3C67"/>
    <w:rsid w:val="00AD56C6"/>
    <w:rsid w:val="00AD63FF"/>
    <w:rsid w:val="00AD6B85"/>
    <w:rsid w:val="00AD73D0"/>
    <w:rsid w:val="00AE0139"/>
    <w:rsid w:val="00AE37EF"/>
    <w:rsid w:val="00AE4634"/>
    <w:rsid w:val="00AF2772"/>
    <w:rsid w:val="00AF7B69"/>
    <w:rsid w:val="00B01CED"/>
    <w:rsid w:val="00B02865"/>
    <w:rsid w:val="00B03DC3"/>
    <w:rsid w:val="00B0458E"/>
    <w:rsid w:val="00B0753A"/>
    <w:rsid w:val="00B122C3"/>
    <w:rsid w:val="00B12DE3"/>
    <w:rsid w:val="00B13836"/>
    <w:rsid w:val="00B1497F"/>
    <w:rsid w:val="00B15A72"/>
    <w:rsid w:val="00B166D9"/>
    <w:rsid w:val="00B17875"/>
    <w:rsid w:val="00B20889"/>
    <w:rsid w:val="00B20FD6"/>
    <w:rsid w:val="00B21720"/>
    <w:rsid w:val="00B22333"/>
    <w:rsid w:val="00B30ACD"/>
    <w:rsid w:val="00B36C45"/>
    <w:rsid w:val="00B379A4"/>
    <w:rsid w:val="00B41268"/>
    <w:rsid w:val="00B421AC"/>
    <w:rsid w:val="00B4316B"/>
    <w:rsid w:val="00B4354A"/>
    <w:rsid w:val="00B457F6"/>
    <w:rsid w:val="00B45AA5"/>
    <w:rsid w:val="00B461B7"/>
    <w:rsid w:val="00B46CEF"/>
    <w:rsid w:val="00B47C44"/>
    <w:rsid w:val="00B512CC"/>
    <w:rsid w:val="00B5398B"/>
    <w:rsid w:val="00B55F44"/>
    <w:rsid w:val="00B5657E"/>
    <w:rsid w:val="00B56E27"/>
    <w:rsid w:val="00B57119"/>
    <w:rsid w:val="00B60598"/>
    <w:rsid w:val="00B636DF"/>
    <w:rsid w:val="00B6557B"/>
    <w:rsid w:val="00B664F9"/>
    <w:rsid w:val="00B675FD"/>
    <w:rsid w:val="00B67635"/>
    <w:rsid w:val="00B70A60"/>
    <w:rsid w:val="00B7115C"/>
    <w:rsid w:val="00B7159F"/>
    <w:rsid w:val="00B72C62"/>
    <w:rsid w:val="00B749ED"/>
    <w:rsid w:val="00B752A0"/>
    <w:rsid w:val="00B763D3"/>
    <w:rsid w:val="00B77119"/>
    <w:rsid w:val="00B77CEE"/>
    <w:rsid w:val="00B77ED2"/>
    <w:rsid w:val="00B823AA"/>
    <w:rsid w:val="00B82581"/>
    <w:rsid w:val="00B86D18"/>
    <w:rsid w:val="00B904BD"/>
    <w:rsid w:val="00B9068E"/>
    <w:rsid w:val="00B908CB"/>
    <w:rsid w:val="00B954B2"/>
    <w:rsid w:val="00B95B73"/>
    <w:rsid w:val="00B970C8"/>
    <w:rsid w:val="00BA02DF"/>
    <w:rsid w:val="00BA06F2"/>
    <w:rsid w:val="00BA0FB9"/>
    <w:rsid w:val="00BA1F27"/>
    <w:rsid w:val="00BA793A"/>
    <w:rsid w:val="00BB02BB"/>
    <w:rsid w:val="00BB0B8D"/>
    <w:rsid w:val="00BB4F35"/>
    <w:rsid w:val="00BB5019"/>
    <w:rsid w:val="00BB61EE"/>
    <w:rsid w:val="00BB651E"/>
    <w:rsid w:val="00BC15B4"/>
    <w:rsid w:val="00BC44F1"/>
    <w:rsid w:val="00BC6187"/>
    <w:rsid w:val="00BC6D11"/>
    <w:rsid w:val="00BD11FF"/>
    <w:rsid w:val="00BD2C11"/>
    <w:rsid w:val="00BD3E7D"/>
    <w:rsid w:val="00BD61BB"/>
    <w:rsid w:val="00BD6DF0"/>
    <w:rsid w:val="00BE4E95"/>
    <w:rsid w:val="00BE6F4B"/>
    <w:rsid w:val="00BF1BAF"/>
    <w:rsid w:val="00BF2258"/>
    <w:rsid w:val="00BF2BFA"/>
    <w:rsid w:val="00BF3F15"/>
    <w:rsid w:val="00BF4209"/>
    <w:rsid w:val="00BF5559"/>
    <w:rsid w:val="00BF7047"/>
    <w:rsid w:val="00C00F16"/>
    <w:rsid w:val="00C03C24"/>
    <w:rsid w:val="00C04257"/>
    <w:rsid w:val="00C06D14"/>
    <w:rsid w:val="00C076AB"/>
    <w:rsid w:val="00C10604"/>
    <w:rsid w:val="00C11CB4"/>
    <w:rsid w:val="00C124E4"/>
    <w:rsid w:val="00C12DD1"/>
    <w:rsid w:val="00C14003"/>
    <w:rsid w:val="00C16E5C"/>
    <w:rsid w:val="00C20316"/>
    <w:rsid w:val="00C206E4"/>
    <w:rsid w:val="00C31471"/>
    <w:rsid w:val="00C32493"/>
    <w:rsid w:val="00C3522B"/>
    <w:rsid w:val="00C36751"/>
    <w:rsid w:val="00C37B75"/>
    <w:rsid w:val="00C4197D"/>
    <w:rsid w:val="00C4228B"/>
    <w:rsid w:val="00C43F3E"/>
    <w:rsid w:val="00C50727"/>
    <w:rsid w:val="00C531EE"/>
    <w:rsid w:val="00C537C7"/>
    <w:rsid w:val="00C5445D"/>
    <w:rsid w:val="00C60DB5"/>
    <w:rsid w:val="00C62701"/>
    <w:rsid w:val="00C6479D"/>
    <w:rsid w:val="00C65FEC"/>
    <w:rsid w:val="00C662B4"/>
    <w:rsid w:val="00C665B7"/>
    <w:rsid w:val="00C66EA5"/>
    <w:rsid w:val="00C72216"/>
    <w:rsid w:val="00C723C7"/>
    <w:rsid w:val="00C7318E"/>
    <w:rsid w:val="00C74450"/>
    <w:rsid w:val="00C7578D"/>
    <w:rsid w:val="00C76D6E"/>
    <w:rsid w:val="00C84246"/>
    <w:rsid w:val="00C843F8"/>
    <w:rsid w:val="00C851B0"/>
    <w:rsid w:val="00C9258E"/>
    <w:rsid w:val="00C925B9"/>
    <w:rsid w:val="00C94C59"/>
    <w:rsid w:val="00C94D3A"/>
    <w:rsid w:val="00C94F38"/>
    <w:rsid w:val="00C9536E"/>
    <w:rsid w:val="00CA0C44"/>
    <w:rsid w:val="00CA4A6F"/>
    <w:rsid w:val="00CA6F77"/>
    <w:rsid w:val="00CA7F00"/>
    <w:rsid w:val="00CB1938"/>
    <w:rsid w:val="00CB4BCC"/>
    <w:rsid w:val="00CB5162"/>
    <w:rsid w:val="00CB53F1"/>
    <w:rsid w:val="00CB5CF2"/>
    <w:rsid w:val="00CC1712"/>
    <w:rsid w:val="00CC270A"/>
    <w:rsid w:val="00CC52C2"/>
    <w:rsid w:val="00CD1910"/>
    <w:rsid w:val="00CD4363"/>
    <w:rsid w:val="00CD5176"/>
    <w:rsid w:val="00CD5FF6"/>
    <w:rsid w:val="00CD69F7"/>
    <w:rsid w:val="00CE0B4E"/>
    <w:rsid w:val="00CE1211"/>
    <w:rsid w:val="00CE27B3"/>
    <w:rsid w:val="00CE3AB5"/>
    <w:rsid w:val="00CE5055"/>
    <w:rsid w:val="00CE5A0D"/>
    <w:rsid w:val="00CE6249"/>
    <w:rsid w:val="00CE72F1"/>
    <w:rsid w:val="00CF06A6"/>
    <w:rsid w:val="00CF0B27"/>
    <w:rsid w:val="00CF1113"/>
    <w:rsid w:val="00CF137A"/>
    <w:rsid w:val="00CF3141"/>
    <w:rsid w:val="00CF6F95"/>
    <w:rsid w:val="00D0041B"/>
    <w:rsid w:val="00D00BE8"/>
    <w:rsid w:val="00D01080"/>
    <w:rsid w:val="00D01CCF"/>
    <w:rsid w:val="00D032B8"/>
    <w:rsid w:val="00D033D5"/>
    <w:rsid w:val="00D045AF"/>
    <w:rsid w:val="00D05647"/>
    <w:rsid w:val="00D070F5"/>
    <w:rsid w:val="00D075A4"/>
    <w:rsid w:val="00D112EB"/>
    <w:rsid w:val="00D12599"/>
    <w:rsid w:val="00D14319"/>
    <w:rsid w:val="00D163E3"/>
    <w:rsid w:val="00D2019A"/>
    <w:rsid w:val="00D22AEA"/>
    <w:rsid w:val="00D25085"/>
    <w:rsid w:val="00D25253"/>
    <w:rsid w:val="00D26763"/>
    <w:rsid w:val="00D27AA3"/>
    <w:rsid w:val="00D31C96"/>
    <w:rsid w:val="00D32AE6"/>
    <w:rsid w:val="00D330BE"/>
    <w:rsid w:val="00D3587B"/>
    <w:rsid w:val="00D362C9"/>
    <w:rsid w:val="00D4136E"/>
    <w:rsid w:val="00D43330"/>
    <w:rsid w:val="00D440DB"/>
    <w:rsid w:val="00D44CC7"/>
    <w:rsid w:val="00D467B9"/>
    <w:rsid w:val="00D53E2B"/>
    <w:rsid w:val="00D5588C"/>
    <w:rsid w:val="00D56EFF"/>
    <w:rsid w:val="00D61097"/>
    <w:rsid w:val="00D73A30"/>
    <w:rsid w:val="00D74E7F"/>
    <w:rsid w:val="00D761B6"/>
    <w:rsid w:val="00D82974"/>
    <w:rsid w:val="00D83701"/>
    <w:rsid w:val="00D84B88"/>
    <w:rsid w:val="00D874CD"/>
    <w:rsid w:val="00D90CE6"/>
    <w:rsid w:val="00D91688"/>
    <w:rsid w:val="00D93279"/>
    <w:rsid w:val="00D93876"/>
    <w:rsid w:val="00D93BFA"/>
    <w:rsid w:val="00D94AF4"/>
    <w:rsid w:val="00D97A87"/>
    <w:rsid w:val="00DA0861"/>
    <w:rsid w:val="00DA2863"/>
    <w:rsid w:val="00DA2C43"/>
    <w:rsid w:val="00DA437E"/>
    <w:rsid w:val="00DA6C13"/>
    <w:rsid w:val="00DA7C83"/>
    <w:rsid w:val="00DB2921"/>
    <w:rsid w:val="00DB6DA2"/>
    <w:rsid w:val="00DC0BD4"/>
    <w:rsid w:val="00DC0D78"/>
    <w:rsid w:val="00DC1C4E"/>
    <w:rsid w:val="00DC35F4"/>
    <w:rsid w:val="00DC409D"/>
    <w:rsid w:val="00DC6B0B"/>
    <w:rsid w:val="00DC7ABF"/>
    <w:rsid w:val="00DD0FC6"/>
    <w:rsid w:val="00DD12CC"/>
    <w:rsid w:val="00DD1E4B"/>
    <w:rsid w:val="00DD2AB2"/>
    <w:rsid w:val="00DD46C9"/>
    <w:rsid w:val="00DD5E21"/>
    <w:rsid w:val="00DD5EAD"/>
    <w:rsid w:val="00DD7215"/>
    <w:rsid w:val="00DD78FE"/>
    <w:rsid w:val="00DE1A7D"/>
    <w:rsid w:val="00DE4263"/>
    <w:rsid w:val="00DE4A05"/>
    <w:rsid w:val="00DE5009"/>
    <w:rsid w:val="00DE650E"/>
    <w:rsid w:val="00DE7346"/>
    <w:rsid w:val="00DF1135"/>
    <w:rsid w:val="00DF22F6"/>
    <w:rsid w:val="00DF30B9"/>
    <w:rsid w:val="00DF428B"/>
    <w:rsid w:val="00E017BB"/>
    <w:rsid w:val="00E029D3"/>
    <w:rsid w:val="00E06368"/>
    <w:rsid w:val="00E068BB"/>
    <w:rsid w:val="00E10C43"/>
    <w:rsid w:val="00E1228D"/>
    <w:rsid w:val="00E13487"/>
    <w:rsid w:val="00E17BB6"/>
    <w:rsid w:val="00E22A58"/>
    <w:rsid w:val="00E2357F"/>
    <w:rsid w:val="00E242D8"/>
    <w:rsid w:val="00E258F1"/>
    <w:rsid w:val="00E266C8"/>
    <w:rsid w:val="00E3066B"/>
    <w:rsid w:val="00E3093D"/>
    <w:rsid w:val="00E32297"/>
    <w:rsid w:val="00E32E09"/>
    <w:rsid w:val="00E32E3D"/>
    <w:rsid w:val="00E33B21"/>
    <w:rsid w:val="00E370D2"/>
    <w:rsid w:val="00E372BD"/>
    <w:rsid w:val="00E374DF"/>
    <w:rsid w:val="00E37F53"/>
    <w:rsid w:val="00E40788"/>
    <w:rsid w:val="00E40A24"/>
    <w:rsid w:val="00E54C56"/>
    <w:rsid w:val="00E54C5F"/>
    <w:rsid w:val="00E54EEA"/>
    <w:rsid w:val="00E60EB0"/>
    <w:rsid w:val="00E61E41"/>
    <w:rsid w:val="00E61E7C"/>
    <w:rsid w:val="00E634DC"/>
    <w:rsid w:val="00E648E7"/>
    <w:rsid w:val="00E6632B"/>
    <w:rsid w:val="00E671EF"/>
    <w:rsid w:val="00E677EF"/>
    <w:rsid w:val="00E67EED"/>
    <w:rsid w:val="00E72C81"/>
    <w:rsid w:val="00E739D1"/>
    <w:rsid w:val="00E7548B"/>
    <w:rsid w:val="00E80252"/>
    <w:rsid w:val="00E81040"/>
    <w:rsid w:val="00E827FA"/>
    <w:rsid w:val="00E82B42"/>
    <w:rsid w:val="00E83E01"/>
    <w:rsid w:val="00E84A93"/>
    <w:rsid w:val="00E86B01"/>
    <w:rsid w:val="00E92CD9"/>
    <w:rsid w:val="00E942B8"/>
    <w:rsid w:val="00E9488F"/>
    <w:rsid w:val="00E94C07"/>
    <w:rsid w:val="00E94E00"/>
    <w:rsid w:val="00E959FB"/>
    <w:rsid w:val="00E96311"/>
    <w:rsid w:val="00E9637E"/>
    <w:rsid w:val="00E9660B"/>
    <w:rsid w:val="00E9671F"/>
    <w:rsid w:val="00EA0FC2"/>
    <w:rsid w:val="00EA2870"/>
    <w:rsid w:val="00EA521C"/>
    <w:rsid w:val="00EA5AE0"/>
    <w:rsid w:val="00EB0977"/>
    <w:rsid w:val="00EB21F1"/>
    <w:rsid w:val="00EB4353"/>
    <w:rsid w:val="00EB5F3B"/>
    <w:rsid w:val="00EB6138"/>
    <w:rsid w:val="00EB6709"/>
    <w:rsid w:val="00EB69A8"/>
    <w:rsid w:val="00EC3B17"/>
    <w:rsid w:val="00EC4BBD"/>
    <w:rsid w:val="00EC5282"/>
    <w:rsid w:val="00EC5612"/>
    <w:rsid w:val="00ED2DAA"/>
    <w:rsid w:val="00ED4AE2"/>
    <w:rsid w:val="00ED4FD9"/>
    <w:rsid w:val="00ED6374"/>
    <w:rsid w:val="00ED7B2B"/>
    <w:rsid w:val="00EE0DA3"/>
    <w:rsid w:val="00EE0DD3"/>
    <w:rsid w:val="00EE179A"/>
    <w:rsid w:val="00EE2704"/>
    <w:rsid w:val="00EE34ED"/>
    <w:rsid w:val="00EE40F2"/>
    <w:rsid w:val="00EE560D"/>
    <w:rsid w:val="00EF08ED"/>
    <w:rsid w:val="00EF0B2B"/>
    <w:rsid w:val="00EF1784"/>
    <w:rsid w:val="00EF5599"/>
    <w:rsid w:val="00EF75BF"/>
    <w:rsid w:val="00F02175"/>
    <w:rsid w:val="00F02B4A"/>
    <w:rsid w:val="00F03882"/>
    <w:rsid w:val="00F06D9A"/>
    <w:rsid w:val="00F10FD2"/>
    <w:rsid w:val="00F12193"/>
    <w:rsid w:val="00F139B7"/>
    <w:rsid w:val="00F16319"/>
    <w:rsid w:val="00F16798"/>
    <w:rsid w:val="00F2281A"/>
    <w:rsid w:val="00F2640D"/>
    <w:rsid w:val="00F35191"/>
    <w:rsid w:val="00F45E7A"/>
    <w:rsid w:val="00F46CE1"/>
    <w:rsid w:val="00F50CDC"/>
    <w:rsid w:val="00F52E63"/>
    <w:rsid w:val="00F547A2"/>
    <w:rsid w:val="00F550AA"/>
    <w:rsid w:val="00F55FCC"/>
    <w:rsid w:val="00F56720"/>
    <w:rsid w:val="00F61687"/>
    <w:rsid w:val="00F61973"/>
    <w:rsid w:val="00F62406"/>
    <w:rsid w:val="00F6432B"/>
    <w:rsid w:val="00F64361"/>
    <w:rsid w:val="00F666B5"/>
    <w:rsid w:val="00F66F16"/>
    <w:rsid w:val="00F67A76"/>
    <w:rsid w:val="00F67BF9"/>
    <w:rsid w:val="00F73E6F"/>
    <w:rsid w:val="00F74C3D"/>
    <w:rsid w:val="00F75B7B"/>
    <w:rsid w:val="00F75FA1"/>
    <w:rsid w:val="00F7759E"/>
    <w:rsid w:val="00F835CD"/>
    <w:rsid w:val="00F84C36"/>
    <w:rsid w:val="00F85421"/>
    <w:rsid w:val="00F85460"/>
    <w:rsid w:val="00F85613"/>
    <w:rsid w:val="00F85AC7"/>
    <w:rsid w:val="00F86B2F"/>
    <w:rsid w:val="00F86E81"/>
    <w:rsid w:val="00F870FE"/>
    <w:rsid w:val="00F87F4D"/>
    <w:rsid w:val="00F91156"/>
    <w:rsid w:val="00F921FC"/>
    <w:rsid w:val="00F92D14"/>
    <w:rsid w:val="00F94272"/>
    <w:rsid w:val="00F97740"/>
    <w:rsid w:val="00FA042E"/>
    <w:rsid w:val="00FA3098"/>
    <w:rsid w:val="00FA42E2"/>
    <w:rsid w:val="00FA6928"/>
    <w:rsid w:val="00FA766E"/>
    <w:rsid w:val="00FB21AE"/>
    <w:rsid w:val="00FB5E09"/>
    <w:rsid w:val="00FB6934"/>
    <w:rsid w:val="00FC2045"/>
    <w:rsid w:val="00FC2512"/>
    <w:rsid w:val="00FC321F"/>
    <w:rsid w:val="00FC3A92"/>
    <w:rsid w:val="00FC413A"/>
    <w:rsid w:val="00FC4EB5"/>
    <w:rsid w:val="00FC5F93"/>
    <w:rsid w:val="00FC7356"/>
    <w:rsid w:val="00FC7F10"/>
    <w:rsid w:val="00FD0271"/>
    <w:rsid w:val="00FD25A5"/>
    <w:rsid w:val="00FD5230"/>
    <w:rsid w:val="00FD53B7"/>
    <w:rsid w:val="00FD57B8"/>
    <w:rsid w:val="00FD66C4"/>
    <w:rsid w:val="00FD6918"/>
    <w:rsid w:val="00FD7233"/>
    <w:rsid w:val="00FD7B81"/>
    <w:rsid w:val="00FE2235"/>
    <w:rsid w:val="00FE2E3C"/>
    <w:rsid w:val="00FE3BB3"/>
    <w:rsid w:val="00FE3E9F"/>
    <w:rsid w:val="00FE51C5"/>
    <w:rsid w:val="00FE6829"/>
    <w:rsid w:val="00FF027E"/>
    <w:rsid w:val="00FF05FA"/>
    <w:rsid w:val="00FF09CB"/>
    <w:rsid w:val="00FF2005"/>
    <w:rsid w:val="00FF215A"/>
    <w:rsid w:val="00FF303C"/>
    <w:rsid w:val="00FF32BB"/>
    <w:rsid w:val="00FF3AB6"/>
    <w:rsid w:val="00FF4128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E840"/>
  <w15:chartTrackingRefBased/>
  <w15:docId w15:val="{75A74E72-65AD-E24E-8EA1-B27E01C2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CC"/>
  </w:style>
  <w:style w:type="paragraph" w:styleId="Heading1">
    <w:name w:val="heading 1"/>
    <w:basedOn w:val="Normal"/>
    <w:next w:val="Normal"/>
    <w:link w:val="Heading1Char"/>
    <w:uiPriority w:val="9"/>
    <w:qFormat/>
    <w:rsid w:val="00CB4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B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4B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B4B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0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0E4"/>
  </w:style>
  <w:style w:type="paragraph" w:styleId="EndnoteText">
    <w:name w:val="endnote text"/>
    <w:basedOn w:val="Normal"/>
    <w:link w:val="EndnoteTextChar"/>
    <w:uiPriority w:val="99"/>
    <w:semiHidden/>
    <w:unhideWhenUsed/>
    <w:rsid w:val="002B2A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2A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2A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5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5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5B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0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A8"/>
  </w:style>
  <w:style w:type="character" w:styleId="PageNumber">
    <w:name w:val="page number"/>
    <w:basedOn w:val="DefaultParagraphFont"/>
    <w:uiPriority w:val="99"/>
    <w:semiHidden/>
    <w:unhideWhenUsed/>
    <w:rsid w:val="00320217"/>
  </w:style>
  <w:style w:type="paragraph" w:styleId="NormalWeb">
    <w:name w:val="Normal (Web)"/>
    <w:basedOn w:val="Normal"/>
    <w:uiPriority w:val="99"/>
    <w:unhideWhenUsed/>
    <w:rsid w:val="0032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71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A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5E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84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A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A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A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A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2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4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477C81-B903-48BA-A05A-1FCB72C2D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71FCF2-75C2-4BF5-B6E7-14BB515B4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C6BBCC-19BD-4A0D-909C-3FA397B6CD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7D3291-C7D7-43B9-AD12-6BE4D2ECBF0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2870</Words>
  <Characters>16360</Characters>
  <Application>Microsoft Office Word</Application>
  <DocSecurity>4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C. Galarza (Prog y Calendario)</dc:creator>
  <cp:keywords/>
  <dc:description/>
  <cp:lastModifiedBy>Camyl Moreno Pantojas</cp:lastModifiedBy>
  <cp:revision>2</cp:revision>
  <cp:lastPrinted>2025-04-04T20:44:00Z</cp:lastPrinted>
  <dcterms:created xsi:type="dcterms:W3CDTF">2025-06-11T18:58:00Z</dcterms:created>
  <dcterms:modified xsi:type="dcterms:W3CDTF">2025-06-11T18:58:00Z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_dlc_DocIdItemGuid">
    <vt:lpwstr>6ae9c013-38e4-4425-a8a2-5bdaee703ffb</vt:lpwstr>
  </property>
  <property fmtid="{D5CDD505-2E9C-101B-9397-08002B2CF9AE}" pid="4" name="MediaServiceImageTags">
    <vt:lpwstr/>
  </property>
</Properties>
</file>