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40A70" w14:textId="77777777" w:rsidR="00167B42" w:rsidRPr="00861444" w:rsidRDefault="00167B42" w:rsidP="00167B42">
      <w:pPr>
        <w:jc w:val="center"/>
        <w:rPr>
          <w:rFonts w:ascii="Book Antiqua" w:hAnsi="Book Antiqua"/>
          <w:sz w:val="28"/>
          <w:szCs w:val="28"/>
          <w:lang w:val="es-ES"/>
        </w:rPr>
      </w:pPr>
      <w:r w:rsidRPr="00861444">
        <w:rPr>
          <w:rFonts w:ascii="Book Antiqua" w:hAnsi="Book Antiqua"/>
          <w:b/>
          <w:sz w:val="28"/>
          <w:szCs w:val="28"/>
          <w:lang w:val="es-ES"/>
        </w:rPr>
        <w:t>GOBIERNO DE PUERTO RICO</w:t>
      </w:r>
    </w:p>
    <w:p w14:paraId="48815503" w14:textId="77777777" w:rsidR="00167B42" w:rsidRPr="00861444" w:rsidRDefault="00167B42" w:rsidP="00167B42">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167B42" w:rsidRPr="00202200" w14:paraId="3C188B6A" w14:textId="77777777" w:rsidTr="00B855B5">
        <w:tc>
          <w:tcPr>
            <w:tcW w:w="3139" w:type="dxa"/>
            <w:hideMark/>
          </w:tcPr>
          <w:p w14:paraId="24A72444" w14:textId="77777777" w:rsidR="00167B42" w:rsidRPr="00202200" w:rsidRDefault="00167B42" w:rsidP="00B855B5">
            <w:pPr>
              <w:rPr>
                <w:rFonts w:ascii="Book Antiqua" w:hAnsi="Book Antiqua"/>
                <w:sz w:val="24"/>
                <w:szCs w:val="24"/>
                <w:lang w:val="es-ES"/>
              </w:rPr>
            </w:pPr>
            <w:r w:rsidRPr="00202200">
              <w:rPr>
                <w:rFonts w:ascii="Book Antiqua" w:hAnsi="Book Antiqua"/>
                <w:sz w:val="24"/>
                <w:szCs w:val="24"/>
                <w:lang w:val="es-ES"/>
              </w:rPr>
              <w:t>20</w:t>
            </w:r>
            <w:r w:rsidRPr="00202200">
              <w:rPr>
                <w:rFonts w:ascii="Book Antiqua" w:hAnsi="Book Antiqua"/>
                <w:sz w:val="24"/>
                <w:szCs w:val="24"/>
                <w:vertAlign w:val="superscript"/>
                <w:lang w:val="es-ES"/>
              </w:rPr>
              <w:t>ma</w:t>
            </w:r>
            <w:r w:rsidRPr="00202200">
              <w:rPr>
                <w:rFonts w:ascii="Book Antiqua" w:hAnsi="Book Antiqua"/>
                <w:sz w:val="24"/>
                <w:szCs w:val="24"/>
                <w:lang w:val="es-ES"/>
              </w:rPr>
              <w:t>Asamblea</w:t>
            </w:r>
          </w:p>
          <w:p w14:paraId="3B2705D1" w14:textId="77777777" w:rsidR="00167B42" w:rsidRPr="00202200" w:rsidRDefault="00167B42" w:rsidP="00B855B5">
            <w:pPr>
              <w:rPr>
                <w:rFonts w:ascii="Book Antiqua" w:hAnsi="Book Antiqua"/>
                <w:sz w:val="24"/>
                <w:szCs w:val="24"/>
                <w:lang w:val="es-ES"/>
              </w:rPr>
            </w:pPr>
            <w:r w:rsidRPr="00202200">
              <w:rPr>
                <w:rFonts w:ascii="Book Antiqua" w:hAnsi="Book Antiqua"/>
                <w:sz w:val="24"/>
                <w:szCs w:val="24"/>
                <w:lang w:val="es-ES"/>
              </w:rPr>
              <w:t xml:space="preserve">        Legislativa</w:t>
            </w:r>
          </w:p>
        </w:tc>
        <w:tc>
          <w:tcPr>
            <w:tcW w:w="3095" w:type="dxa"/>
          </w:tcPr>
          <w:p w14:paraId="6316F6D8" w14:textId="77777777" w:rsidR="00167B42" w:rsidRPr="00202200" w:rsidRDefault="00167B42" w:rsidP="00B855B5">
            <w:pPr>
              <w:jc w:val="center"/>
              <w:rPr>
                <w:rFonts w:ascii="Book Antiqua" w:hAnsi="Book Antiqua"/>
                <w:sz w:val="24"/>
                <w:szCs w:val="24"/>
                <w:lang w:val="es-ES"/>
              </w:rPr>
            </w:pPr>
          </w:p>
        </w:tc>
        <w:tc>
          <w:tcPr>
            <w:tcW w:w="3126" w:type="dxa"/>
            <w:hideMark/>
          </w:tcPr>
          <w:p w14:paraId="0308A719" w14:textId="77777777" w:rsidR="00167B42" w:rsidRPr="00202200" w:rsidRDefault="00167B42" w:rsidP="00B855B5">
            <w:pPr>
              <w:jc w:val="center"/>
              <w:rPr>
                <w:rFonts w:ascii="Book Antiqua" w:hAnsi="Book Antiqua"/>
                <w:sz w:val="24"/>
                <w:szCs w:val="24"/>
                <w:lang w:val="es-ES"/>
              </w:rPr>
            </w:pPr>
            <w:r w:rsidRPr="00202200">
              <w:rPr>
                <w:rFonts w:ascii="Book Antiqua" w:hAnsi="Book Antiqua"/>
                <w:sz w:val="24"/>
                <w:szCs w:val="24"/>
                <w:lang w:val="es-ES"/>
              </w:rPr>
              <w:t xml:space="preserve">                3</w:t>
            </w:r>
            <w:r w:rsidRPr="00202200">
              <w:rPr>
                <w:rFonts w:ascii="Book Antiqua" w:hAnsi="Book Antiqua"/>
                <w:sz w:val="24"/>
                <w:szCs w:val="24"/>
                <w:vertAlign w:val="superscript"/>
                <w:lang w:val="es-ES"/>
              </w:rPr>
              <w:t>ra</w:t>
            </w:r>
            <w:r w:rsidRPr="00202200">
              <w:rPr>
                <w:rFonts w:ascii="Book Antiqua" w:hAnsi="Book Antiqua"/>
                <w:sz w:val="24"/>
                <w:szCs w:val="24"/>
                <w:lang w:val="es-ES"/>
              </w:rPr>
              <w:t xml:space="preserve"> Sesión </w:t>
            </w:r>
          </w:p>
          <w:p w14:paraId="7DFF0966" w14:textId="77777777" w:rsidR="00167B42" w:rsidRPr="00202200" w:rsidRDefault="00167B42" w:rsidP="00B855B5">
            <w:pPr>
              <w:jc w:val="center"/>
              <w:rPr>
                <w:rFonts w:ascii="Book Antiqua" w:hAnsi="Book Antiqua"/>
                <w:sz w:val="24"/>
                <w:szCs w:val="24"/>
                <w:lang w:val="es-ES"/>
              </w:rPr>
            </w:pPr>
            <w:r w:rsidRPr="00202200">
              <w:rPr>
                <w:rFonts w:ascii="Book Antiqua" w:hAnsi="Book Antiqua"/>
                <w:sz w:val="24"/>
                <w:szCs w:val="24"/>
                <w:lang w:val="es-ES"/>
              </w:rPr>
              <w:t xml:space="preserve">                           Ordinaria</w:t>
            </w:r>
          </w:p>
        </w:tc>
      </w:tr>
    </w:tbl>
    <w:p w14:paraId="14A92792" w14:textId="77777777" w:rsidR="00167B42" w:rsidRPr="00861444" w:rsidRDefault="00167B42" w:rsidP="00167B42">
      <w:pPr>
        <w:jc w:val="center"/>
        <w:rPr>
          <w:rFonts w:ascii="Book Antiqua" w:hAnsi="Book Antiqua"/>
          <w:b/>
          <w:bCs/>
          <w:sz w:val="36"/>
          <w:szCs w:val="36"/>
          <w:lang w:val="es-ES"/>
        </w:rPr>
      </w:pPr>
      <w:r w:rsidRPr="00861444">
        <w:rPr>
          <w:rFonts w:ascii="Book Antiqua" w:hAnsi="Book Antiqua"/>
          <w:b/>
          <w:bCs/>
          <w:sz w:val="36"/>
          <w:szCs w:val="36"/>
          <w:lang w:val="es-ES"/>
        </w:rPr>
        <w:t>CÁMARA DE REPRESENTANTES</w:t>
      </w:r>
    </w:p>
    <w:p w14:paraId="385FB926" w14:textId="77777777" w:rsidR="00167B42" w:rsidRPr="00861444" w:rsidRDefault="00167B42" w:rsidP="00167B42">
      <w:pPr>
        <w:jc w:val="center"/>
        <w:rPr>
          <w:rFonts w:ascii="Book Antiqua" w:hAnsi="Book Antiqua"/>
          <w:sz w:val="28"/>
          <w:szCs w:val="28"/>
          <w:lang w:val="es-ES"/>
        </w:rPr>
      </w:pPr>
    </w:p>
    <w:p w14:paraId="4B4EA79E" w14:textId="77777777" w:rsidR="00167B42" w:rsidRPr="00861444" w:rsidRDefault="00167B42" w:rsidP="00167B42">
      <w:pPr>
        <w:jc w:val="center"/>
        <w:rPr>
          <w:rFonts w:ascii="Book Antiqua" w:hAnsi="Book Antiqua"/>
          <w:b/>
          <w:sz w:val="52"/>
          <w:szCs w:val="52"/>
          <w:lang w:val="es-ES"/>
        </w:rPr>
      </w:pPr>
      <w:r w:rsidRPr="00861444">
        <w:rPr>
          <w:rFonts w:ascii="Book Antiqua" w:hAnsi="Book Antiqua"/>
          <w:b/>
          <w:sz w:val="52"/>
          <w:szCs w:val="52"/>
          <w:lang w:val="es-ES"/>
        </w:rPr>
        <w:t xml:space="preserve">P. de la C. </w:t>
      </w:r>
      <w:r>
        <w:rPr>
          <w:rFonts w:ascii="Book Antiqua" w:hAnsi="Book Antiqua"/>
          <w:b/>
          <w:sz w:val="52"/>
          <w:szCs w:val="52"/>
          <w:lang w:val="es-ES"/>
        </w:rPr>
        <w:t>251</w:t>
      </w:r>
    </w:p>
    <w:p w14:paraId="238136CF" w14:textId="77777777" w:rsidR="00167B42" w:rsidRPr="00861444" w:rsidRDefault="00167B42" w:rsidP="00167B42">
      <w:pPr>
        <w:jc w:val="center"/>
        <w:rPr>
          <w:rFonts w:ascii="Book Antiqua" w:hAnsi="Book Antiqua"/>
          <w:sz w:val="28"/>
          <w:szCs w:val="28"/>
          <w:lang w:val="es-ES"/>
        </w:rPr>
      </w:pPr>
    </w:p>
    <w:p w14:paraId="2F2077F2" w14:textId="77777777" w:rsidR="00167B42" w:rsidRPr="00861444" w:rsidRDefault="00167B42" w:rsidP="00167B42">
      <w:pPr>
        <w:jc w:val="center"/>
        <w:rPr>
          <w:rFonts w:ascii="Book Antiqua" w:hAnsi="Book Antiqua"/>
          <w:sz w:val="28"/>
          <w:szCs w:val="28"/>
          <w:lang w:val="es-ES"/>
        </w:rPr>
      </w:pPr>
      <w:r w:rsidRPr="00861444">
        <w:rPr>
          <w:rFonts w:ascii="Book Antiqua" w:hAnsi="Book Antiqua"/>
          <w:sz w:val="28"/>
          <w:szCs w:val="28"/>
          <w:lang w:val="es-ES"/>
        </w:rPr>
        <w:t xml:space="preserve">INFORME </w:t>
      </w:r>
      <w:r>
        <w:rPr>
          <w:rFonts w:ascii="Book Antiqua" w:hAnsi="Book Antiqua"/>
          <w:sz w:val="28"/>
          <w:szCs w:val="28"/>
          <w:lang w:val="es-ES"/>
        </w:rPr>
        <w:t>POSITIVO</w:t>
      </w:r>
    </w:p>
    <w:p w14:paraId="3FBBC12B" w14:textId="77777777" w:rsidR="00195B28" w:rsidRPr="00167B42" w:rsidRDefault="00195B28">
      <w:pPr>
        <w:rPr>
          <w:lang w:val="es-ES"/>
        </w:rPr>
      </w:pPr>
    </w:p>
    <w:p w14:paraId="20EE6D8F" w14:textId="59B2B48D" w:rsidR="00195B28" w:rsidRPr="00167B42" w:rsidRDefault="00626E24">
      <w:pPr>
        <w:jc w:val="center"/>
        <w:rPr>
          <w:lang w:val="es-ES"/>
        </w:rPr>
      </w:pPr>
      <w:r>
        <w:rPr>
          <w:rFonts w:ascii="Book Antiqua" w:hAnsi="Book Antiqua"/>
          <w:sz w:val="24"/>
          <w:szCs w:val="24"/>
          <w:lang w:val="es-ES"/>
        </w:rPr>
        <w:t>27</w:t>
      </w:r>
      <w:r w:rsidR="00A26B59" w:rsidRPr="00167B42">
        <w:rPr>
          <w:rFonts w:ascii="Book Antiqua" w:hAnsi="Book Antiqua"/>
          <w:sz w:val="24"/>
          <w:szCs w:val="24"/>
          <w:lang w:val="es-ES"/>
        </w:rPr>
        <w:t xml:space="preserve"> DE </w:t>
      </w:r>
      <w:r w:rsidR="00202200">
        <w:rPr>
          <w:rFonts w:ascii="Book Antiqua" w:hAnsi="Book Antiqua"/>
          <w:sz w:val="24"/>
          <w:szCs w:val="24"/>
          <w:lang w:val="es-ES"/>
        </w:rPr>
        <w:t>ABRIL</w:t>
      </w:r>
      <w:r w:rsidR="00A26B59" w:rsidRPr="00167B42">
        <w:rPr>
          <w:rFonts w:ascii="Book Antiqua" w:hAnsi="Book Antiqua"/>
          <w:sz w:val="24"/>
          <w:szCs w:val="24"/>
          <w:lang w:val="es-ES"/>
        </w:rPr>
        <w:t xml:space="preserve"> DE 2026</w:t>
      </w:r>
    </w:p>
    <w:p w14:paraId="75EDBFBE" w14:textId="77777777" w:rsidR="00195B28" w:rsidRPr="00167B42" w:rsidRDefault="00195B28">
      <w:pPr>
        <w:rPr>
          <w:lang w:val="es-ES"/>
        </w:rPr>
      </w:pPr>
    </w:p>
    <w:p w14:paraId="3CE1D016" w14:textId="77777777" w:rsidR="00195B28" w:rsidRPr="00167B42" w:rsidRDefault="00A26B59" w:rsidP="00167B42">
      <w:pPr>
        <w:rPr>
          <w:lang w:val="es-ES"/>
        </w:rPr>
      </w:pPr>
      <w:r w:rsidRPr="00167B42">
        <w:rPr>
          <w:rFonts w:ascii="Book Antiqua" w:hAnsi="Book Antiqua"/>
          <w:b/>
          <w:bCs/>
          <w:sz w:val="24"/>
          <w:szCs w:val="24"/>
          <w:lang w:val="es-ES"/>
        </w:rPr>
        <w:t>A LA CÁMARA DE REPRESENTANTES DE PUERTO RICO:</w:t>
      </w:r>
    </w:p>
    <w:p w14:paraId="3DF8C3C5" w14:textId="77777777" w:rsidR="00195B28" w:rsidRPr="00167B42" w:rsidRDefault="00195B28">
      <w:pPr>
        <w:rPr>
          <w:lang w:val="es-ES"/>
        </w:rPr>
      </w:pPr>
    </w:p>
    <w:p w14:paraId="0B7B2600" w14:textId="66AE151C" w:rsidR="00195B28" w:rsidRPr="00167B42" w:rsidRDefault="00A26B59" w:rsidP="00167B42">
      <w:pPr>
        <w:ind w:firstLine="720"/>
        <w:jc w:val="both"/>
        <w:rPr>
          <w:lang w:val="es-ES"/>
        </w:rPr>
      </w:pPr>
      <w:r w:rsidRPr="00167B42">
        <w:rPr>
          <w:rFonts w:ascii="Book Antiqua" w:hAnsi="Book Antiqua"/>
          <w:sz w:val="24"/>
          <w:szCs w:val="24"/>
          <w:lang w:val="es-ES"/>
        </w:rPr>
        <w:t xml:space="preserve">La Comisión de Salud de la Cámara de Representantes de Puerto Rico tiene el honor de recomendar a este Augusto Cuerpo la aprobación del </w:t>
      </w:r>
      <w:r w:rsidRPr="00167B42">
        <w:rPr>
          <w:rFonts w:ascii="Book Antiqua" w:hAnsi="Book Antiqua"/>
          <w:b/>
          <w:bCs/>
          <w:sz w:val="24"/>
          <w:szCs w:val="24"/>
          <w:lang w:val="es-ES"/>
        </w:rPr>
        <w:t>P. de la C. 251</w:t>
      </w:r>
      <w:r w:rsidRPr="00167B42">
        <w:rPr>
          <w:rFonts w:ascii="Book Antiqua" w:hAnsi="Book Antiqua"/>
          <w:sz w:val="24"/>
          <w:szCs w:val="24"/>
          <w:lang w:val="es-ES"/>
        </w:rPr>
        <w:t xml:space="preserve"> </w:t>
      </w:r>
      <w:r w:rsidR="00167B42">
        <w:rPr>
          <w:rFonts w:ascii="Book Antiqua" w:hAnsi="Book Antiqua"/>
          <w:sz w:val="24"/>
          <w:szCs w:val="24"/>
          <w:lang w:val="es-ES"/>
        </w:rPr>
        <w:t xml:space="preserve">con las enmiendas contenidas en el </w:t>
      </w:r>
      <w:proofErr w:type="spellStart"/>
      <w:r w:rsidR="00167B42" w:rsidRPr="00373201">
        <w:rPr>
          <w:rFonts w:ascii="Book Antiqua" w:hAnsi="Book Antiqua"/>
          <w:sz w:val="24"/>
          <w:szCs w:val="24"/>
          <w:lang w:val="es-ES"/>
        </w:rPr>
        <w:t>entirillado</w:t>
      </w:r>
      <w:proofErr w:type="spellEnd"/>
      <w:r w:rsidR="00167B42" w:rsidRPr="00373201">
        <w:rPr>
          <w:rFonts w:ascii="Book Antiqua" w:hAnsi="Book Antiqua"/>
          <w:sz w:val="24"/>
          <w:szCs w:val="24"/>
          <w:lang w:val="es-ES"/>
        </w:rPr>
        <w:t xml:space="preserve"> electrónico que se aneja a este Informe.</w:t>
      </w:r>
      <w:r w:rsidR="00167B42">
        <w:rPr>
          <w:rFonts w:ascii="Book Antiqua" w:hAnsi="Book Antiqua"/>
          <w:sz w:val="24"/>
          <w:szCs w:val="24"/>
          <w:lang w:val="es-ES"/>
        </w:rPr>
        <w:t xml:space="preserve"> </w:t>
      </w:r>
    </w:p>
    <w:p w14:paraId="0E6D81C7" w14:textId="77777777" w:rsidR="00195B28" w:rsidRPr="00167B42" w:rsidRDefault="00195B28">
      <w:pPr>
        <w:rPr>
          <w:lang w:val="es-ES"/>
        </w:rPr>
      </w:pPr>
    </w:p>
    <w:p w14:paraId="1A18767A" w14:textId="77777777" w:rsidR="00195B28" w:rsidRPr="00167B42" w:rsidRDefault="00A26B59">
      <w:pPr>
        <w:jc w:val="center"/>
        <w:rPr>
          <w:lang w:val="es-ES"/>
        </w:rPr>
      </w:pPr>
      <w:r w:rsidRPr="00167B42">
        <w:rPr>
          <w:rFonts w:ascii="Book Antiqua" w:hAnsi="Book Antiqua"/>
          <w:b/>
          <w:bCs/>
          <w:sz w:val="24"/>
          <w:szCs w:val="24"/>
          <w:lang w:val="es-ES"/>
        </w:rPr>
        <w:t>I. ALCANCE DE LA MEDIDA</w:t>
      </w:r>
    </w:p>
    <w:p w14:paraId="3785EF3A" w14:textId="77777777" w:rsidR="00195B28" w:rsidRPr="00167B42" w:rsidRDefault="00195B28">
      <w:pPr>
        <w:rPr>
          <w:lang w:val="es-ES"/>
        </w:rPr>
      </w:pPr>
    </w:p>
    <w:p w14:paraId="283753CC"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El Proyecto de la Cámara 251 propone enmendar el Artículo 2 de la Ley Núm. 84 de 2 de julio de 1987, según enmendada, que crea el Programa para la Detección, Diagnóstico y Tratamiento de Enfermedades Hereditarias y el Consejo de Enfermedades Hereditarias de Puerto Rico, con el propósito de expandir las condiciones que se detectan de manera compulsoria en el </w:t>
      </w:r>
      <w:proofErr w:type="spellStart"/>
      <w:r w:rsidRPr="00202200">
        <w:rPr>
          <w:rFonts w:ascii="Book Antiqua" w:hAnsi="Book Antiqua"/>
          <w:sz w:val="24"/>
          <w:szCs w:val="24"/>
          <w:lang w:val="es-ES"/>
        </w:rPr>
        <w:t>cernimiento</w:t>
      </w:r>
      <w:proofErr w:type="spellEnd"/>
      <w:r w:rsidRPr="00202200">
        <w:rPr>
          <w:rFonts w:ascii="Book Antiqua" w:hAnsi="Book Antiqua"/>
          <w:sz w:val="24"/>
          <w:szCs w:val="24"/>
          <w:lang w:val="es-ES"/>
        </w:rPr>
        <w:t xml:space="preserve"> neonatal.</w:t>
      </w:r>
    </w:p>
    <w:p w14:paraId="6D9676C6" w14:textId="77777777" w:rsidR="00195B28" w:rsidRPr="00202200" w:rsidRDefault="00195B28">
      <w:pPr>
        <w:rPr>
          <w:rFonts w:ascii="Book Antiqua" w:hAnsi="Book Antiqua"/>
          <w:sz w:val="24"/>
          <w:szCs w:val="24"/>
          <w:lang w:val="es-ES"/>
        </w:rPr>
      </w:pPr>
    </w:p>
    <w:p w14:paraId="40577693"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Específicamente, la medida busca añadir al panel compulsorio cuatro condiciones hereditarias recomendadas por el Panel Uniforme de Exámenes Recomendados (RUSP) del Departamento de Salud y Servicios Humanos federal: (1) </w:t>
      </w:r>
      <w:proofErr w:type="spellStart"/>
      <w:r w:rsidRPr="00202200">
        <w:rPr>
          <w:rFonts w:ascii="Book Antiqua" w:hAnsi="Book Antiqua"/>
          <w:sz w:val="24"/>
          <w:szCs w:val="24"/>
          <w:lang w:val="es-ES"/>
        </w:rPr>
        <w:t>Mucopolysaccharidosis</w:t>
      </w:r>
      <w:proofErr w:type="spellEnd"/>
      <w:r w:rsidRPr="00202200">
        <w:rPr>
          <w:rFonts w:ascii="Book Antiqua" w:hAnsi="Book Antiqua"/>
          <w:sz w:val="24"/>
          <w:szCs w:val="24"/>
          <w:lang w:val="es-ES"/>
        </w:rPr>
        <w:t xml:space="preserve"> Tipo-1 (MPS 1); (2) Enfermedad de Pompe; (3) Adrenoleucodistrofia ligada al X (ALD); y (4) Enfermedad de Krabbe infantil.</w:t>
      </w:r>
    </w:p>
    <w:p w14:paraId="766CCDC6" w14:textId="77777777" w:rsidR="00195B28" w:rsidRPr="00202200" w:rsidRDefault="00195B28">
      <w:pPr>
        <w:rPr>
          <w:rFonts w:ascii="Book Antiqua" w:hAnsi="Book Antiqua"/>
          <w:sz w:val="24"/>
          <w:szCs w:val="24"/>
          <w:lang w:val="es-ES"/>
        </w:rPr>
      </w:pPr>
    </w:p>
    <w:p w14:paraId="471F261B"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La Exposición de Motivos fundamenta la medida en que los defectos congénitos constituyen la segunda causa de mortalidad infantil en Puerto Rico, con aproximadamente 30,000 nacimientos anuales, y que la detección temprana mediante </w:t>
      </w:r>
      <w:proofErr w:type="spellStart"/>
      <w:r w:rsidRPr="00202200">
        <w:rPr>
          <w:rFonts w:ascii="Book Antiqua" w:hAnsi="Book Antiqua"/>
          <w:sz w:val="24"/>
          <w:szCs w:val="24"/>
          <w:lang w:val="es-ES"/>
        </w:rPr>
        <w:t>cernimiento</w:t>
      </w:r>
      <w:proofErr w:type="spellEnd"/>
      <w:r w:rsidRPr="00202200">
        <w:rPr>
          <w:rFonts w:ascii="Book Antiqua" w:hAnsi="Book Antiqua"/>
          <w:sz w:val="24"/>
          <w:szCs w:val="24"/>
          <w:lang w:val="es-ES"/>
        </w:rPr>
        <w:t xml:space="preserve"> neonatal es una estrategia fundamental para prevenir complicaciones severas, discapacidad y muerte, además de reducir costos médicos a largo plazo. El proyecto invoca el deber ineludible del Estado, en ejercicio de su poder de </w:t>
      </w:r>
      <w:proofErr w:type="spellStart"/>
      <w:r w:rsidRPr="00202200">
        <w:rPr>
          <w:rFonts w:ascii="Book Antiqua" w:hAnsi="Book Antiqua"/>
          <w:i/>
          <w:iCs/>
          <w:sz w:val="24"/>
          <w:szCs w:val="24"/>
          <w:lang w:val="es-ES"/>
        </w:rPr>
        <w:t>parens</w:t>
      </w:r>
      <w:proofErr w:type="spellEnd"/>
      <w:r w:rsidRPr="00202200">
        <w:rPr>
          <w:rFonts w:ascii="Book Antiqua" w:hAnsi="Book Antiqua"/>
          <w:i/>
          <w:iCs/>
          <w:sz w:val="24"/>
          <w:szCs w:val="24"/>
          <w:lang w:val="es-ES"/>
        </w:rPr>
        <w:t xml:space="preserve"> </w:t>
      </w:r>
      <w:proofErr w:type="spellStart"/>
      <w:r w:rsidRPr="00202200">
        <w:rPr>
          <w:rFonts w:ascii="Book Antiqua" w:hAnsi="Book Antiqua"/>
          <w:i/>
          <w:iCs/>
          <w:sz w:val="24"/>
          <w:szCs w:val="24"/>
          <w:lang w:val="es-ES"/>
        </w:rPr>
        <w:t>patriae</w:t>
      </w:r>
      <w:proofErr w:type="spellEnd"/>
      <w:r w:rsidRPr="00202200">
        <w:rPr>
          <w:rFonts w:ascii="Book Antiqua" w:hAnsi="Book Antiqua"/>
          <w:sz w:val="24"/>
          <w:szCs w:val="24"/>
          <w:lang w:val="es-ES"/>
        </w:rPr>
        <w:t>, de fortalecer los programas de detección temprana de enfermedades hereditarias.</w:t>
      </w:r>
    </w:p>
    <w:p w14:paraId="1105B958" w14:textId="77777777" w:rsidR="00195B28" w:rsidRPr="00202200" w:rsidRDefault="00195B28">
      <w:pPr>
        <w:rPr>
          <w:rFonts w:ascii="Book Antiqua" w:hAnsi="Book Antiqua"/>
          <w:sz w:val="24"/>
          <w:szCs w:val="24"/>
          <w:lang w:val="es-ES"/>
        </w:rPr>
      </w:pPr>
    </w:p>
    <w:p w14:paraId="23A42F26" w14:textId="77777777" w:rsidR="00195B28" w:rsidRPr="00202200" w:rsidRDefault="00A26B59">
      <w:pPr>
        <w:jc w:val="center"/>
        <w:rPr>
          <w:rFonts w:ascii="Book Antiqua" w:hAnsi="Book Antiqua"/>
          <w:sz w:val="24"/>
          <w:szCs w:val="24"/>
          <w:lang w:val="es-ES"/>
        </w:rPr>
      </w:pPr>
      <w:r w:rsidRPr="00202200">
        <w:rPr>
          <w:rFonts w:ascii="Book Antiqua" w:hAnsi="Book Antiqua"/>
          <w:b/>
          <w:bCs/>
          <w:sz w:val="24"/>
          <w:szCs w:val="24"/>
          <w:lang w:val="es-ES"/>
        </w:rPr>
        <w:lastRenderedPageBreak/>
        <w:t>II. MEMORIALES RECIBIDOS Y ANÁLISIS</w:t>
      </w:r>
    </w:p>
    <w:p w14:paraId="6CB197E6" w14:textId="77777777" w:rsidR="00195B28" w:rsidRPr="00202200" w:rsidRDefault="00195B28">
      <w:pPr>
        <w:rPr>
          <w:rFonts w:ascii="Book Antiqua" w:hAnsi="Book Antiqua"/>
          <w:sz w:val="24"/>
          <w:szCs w:val="24"/>
          <w:lang w:val="es-ES"/>
        </w:rPr>
      </w:pPr>
    </w:p>
    <w:p w14:paraId="741D3D40"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Para evaluar el presente proyecto, esta Comisión solicitó memoriales explicativos al </w:t>
      </w:r>
      <w:r w:rsidRPr="00202200">
        <w:rPr>
          <w:rFonts w:ascii="Book Antiqua" w:hAnsi="Book Antiqua"/>
          <w:b/>
          <w:bCs/>
          <w:sz w:val="24"/>
          <w:szCs w:val="24"/>
          <w:lang w:val="es-ES"/>
        </w:rPr>
        <w:t>Departamento de Salud</w:t>
      </w:r>
      <w:r w:rsidRPr="00202200">
        <w:rPr>
          <w:rFonts w:ascii="Book Antiqua" w:hAnsi="Book Antiqua"/>
          <w:sz w:val="24"/>
          <w:szCs w:val="24"/>
          <w:lang w:val="es-ES"/>
        </w:rPr>
        <w:t xml:space="preserve">, a la </w:t>
      </w:r>
      <w:r w:rsidRPr="00202200">
        <w:rPr>
          <w:rFonts w:ascii="Book Antiqua" w:hAnsi="Book Antiqua"/>
          <w:b/>
          <w:bCs/>
          <w:sz w:val="24"/>
          <w:szCs w:val="24"/>
          <w:lang w:val="es-ES"/>
        </w:rPr>
        <w:t>Asociación Médica de Puerto Rico (AMPR)</w:t>
      </w:r>
      <w:r w:rsidRPr="00202200">
        <w:rPr>
          <w:rFonts w:ascii="Book Antiqua" w:hAnsi="Book Antiqua"/>
          <w:sz w:val="24"/>
          <w:szCs w:val="24"/>
          <w:lang w:val="es-ES"/>
        </w:rPr>
        <w:t xml:space="preserve">, al </w:t>
      </w:r>
      <w:r w:rsidRPr="00202200">
        <w:rPr>
          <w:rFonts w:ascii="Book Antiqua" w:hAnsi="Book Antiqua"/>
          <w:b/>
          <w:bCs/>
          <w:sz w:val="24"/>
          <w:szCs w:val="24"/>
          <w:lang w:val="es-ES"/>
        </w:rPr>
        <w:t>Recinto de Ciencias Médicas de la Universidad de Puerto Rico (RCM-UPR)</w:t>
      </w:r>
      <w:r w:rsidRPr="00202200">
        <w:rPr>
          <w:rFonts w:ascii="Book Antiqua" w:hAnsi="Book Antiqua"/>
          <w:sz w:val="24"/>
          <w:szCs w:val="24"/>
          <w:lang w:val="es-ES"/>
        </w:rPr>
        <w:t>, al Colegio de Médicos Cirujanos de Puerto Rico, al Capítulo de Puerto Rico de la Academia Americana de Pediatría, a la Sociedad Puertorriqueña de Pediatría y a PROGYN. A la fecha de redacción de este informe, no se han recibido los memoriales de estas cuatro últimas entidades.</w:t>
      </w:r>
    </w:p>
    <w:p w14:paraId="20C3B344" w14:textId="77777777" w:rsidR="00195B28" w:rsidRPr="00202200" w:rsidRDefault="00195B28">
      <w:pPr>
        <w:rPr>
          <w:rFonts w:ascii="Book Antiqua" w:hAnsi="Book Antiqua"/>
          <w:sz w:val="24"/>
          <w:szCs w:val="24"/>
          <w:lang w:val="es-ES"/>
        </w:rPr>
      </w:pPr>
    </w:p>
    <w:p w14:paraId="0EC10AA7" w14:textId="24EEDCA0" w:rsidR="00195B28" w:rsidRPr="00202200" w:rsidRDefault="00A26B59" w:rsidP="00167B42">
      <w:pPr>
        <w:jc w:val="center"/>
        <w:rPr>
          <w:rFonts w:ascii="Book Antiqua" w:hAnsi="Book Antiqua"/>
          <w:sz w:val="24"/>
          <w:szCs w:val="24"/>
          <w:lang w:val="es-ES"/>
        </w:rPr>
      </w:pPr>
      <w:r w:rsidRPr="00202200">
        <w:rPr>
          <w:rFonts w:ascii="Book Antiqua" w:hAnsi="Book Antiqua"/>
          <w:b/>
          <w:bCs/>
          <w:sz w:val="24"/>
          <w:szCs w:val="24"/>
          <w:u w:val="single"/>
          <w:lang w:val="es-ES"/>
        </w:rPr>
        <w:t>Recinto de Ciencias Médicas – UPR</w:t>
      </w:r>
      <w:r w:rsidRPr="00202200">
        <w:rPr>
          <w:rFonts w:ascii="Book Antiqua" w:hAnsi="Book Antiqua"/>
          <w:i/>
          <w:iCs/>
          <w:sz w:val="24"/>
          <w:szCs w:val="24"/>
          <w:lang w:val="es-ES"/>
        </w:rPr>
        <w:t xml:space="preserve"> (4 de junio de 2025)</w:t>
      </w:r>
    </w:p>
    <w:p w14:paraId="1EC25F11" w14:textId="77777777" w:rsidR="00195B28" w:rsidRPr="00202200" w:rsidRDefault="00195B28">
      <w:pPr>
        <w:rPr>
          <w:rFonts w:ascii="Book Antiqua" w:hAnsi="Book Antiqua"/>
          <w:sz w:val="24"/>
          <w:szCs w:val="24"/>
          <w:lang w:val="es-ES"/>
        </w:rPr>
      </w:pPr>
    </w:p>
    <w:p w14:paraId="21C5E412"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El RCM-UPR sometió memorial a través de la Rectora y del Programa de </w:t>
      </w:r>
      <w:proofErr w:type="spellStart"/>
      <w:r w:rsidRPr="00202200">
        <w:rPr>
          <w:rFonts w:ascii="Book Antiqua" w:hAnsi="Book Antiqua"/>
          <w:sz w:val="24"/>
          <w:szCs w:val="24"/>
          <w:lang w:val="es-ES"/>
        </w:rPr>
        <w:t>Cernimiento</w:t>
      </w:r>
      <w:proofErr w:type="spellEnd"/>
      <w:r w:rsidRPr="00202200">
        <w:rPr>
          <w:rFonts w:ascii="Book Antiqua" w:hAnsi="Book Antiqua"/>
          <w:sz w:val="24"/>
          <w:szCs w:val="24"/>
          <w:lang w:val="es-ES"/>
        </w:rPr>
        <w:t xml:space="preserve"> Neonatal (PCN) del Centro de Enfermedades Hereditarias, entidad que opera conforme a la Ley 84 de 1987 y al Reglamento Núm. 151 como único centro autorizado por ley para recibir y procesar muestras de </w:t>
      </w:r>
      <w:proofErr w:type="spellStart"/>
      <w:r w:rsidRPr="00202200">
        <w:rPr>
          <w:rFonts w:ascii="Book Antiqua" w:hAnsi="Book Antiqua"/>
          <w:sz w:val="24"/>
          <w:szCs w:val="24"/>
          <w:lang w:val="es-ES"/>
        </w:rPr>
        <w:t>cernimiento</w:t>
      </w:r>
      <w:proofErr w:type="spellEnd"/>
      <w:r w:rsidRPr="00202200">
        <w:rPr>
          <w:rFonts w:ascii="Book Antiqua" w:hAnsi="Book Antiqua"/>
          <w:sz w:val="24"/>
          <w:szCs w:val="24"/>
          <w:lang w:val="es-ES"/>
        </w:rPr>
        <w:t xml:space="preserve"> neonatal en Puerto Rico, con una cobertura de aproximadamente el 99% de los recién nacidos. El PCN actualmente detecta más de 40 condiciones hereditarias.</w:t>
      </w:r>
    </w:p>
    <w:p w14:paraId="3FCB58A9" w14:textId="77777777" w:rsidR="00195B28" w:rsidRPr="00202200" w:rsidRDefault="00195B28">
      <w:pPr>
        <w:rPr>
          <w:rFonts w:ascii="Book Antiqua" w:hAnsi="Book Antiqua"/>
          <w:sz w:val="24"/>
          <w:szCs w:val="24"/>
          <w:lang w:val="es-ES"/>
        </w:rPr>
      </w:pPr>
    </w:p>
    <w:p w14:paraId="7715283A" w14:textId="088EF6FB" w:rsidR="00195B28" w:rsidRPr="00202200" w:rsidRDefault="00A26B59" w:rsidP="00202200">
      <w:pPr>
        <w:ind w:firstLine="720"/>
        <w:jc w:val="both"/>
        <w:rPr>
          <w:rFonts w:ascii="Book Antiqua" w:hAnsi="Book Antiqua"/>
          <w:sz w:val="24"/>
          <w:szCs w:val="24"/>
          <w:lang w:val="es-ES"/>
        </w:rPr>
      </w:pPr>
      <w:r w:rsidRPr="00202200">
        <w:rPr>
          <w:rFonts w:ascii="Book Antiqua" w:hAnsi="Book Antiqua"/>
          <w:sz w:val="24"/>
          <w:szCs w:val="24"/>
          <w:lang w:val="es-ES"/>
        </w:rPr>
        <w:t xml:space="preserve">Respecto a las condiciones propuestas, </w:t>
      </w:r>
      <w:r w:rsidR="00167B42" w:rsidRPr="00202200">
        <w:rPr>
          <w:rFonts w:ascii="Book Antiqua" w:hAnsi="Book Antiqua"/>
          <w:sz w:val="24"/>
          <w:szCs w:val="24"/>
          <w:lang w:val="es-ES"/>
        </w:rPr>
        <w:t>el RCM-UPR</w:t>
      </w:r>
      <w:r w:rsidRPr="00202200">
        <w:rPr>
          <w:rFonts w:ascii="Book Antiqua" w:hAnsi="Book Antiqua"/>
          <w:sz w:val="24"/>
          <w:szCs w:val="24"/>
          <w:lang w:val="es-ES"/>
        </w:rPr>
        <w:t xml:space="preserve"> informó lo siguiente:</w:t>
      </w:r>
    </w:p>
    <w:p w14:paraId="01B53B4D" w14:textId="77777777" w:rsidR="00195B28" w:rsidRPr="00202200" w:rsidRDefault="00195B28">
      <w:pPr>
        <w:rPr>
          <w:rFonts w:ascii="Book Antiqua" w:hAnsi="Book Antiqua"/>
          <w:sz w:val="24"/>
          <w:szCs w:val="24"/>
          <w:lang w:val="es-ES"/>
        </w:rPr>
      </w:pPr>
    </w:p>
    <w:p w14:paraId="20B0A09D" w14:textId="77777777" w:rsidR="00195B28" w:rsidRPr="00202200" w:rsidRDefault="00A26B59">
      <w:pPr>
        <w:spacing w:after="80"/>
        <w:ind w:left="720" w:hanging="360"/>
        <w:jc w:val="both"/>
        <w:rPr>
          <w:rFonts w:ascii="Book Antiqua" w:hAnsi="Book Antiqua"/>
          <w:sz w:val="24"/>
          <w:szCs w:val="24"/>
          <w:lang w:val="es-ES"/>
        </w:rPr>
      </w:pPr>
      <w:r w:rsidRPr="00202200">
        <w:rPr>
          <w:rFonts w:ascii="Book Antiqua" w:hAnsi="Book Antiqua"/>
          <w:b/>
          <w:bCs/>
          <w:sz w:val="24"/>
          <w:szCs w:val="24"/>
          <w:lang w:val="es-ES"/>
        </w:rPr>
        <w:t xml:space="preserve">Adrenoleucodistrofia (ALD): </w:t>
      </w:r>
      <w:r w:rsidRPr="00202200">
        <w:rPr>
          <w:rFonts w:ascii="Book Antiqua" w:hAnsi="Book Antiqua"/>
          <w:sz w:val="24"/>
          <w:szCs w:val="24"/>
          <w:lang w:val="es-ES"/>
        </w:rPr>
        <w:t xml:space="preserve">La prueba ya fue validada y se encuentra en etapas finales de configuración de plataformas electrónicas de reporte. Se espera comenzar el monitoreo oficial en 2025. Frecuencia en </w:t>
      </w:r>
      <w:proofErr w:type="gramStart"/>
      <w:r w:rsidRPr="00202200">
        <w:rPr>
          <w:rFonts w:ascii="Book Antiqua" w:hAnsi="Book Antiqua"/>
          <w:sz w:val="24"/>
          <w:szCs w:val="24"/>
          <w:lang w:val="es-ES"/>
        </w:rPr>
        <w:t>EE.UU.</w:t>
      </w:r>
      <w:proofErr w:type="gramEnd"/>
      <w:r w:rsidRPr="00202200">
        <w:rPr>
          <w:rFonts w:ascii="Book Antiqua" w:hAnsi="Book Antiqua"/>
          <w:sz w:val="24"/>
          <w:szCs w:val="24"/>
          <w:lang w:val="es-ES"/>
        </w:rPr>
        <w:t>: 1/14,856.</w:t>
      </w:r>
    </w:p>
    <w:p w14:paraId="330E5DE3" w14:textId="77777777" w:rsidR="00195B28" w:rsidRPr="00202200" w:rsidRDefault="00A26B59">
      <w:pPr>
        <w:spacing w:after="80"/>
        <w:ind w:left="720" w:hanging="360"/>
        <w:jc w:val="both"/>
        <w:rPr>
          <w:rFonts w:ascii="Book Antiqua" w:hAnsi="Book Antiqua"/>
          <w:sz w:val="24"/>
          <w:szCs w:val="24"/>
          <w:lang w:val="es-ES"/>
        </w:rPr>
      </w:pPr>
      <w:r w:rsidRPr="00202200">
        <w:rPr>
          <w:rFonts w:ascii="Book Antiqua" w:hAnsi="Book Antiqua"/>
          <w:b/>
          <w:bCs/>
          <w:sz w:val="24"/>
          <w:szCs w:val="24"/>
          <w:lang w:val="es-ES"/>
        </w:rPr>
        <w:t xml:space="preserve">Atrofia Muscular Espinal (SMA): </w:t>
      </w:r>
      <w:r w:rsidRPr="00202200">
        <w:rPr>
          <w:rFonts w:ascii="Book Antiqua" w:hAnsi="Book Antiqua"/>
          <w:sz w:val="24"/>
          <w:szCs w:val="24"/>
          <w:lang w:val="es-ES"/>
        </w:rPr>
        <w:t>La implementación está en proceso, con fondos ya recibidos para preparar las facilidades. Se estima completar la validación para 2026. Frecuencia estimada: 1/10,000.</w:t>
      </w:r>
    </w:p>
    <w:p w14:paraId="49349672" w14:textId="77777777" w:rsidR="00195B28" w:rsidRPr="00202200" w:rsidRDefault="00A26B59">
      <w:pPr>
        <w:spacing w:after="80"/>
        <w:ind w:left="720" w:hanging="360"/>
        <w:jc w:val="both"/>
        <w:rPr>
          <w:rFonts w:ascii="Book Antiqua" w:hAnsi="Book Antiqua"/>
          <w:sz w:val="24"/>
          <w:szCs w:val="24"/>
          <w:lang w:val="es-ES"/>
        </w:rPr>
      </w:pPr>
      <w:r w:rsidRPr="00202200">
        <w:rPr>
          <w:rFonts w:ascii="Book Antiqua" w:hAnsi="Book Antiqua"/>
          <w:b/>
          <w:bCs/>
          <w:sz w:val="24"/>
          <w:szCs w:val="24"/>
          <w:lang w:val="es-ES"/>
        </w:rPr>
        <w:t xml:space="preserve">Enfermedad de Pompe: </w:t>
      </w:r>
      <w:r w:rsidRPr="00202200">
        <w:rPr>
          <w:rFonts w:ascii="Book Antiqua" w:hAnsi="Book Antiqua"/>
          <w:sz w:val="24"/>
          <w:szCs w:val="24"/>
          <w:lang w:val="es-ES"/>
        </w:rPr>
        <w:t xml:space="preserve">De interés para los genetistas del PCN por su frecuencia considerable estimada en PR y disponibilidad de tratamiento en la isla. Frecuencia en </w:t>
      </w:r>
      <w:proofErr w:type="gramStart"/>
      <w:r w:rsidRPr="00202200">
        <w:rPr>
          <w:rFonts w:ascii="Book Antiqua" w:hAnsi="Book Antiqua"/>
          <w:sz w:val="24"/>
          <w:szCs w:val="24"/>
          <w:lang w:val="es-ES"/>
        </w:rPr>
        <w:t>EE.UU.</w:t>
      </w:r>
      <w:proofErr w:type="gramEnd"/>
      <w:r w:rsidRPr="00202200">
        <w:rPr>
          <w:rFonts w:ascii="Book Antiqua" w:hAnsi="Book Antiqua"/>
          <w:sz w:val="24"/>
          <w:szCs w:val="24"/>
          <w:lang w:val="es-ES"/>
        </w:rPr>
        <w:t xml:space="preserve">: 1/17,732. Advierte sobre </w:t>
      </w:r>
      <w:proofErr w:type="spellStart"/>
      <w:r w:rsidRPr="00202200">
        <w:rPr>
          <w:rFonts w:ascii="Book Antiqua" w:hAnsi="Book Antiqua"/>
          <w:sz w:val="24"/>
          <w:szCs w:val="24"/>
          <w:lang w:val="es-ES"/>
        </w:rPr>
        <w:t>pseudodeficiencias</w:t>
      </w:r>
      <w:proofErr w:type="spellEnd"/>
      <w:r w:rsidRPr="00202200">
        <w:rPr>
          <w:rFonts w:ascii="Book Antiqua" w:hAnsi="Book Antiqua"/>
          <w:sz w:val="24"/>
          <w:szCs w:val="24"/>
          <w:lang w:val="es-ES"/>
        </w:rPr>
        <w:t xml:space="preserve"> y casos de presentación tardía.</w:t>
      </w:r>
    </w:p>
    <w:p w14:paraId="017C6A1C" w14:textId="44DFAB51" w:rsidR="00195B28" w:rsidRPr="00202200" w:rsidRDefault="00A26B59">
      <w:pPr>
        <w:spacing w:after="80"/>
        <w:ind w:left="720" w:hanging="360"/>
        <w:jc w:val="both"/>
        <w:rPr>
          <w:rFonts w:ascii="Book Antiqua" w:hAnsi="Book Antiqua"/>
          <w:sz w:val="24"/>
          <w:szCs w:val="24"/>
          <w:lang w:val="es-ES"/>
        </w:rPr>
      </w:pPr>
      <w:r w:rsidRPr="00202200">
        <w:rPr>
          <w:rFonts w:ascii="Book Antiqua" w:hAnsi="Book Antiqua"/>
          <w:b/>
          <w:bCs/>
          <w:sz w:val="24"/>
          <w:szCs w:val="24"/>
          <w:lang w:val="es-ES"/>
        </w:rPr>
        <w:t xml:space="preserve">MPS 1: </w:t>
      </w:r>
      <w:r w:rsidRPr="00202200">
        <w:rPr>
          <w:rFonts w:ascii="Book Antiqua" w:hAnsi="Book Antiqua"/>
          <w:sz w:val="24"/>
          <w:szCs w:val="24"/>
          <w:lang w:val="es-ES"/>
        </w:rPr>
        <w:t xml:space="preserve">Se estima rara en PR. Frecuencia en </w:t>
      </w:r>
      <w:proofErr w:type="gramStart"/>
      <w:r w:rsidRPr="00202200">
        <w:rPr>
          <w:rFonts w:ascii="Book Antiqua" w:hAnsi="Book Antiqua"/>
          <w:sz w:val="24"/>
          <w:szCs w:val="24"/>
          <w:lang w:val="es-ES"/>
        </w:rPr>
        <w:t>EE.UU.</w:t>
      </w:r>
      <w:proofErr w:type="gramEnd"/>
      <w:r w:rsidRPr="00202200">
        <w:rPr>
          <w:rFonts w:ascii="Book Antiqua" w:hAnsi="Book Antiqua"/>
          <w:sz w:val="24"/>
          <w:szCs w:val="24"/>
          <w:lang w:val="es-ES"/>
        </w:rPr>
        <w:t xml:space="preserve">: 1/72,133. El tratamiento de trasplante de células hematopoyéticas </w:t>
      </w:r>
      <w:r w:rsidR="00167B42" w:rsidRPr="00202200">
        <w:rPr>
          <w:rFonts w:ascii="Book Antiqua" w:hAnsi="Book Antiqua"/>
          <w:sz w:val="24"/>
          <w:szCs w:val="24"/>
          <w:lang w:val="es-ES"/>
        </w:rPr>
        <w:t>no</w:t>
      </w:r>
      <w:r w:rsidRPr="00202200">
        <w:rPr>
          <w:rFonts w:ascii="Book Antiqua" w:hAnsi="Book Antiqua"/>
          <w:sz w:val="24"/>
          <w:szCs w:val="24"/>
          <w:lang w:val="es-ES"/>
        </w:rPr>
        <w:t xml:space="preserve"> está disponible en PR. Recomienda estudio piloto.</w:t>
      </w:r>
    </w:p>
    <w:p w14:paraId="1CFF6DB8" w14:textId="77777777" w:rsidR="00195B28" w:rsidRPr="00202200" w:rsidRDefault="00A26B59">
      <w:pPr>
        <w:spacing w:after="80"/>
        <w:ind w:left="720" w:hanging="360"/>
        <w:jc w:val="both"/>
        <w:rPr>
          <w:rFonts w:ascii="Book Antiqua" w:hAnsi="Book Antiqua"/>
          <w:sz w:val="24"/>
          <w:szCs w:val="24"/>
          <w:lang w:val="es-ES"/>
        </w:rPr>
      </w:pPr>
      <w:r w:rsidRPr="00202200">
        <w:rPr>
          <w:rFonts w:ascii="Book Antiqua" w:hAnsi="Book Antiqua"/>
          <w:b/>
          <w:bCs/>
          <w:sz w:val="24"/>
          <w:szCs w:val="24"/>
          <w:lang w:val="es-ES"/>
        </w:rPr>
        <w:t xml:space="preserve">Krabbe infantil: </w:t>
      </w:r>
      <w:r w:rsidRPr="00202200">
        <w:rPr>
          <w:rFonts w:ascii="Book Antiqua" w:hAnsi="Book Antiqua"/>
          <w:sz w:val="24"/>
          <w:szCs w:val="24"/>
          <w:lang w:val="es-ES"/>
        </w:rPr>
        <w:t xml:space="preserve">Extremadamente rara; se predice un caso cada 20 años en PR. Frecuencia en </w:t>
      </w:r>
      <w:proofErr w:type="gramStart"/>
      <w:r w:rsidRPr="00202200">
        <w:rPr>
          <w:rFonts w:ascii="Book Antiqua" w:hAnsi="Book Antiqua"/>
          <w:sz w:val="24"/>
          <w:szCs w:val="24"/>
          <w:lang w:val="es-ES"/>
        </w:rPr>
        <w:t>EE.UU.</w:t>
      </w:r>
      <w:proofErr w:type="gramEnd"/>
      <w:r w:rsidRPr="00202200">
        <w:rPr>
          <w:rFonts w:ascii="Book Antiqua" w:hAnsi="Book Antiqua"/>
          <w:sz w:val="24"/>
          <w:szCs w:val="24"/>
          <w:lang w:val="es-ES"/>
        </w:rPr>
        <w:t>: 1/394,000. El tratamiento debe comenzar antes de los 30 días de nacido, lo cual es difícil de lograr en el sistema actual. Trasplante no disponible en PR.</w:t>
      </w:r>
    </w:p>
    <w:p w14:paraId="0E20F281" w14:textId="77777777" w:rsidR="00195B28" w:rsidRPr="00202200" w:rsidRDefault="00195B28">
      <w:pPr>
        <w:rPr>
          <w:rFonts w:ascii="Book Antiqua" w:hAnsi="Book Antiqua"/>
          <w:sz w:val="24"/>
          <w:szCs w:val="24"/>
          <w:lang w:val="es-ES"/>
        </w:rPr>
      </w:pPr>
    </w:p>
    <w:p w14:paraId="210408DB" w14:textId="7DD55852" w:rsidR="00195B28" w:rsidRPr="00202200" w:rsidRDefault="00167B42" w:rsidP="00202200">
      <w:pPr>
        <w:ind w:firstLine="720"/>
        <w:jc w:val="both"/>
        <w:rPr>
          <w:rFonts w:ascii="Book Antiqua" w:hAnsi="Book Antiqua"/>
          <w:sz w:val="24"/>
          <w:szCs w:val="24"/>
          <w:lang w:val="es-ES"/>
        </w:rPr>
      </w:pPr>
      <w:r w:rsidRPr="00202200">
        <w:rPr>
          <w:rFonts w:ascii="Book Antiqua" w:hAnsi="Book Antiqua"/>
          <w:sz w:val="24"/>
          <w:szCs w:val="24"/>
          <w:lang w:val="es-ES"/>
        </w:rPr>
        <w:t>Se</w:t>
      </w:r>
      <w:r w:rsidR="00A26B59" w:rsidRPr="00202200">
        <w:rPr>
          <w:rFonts w:ascii="Book Antiqua" w:hAnsi="Book Antiqua"/>
          <w:sz w:val="24"/>
          <w:szCs w:val="24"/>
          <w:lang w:val="es-ES"/>
        </w:rPr>
        <w:t xml:space="preserve"> recomendó realizar un </w:t>
      </w:r>
      <w:r w:rsidR="00A26B59" w:rsidRPr="00202200">
        <w:rPr>
          <w:rFonts w:ascii="Book Antiqua" w:hAnsi="Book Antiqua"/>
          <w:b/>
          <w:bCs/>
          <w:i/>
          <w:iCs/>
          <w:sz w:val="24"/>
          <w:szCs w:val="24"/>
          <w:lang w:val="es-ES"/>
        </w:rPr>
        <w:t>estudio piloto</w:t>
      </w:r>
      <w:r w:rsidR="00A26B59" w:rsidRPr="00202200">
        <w:rPr>
          <w:rFonts w:ascii="Book Antiqua" w:hAnsi="Book Antiqua"/>
          <w:sz w:val="24"/>
          <w:szCs w:val="24"/>
          <w:lang w:val="es-ES"/>
        </w:rPr>
        <w:t xml:space="preserve"> para las condiciones lisosomales (Pompe, MPS1 y Krabbe), similar al ejecutado por el estado de Nueva York, antes de su inclusión </w:t>
      </w:r>
      <w:proofErr w:type="spellStart"/>
      <w:r w:rsidR="00A26B59" w:rsidRPr="00202200">
        <w:rPr>
          <w:rFonts w:ascii="Book Antiqua" w:hAnsi="Book Antiqua"/>
          <w:sz w:val="24"/>
          <w:szCs w:val="24"/>
          <w:lang w:val="es-ES"/>
        </w:rPr>
        <w:lastRenderedPageBreak/>
        <w:t>mandatoria</w:t>
      </w:r>
      <w:proofErr w:type="spellEnd"/>
      <w:r w:rsidR="00A26B59" w:rsidRPr="00202200">
        <w:rPr>
          <w:rFonts w:ascii="Book Antiqua" w:hAnsi="Book Antiqua"/>
          <w:sz w:val="24"/>
          <w:szCs w:val="24"/>
          <w:lang w:val="es-ES"/>
        </w:rPr>
        <w:t>. Destacó que los costos anuales incluyen reactivos superiores a $100,000 y mantenimiento de equipos de aproximadamente $133,000. Solicitó que se actualicen las estadísticas citadas en la legislación y que la implementación se coordine con el Consejo de Enfermedades Hereditarias.</w:t>
      </w:r>
    </w:p>
    <w:p w14:paraId="32D48E6A" w14:textId="77777777" w:rsidR="00195B28" w:rsidRPr="00202200" w:rsidRDefault="00195B28">
      <w:pPr>
        <w:rPr>
          <w:rFonts w:ascii="Book Antiqua" w:hAnsi="Book Antiqua"/>
          <w:sz w:val="24"/>
          <w:szCs w:val="24"/>
          <w:lang w:val="es-ES"/>
        </w:rPr>
      </w:pPr>
    </w:p>
    <w:p w14:paraId="1F685A54" w14:textId="7CAA389F" w:rsidR="00195B28" w:rsidRPr="00202200" w:rsidRDefault="00A26B59" w:rsidP="00167B42">
      <w:pPr>
        <w:jc w:val="center"/>
        <w:rPr>
          <w:rFonts w:ascii="Book Antiqua" w:hAnsi="Book Antiqua"/>
          <w:sz w:val="24"/>
          <w:szCs w:val="24"/>
          <w:lang w:val="es-ES"/>
        </w:rPr>
      </w:pPr>
      <w:r w:rsidRPr="00202200">
        <w:rPr>
          <w:rFonts w:ascii="Book Antiqua" w:hAnsi="Book Antiqua"/>
          <w:b/>
          <w:bCs/>
          <w:sz w:val="24"/>
          <w:szCs w:val="24"/>
          <w:u w:val="single"/>
          <w:lang w:val="es-ES"/>
        </w:rPr>
        <w:t>Departamento de Salud</w:t>
      </w:r>
      <w:r w:rsidRPr="00202200">
        <w:rPr>
          <w:rFonts w:ascii="Book Antiqua" w:hAnsi="Book Antiqua"/>
          <w:i/>
          <w:iCs/>
          <w:sz w:val="24"/>
          <w:szCs w:val="24"/>
          <w:lang w:val="es-ES"/>
        </w:rPr>
        <w:t xml:space="preserve"> (19 de mayo de 2025)</w:t>
      </w:r>
    </w:p>
    <w:p w14:paraId="015E143C" w14:textId="77777777" w:rsidR="00195B28" w:rsidRPr="00202200" w:rsidRDefault="00195B28">
      <w:pPr>
        <w:rPr>
          <w:rFonts w:ascii="Book Antiqua" w:hAnsi="Book Antiqua"/>
          <w:sz w:val="24"/>
          <w:szCs w:val="24"/>
          <w:lang w:val="es-ES"/>
        </w:rPr>
      </w:pPr>
    </w:p>
    <w:p w14:paraId="113AF71D"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El Departamento de Salud sometió memorial en el que reconoció el fin loable de la medida, pero </w:t>
      </w:r>
      <w:r w:rsidRPr="00202200">
        <w:rPr>
          <w:rFonts w:ascii="Book Antiqua" w:hAnsi="Book Antiqua"/>
          <w:b/>
          <w:bCs/>
          <w:sz w:val="24"/>
          <w:szCs w:val="24"/>
          <w:lang w:val="es-ES"/>
        </w:rPr>
        <w:t>no endosó</w:t>
      </w:r>
      <w:r w:rsidRPr="00202200">
        <w:rPr>
          <w:rFonts w:ascii="Book Antiqua" w:hAnsi="Book Antiqua"/>
          <w:sz w:val="24"/>
          <w:szCs w:val="24"/>
          <w:lang w:val="es-ES"/>
        </w:rPr>
        <w:t xml:space="preserve"> el proyecto. Su objeción no se fundamenta en el mérito científico de las condiciones propuestas, sino en una consideración </w:t>
      </w:r>
      <w:r w:rsidRPr="00202200">
        <w:rPr>
          <w:rFonts w:ascii="Book Antiqua" w:hAnsi="Book Antiqua"/>
          <w:b/>
          <w:bCs/>
          <w:i/>
          <w:iCs/>
          <w:sz w:val="24"/>
          <w:szCs w:val="24"/>
          <w:lang w:val="es-ES"/>
        </w:rPr>
        <w:t>procedimental</w:t>
      </w:r>
      <w:r w:rsidRPr="00202200">
        <w:rPr>
          <w:rFonts w:ascii="Book Antiqua" w:hAnsi="Book Antiqua"/>
          <w:sz w:val="24"/>
          <w:szCs w:val="24"/>
          <w:lang w:val="es-ES"/>
        </w:rPr>
        <w:t xml:space="preserve">: el Departamento sostiene que, conforme a la Ley 84 de 1987 y particularmente a la Ley 129-2015, el Consejo de Enfermedades Hereditarias de Puerto Rico—en coordinación con el Departamento—mantiene la potestad de incluir condiciones en el panel de </w:t>
      </w:r>
      <w:proofErr w:type="spellStart"/>
      <w:r w:rsidRPr="00202200">
        <w:rPr>
          <w:rFonts w:ascii="Book Antiqua" w:hAnsi="Book Antiqua"/>
          <w:sz w:val="24"/>
          <w:szCs w:val="24"/>
          <w:lang w:val="es-ES"/>
        </w:rPr>
        <w:t>cernimiento</w:t>
      </w:r>
      <w:proofErr w:type="spellEnd"/>
      <w:r w:rsidRPr="00202200">
        <w:rPr>
          <w:rFonts w:ascii="Book Antiqua" w:hAnsi="Book Antiqua"/>
          <w:sz w:val="24"/>
          <w:szCs w:val="24"/>
          <w:lang w:val="es-ES"/>
        </w:rPr>
        <w:t xml:space="preserve"> neonatal conforme a los adelantos médicos, sin necesidad de acudir a la Asamblea Legislativa.</w:t>
      </w:r>
    </w:p>
    <w:p w14:paraId="1E26BCF0" w14:textId="77777777" w:rsidR="00195B28" w:rsidRPr="00202200" w:rsidRDefault="00195B28">
      <w:pPr>
        <w:rPr>
          <w:rFonts w:ascii="Book Antiqua" w:hAnsi="Book Antiqua"/>
          <w:sz w:val="24"/>
          <w:szCs w:val="24"/>
          <w:lang w:val="es-ES"/>
        </w:rPr>
      </w:pPr>
    </w:p>
    <w:p w14:paraId="4F2AFCA8"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El memorial enfatizó que el Consejo de Enfermedades Hereditarias agrupa a expertos que realizan la evaluación científica necesaria, y que las decisiones sobre inclusión o exclusión de condiciones deberían fundamentarse en evidencia científica presentada a dicho Consejo, no en legislación.</w:t>
      </w:r>
    </w:p>
    <w:p w14:paraId="3F2B9F15" w14:textId="77777777" w:rsidR="00195B28" w:rsidRPr="00202200" w:rsidRDefault="00195B28">
      <w:pPr>
        <w:rPr>
          <w:rFonts w:ascii="Book Antiqua" w:hAnsi="Book Antiqua"/>
          <w:sz w:val="24"/>
          <w:szCs w:val="24"/>
          <w:lang w:val="es-ES"/>
        </w:rPr>
      </w:pPr>
    </w:p>
    <w:p w14:paraId="0782D19B" w14:textId="294B2F1D" w:rsidR="00195B28" w:rsidRPr="00202200" w:rsidRDefault="00A26B59" w:rsidP="00167B42">
      <w:pPr>
        <w:jc w:val="center"/>
        <w:rPr>
          <w:rFonts w:ascii="Book Antiqua" w:hAnsi="Book Antiqua"/>
          <w:sz w:val="24"/>
          <w:szCs w:val="24"/>
          <w:lang w:val="es-ES"/>
        </w:rPr>
      </w:pPr>
      <w:r w:rsidRPr="00202200">
        <w:rPr>
          <w:rFonts w:ascii="Book Antiqua" w:hAnsi="Book Antiqua"/>
          <w:b/>
          <w:bCs/>
          <w:sz w:val="24"/>
          <w:szCs w:val="24"/>
          <w:u w:val="single"/>
          <w:lang w:val="es-ES"/>
        </w:rPr>
        <w:t>Asociación Médica de Puerto Rico (AMPR)</w:t>
      </w:r>
      <w:r w:rsidRPr="00202200">
        <w:rPr>
          <w:rFonts w:ascii="Book Antiqua" w:hAnsi="Book Antiqua"/>
          <w:i/>
          <w:iCs/>
          <w:sz w:val="24"/>
          <w:szCs w:val="24"/>
          <w:lang w:val="es-ES"/>
        </w:rPr>
        <w:t xml:space="preserve"> (8 de mayo de 2025)</w:t>
      </w:r>
    </w:p>
    <w:p w14:paraId="40AFED24" w14:textId="77777777" w:rsidR="00195B28" w:rsidRPr="00202200" w:rsidRDefault="00195B28">
      <w:pPr>
        <w:rPr>
          <w:rFonts w:ascii="Book Antiqua" w:hAnsi="Book Antiqua"/>
          <w:sz w:val="24"/>
          <w:szCs w:val="24"/>
          <w:lang w:val="es-ES"/>
        </w:rPr>
      </w:pPr>
    </w:p>
    <w:p w14:paraId="38296302"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La AMPR </w:t>
      </w:r>
      <w:r w:rsidRPr="00202200">
        <w:rPr>
          <w:rFonts w:ascii="Book Antiqua" w:hAnsi="Book Antiqua"/>
          <w:b/>
          <w:bCs/>
          <w:sz w:val="24"/>
          <w:szCs w:val="24"/>
          <w:lang w:val="es-ES"/>
        </w:rPr>
        <w:t>endosó sin reservas</w:t>
      </w:r>
      <w:r w:rsidRPr="00202200">
        <w:rPr>
          <w:rFonts w:ascii="Book Antiqua" w:hAnsi="Book Antiqua"/>
          <w:sz w:val="24"/>
          <w:szCs w:val="24"/>
          <w:lang w:val="es-ES"/>
        </w:rPr>
        <w:t xml:space="preserve"> el P. de la C. 251, recomendando su aprobación. La asociación enfatizó que las cuatro condiciones propuestas son trastornos genéticos críticos cuya detección temprana puede prevenir daños irreversibles, discapacidad severa y muerte prematura, además de reducir costos médicos a largo plazo mediante intervenciones terapéuticas oportunas. La ponencia presentó un análisis detallado de cada condición, destacando la disponibilidad de tratamientos específicos que mejoran significativamente el pronóstico cuando se administran precozmente.</w:t>
      </w:r>
    </w:p>
    <w:p w14:paraId="26C810E8" w14:textId="77777777" w:rsidR="00195B28" w:rsidRPr="00202200" w:rsidRDefault="00195B28">
      <w:pPr>
        <w:rPr>
          <w:rFonts w:ascii="Book Antiqua" w:hAnsi="Book Antiqua"/>
          <w:sz w:val="24"/>
          <w:szCs w:val="24"/>
          <w:lang w:val="es-ES"/>
        </w:rPr>
      </w:pPr>
    </w:p>
    <w:p w14:paraId="7BDB8FD8" w14:textId="684A729B" w:rsidR="00195B28" w:rsidRPr="00202200" w:rsidRDefault="00373201">
      <w:pPr>
        <w:jc w:val="center"/>
        <w:rPr>
          <w:rFonts w:ascii="Book Antiqua" w:hAnsi="Book Antiqua"/>
          <w:sz w:val="24"/>
          <w:szCs w:val="24"/>
          <w:lang w:val="es-ES"/>
        </w:rPr>
      </w:pPr>
      <w:r>
        <w:rPr>
          <w:rFonts w:ascii="Book Antiqua" w:hAnsi="Book Antiqua"/>
          <w:b/>
          <w:bCs/>
          <w:sz w:val="24"/>
          <w:szCs w:val="24"/>
          <w:lang w:val="es-ES"/>
        </w:rPr>
        <w:t>III.</w:t>
      </w:r>
      <w:r w:rsidR="00A26B59" w:rsidRPr="00202200">
        <w:rPr>
          <w:rFonts w:ascii="Book Antiqua" w:hAnsi="Book Antiqua"/>
          <w:b/>
          <w:bCs/>
          <w:sz w:val="24"/>
          <w:szCs w:val="24"/>
          <w:lang w:val="es-ES"/>
        </w:rPr>
        <w:t xml:space="preserve"> IMPACTO FISCAL</w:t>
      </w:r>
    </w:p>
    <w:p w14:paraId="312A4ADB" w14:textId="77777777" w:rsidR="00195B28" w:rsidRPr="00202200" w:rsidRDefault="00195B28">
      <w:pPr>
        <w:rPr>
          <w:rFonts w:ascii="Book Antiqua" w:hAnsi="Book Antiqua"/>
          <w:sz w:val="24"/>
          <w:szCs w:val="24"/>
          <w:lang w:val="es-ES"/>
        </w:rPr>
      </w:pPr>
    </w:p>
    <w:p w14:paraId="3E8670ED" w14:textId="7C5B2611"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Según </w:t>
      </w:r>
      <w:r w:rsidR="00167B42" w:rsidRPr="00202200">
        <w:rPr>
          <w:rFonts w:ascii="Book Antiqua" w:hAnsi="Book Antiqua"/>
          <w:sz w:val="24"/>
          <w:szCs w:val="24"/>
          <w:lang w:val="es-ES"/>
        </w:rPr>
        <w:t xml:space="preserve">el </w:t>
      </w:r>
      <w:r w:rsidRPr="00202200">
        <w:rPr>
          <w:rFonts w:ascii="Book Antiqua" w:hAnsi="Book Antiqua"/>
          <w:sz w:val="24"/>
          <w:szCs w:val="24"/>
          <w:lang w:val="es-ES"/>
        </w:rPr>
        <w:t xml:space="preserve">PCN del RCM-UPR, la implementación de pruebas para desórdenes lisosomales requiere reactivos con un costo anual superior a $100,000 y mantenimiento de equipos de aproximadamente $133,000. Adicionalmente, ciertas condiciones requieren una segunda prueba para reducir falsos positivos, lo que puede implicar el envío de muestras a laboratorios en Estados Unidos continental, así como pruebas genéticas confirmatorias. Estos costos deberán ser atendidos a través de las asignaciones presupuestarias del Departamento de Salud y del Programa de </w:t>
      </w:r>
      <w:proofErr w:type="spellStart"/>
      <w:r w:rsidRPr="00202200">
        <w:rPr>
          <w:rFonts w:ascii="Book Antiqua" w:hAnsi="Book Antiqua"/>
          <w:sz w:val="24"/>
          <w:szCs w:val="24"/>
          <w:lang w:val="es-ES"/>
        </w:rPr>
        <w:t>Cernimiento</w:t>
      </w:r>
      <w:proofErr w:type="spellEnd"/>
      <w:r w:rsidRPr="00202200">
        <w:rPr>
          <w:rFonts w:ascii="Book Antiqua" w:hAnsi="Book Antiqua"/>
          <w:sz w:val="24"/>
          <w:szCs w:val="24"/>
          <w:lang w:val="es-ES"/>
        </w:rPr>
        <w:t xml:space="preserve"> Neonatal del RCM-UPR, conforme se identifiquen en la reglamentación correspondiente.</w:t>
      </w:r>
    </w:p>
    <w:p w14:paraId="7784584E" w14:textId="77777777" w:rsidR="00202200" w:rsidRDefault="00202200" w:rsidP="00373201">
      <w:pPr>
        <w:rPr>
          <w:rFonts w:ascii="Book Antiqua" w:hAnsi="Book Antiqua"/>
          <w:b/>
          <w:bCs/>
          <w:sz w:val="24"/>
          <w:szCs w:val="24"/>
          <w:lang w:val="es-ES"/>
        </w:rPr>
      </w:pPr>
    </w:p>
    <w:p w14:paraId="1072B183" w14:textId="4A6803C7" w:rsidR="00195B28" w:rsidRPr="00202200" w:rsidRDefault="00373201">
      <w:pPr>
        <w:jc w:val="center"/>
        <w:rPr>
          <w:rFonts w:ascii="Book Antiqua" w:hAnsi="Book Antiqua"/>
          <w:sz w:val="24"/>
          <w:szCs w:val="24"/>
          <w:lang w:val="es-ES"/>
        </w:rPr>
      </w:pPr>
      <w:r>
        <w:rPr>
          <w:rFonts w:ascii="Book Antiqua" w:hAnsi="Book Antiqua"/>
          <w:b/>
          <w:bCs/>
          <w:sz w:val="24"/>
          <w:szCs w:val="24"/>
          <w:lang w:val="es-ES"/>
        </w:rPr>
        <w:lastRenderedPageBreak/>
        <w:t>V</w:t>
      </w:r>
      <w:r w:rsidR="00A26B59" w:rsidRPr="00202200">
        <w:rPr>
          <w:rFonts w:ascii="Book Antiqua" w:hAnsi="Book Antiqua"/>
          <w:b/>
          <w:bCs/>
          <w:sz w:val="24"/>
          <w:szCs w:val="24"/>
          <w:lang w:val="es-ES"/>
        </w:rPr>
        <w:t>I. CONCLUSIÓN</w:t>
      </w:r>
    </w:p>
    <w:p w14:paraId="1B10A18B" w14:textId="77777777" w:rsidR="00195B28" w:rsidRPr="00202200" w:rsidRDefault="00195B28">
      <w:pPr>
        <w:rPr>
          <w:rFonts w:ascii="Book Antiqua" w:hAnsi="Book Antiqua"/>
          <w:sz w:val="24"/>
          <w:szCs w:val="24"/>
          <w:lang w:val="es-ES"/>
        </w:rPr>
      </w:pPr>
    </w:p>
    <w:p w14:paraId="681218C0"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Tras un análisis exhaustivo de los memoriales sometidos, esta Comisión concluye que el P. de la C. 251, según enmendado, responde a una necesidad legítima y apremiante en materia de salud pública infantil. Existe consenso médico-científico—avalado por la AMPR y respaldado técnicamente por el PCN del RCM-UPR—sobre la importancia crítica de la detección temprana de estas enfermedades hereditarias.</w:t>
      </w:r>
    </w:p>
    <w:p w14:paraId="194C73FD" w14:textId="77777777" w:rsidR="00195B28" w:rsidRPr="00202200" w:rsidRDefault="00195B28">
      <w:pPr>
        <w:rPr>
          <w:rFonts w:ascii="Book Antiqua" w:hAnsi="Book Antiqua"/>
          <w:sz w:val="24"/>
          <w:szCs w:val="24"/>
          <w:lang w:val="es-ES"/>
        </w:rPr>
      </w:pPr>
    </w:p>
    <w:p w14:paraId="250A7C84"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La objeción del Departamento de Salud es de carácter procedimental, no sustantivo. Esta Comisión reconoce la importancia del rol del Consejo de Enfermedades Hereditarias en la evaluación científica, pero entiende que la acción legislativa está justificada ante la urgencia de proteger a los recién nacidos puertorriqueños, particularmente con condiciones como ALD y SMA cuya implementación ya está en proceso avanzado. La inclusión de la disposición transitoria para estudio piloto de condiciones lisosomales atiende responsablemente las consideraciones técnicas del PCN.</w:t>
      </w:r>
    </w:p>
    <w:p w14:paraId="1E5791FF" w14:textId="77777777" w:rsidR="00195B28" w:rsidRPr="00202200" w:rsidRDefault="00195B28">
      <w:pPr>
        <w:rPr>
          <w:rFonts w:ascii="Book Antiqua" w:hAnsi="Book Antiqua"/>
          <w:sz w:val="24"/>
          <w:szCs w:val="24"/>
          <w:lang w:val="es-ES"/>
        </w:rPr>
      </w:pPr>
    </w:p>
    <w:p w14:paraId="2088A666" w14:textId="77777777" w:rsidR="00195B28" w:rsidRPr="00202200" w:rsidRDefault="00A26B59" w:rsidP="00167B42">
      <w:pPr>
        <w:ind w:firstLine="720"/>
        <w:jc w:val="both"/>
        <w:rPr>
          <w:rFonts w:ascii="Book Antiqua" w:hAnsi="Book Antiqua"/>
          <w:sz w:val="24"/>
          <w:szCs w:val="24"/>
          <w:lang w:val="es-ES"/>
        </w:rPr>
      </w:pPr>
      <w:r w:rsidRPr="00202200">
        <w:rPr>
          <w:rFonts w:ascii="Book Antiqua" w:hAnsi="Book Antiqua"/>
          <w:sz w:val="24"/>
          <w:szCs w:val="24"/>
          <w:lang w:val="es-ES"/>
        </w:rPr>
        <w:t xml:space="preserve">Las enmiendas propuestas fortalecen la medida añadiendo SMA—de particular relevancia por su alta incidencia en Puerto Rico—y el Síndrome de </w:t>
      </w:r>
      <w:proofErr w:type="spellStart"/>
      <w:r w:rsidRPr="00202200">
        <w:rPr>
          <w:rFonts w:ascii="Book Antiqua" w:hAnsi="Book Antiqua"/>
          <w:sz w:val="24"/>
          <w:szCs w:val="24"/>
          <w:lang w:val="es-ES"/>
        </w:rPr>
        <w:t>Hermansky-Pudlak</w:t>
      </w:r>
      <w:proofErr w:type="spellEnd"/>
      <w:r w:rsidRPr="00202200">
        <w:rPr>
          <w:rFonts w:ascii="Book Antiqua" w:hAnsi="Book Antiqua"/>
          <w:sz w:val="24"/>
          <w:szCs w:val="24"/>
          <w:lang w:val="es-ES"/>
        </w:rPr>
        <w:t>, cuya prevalencia en la población puertorriqueña es una de las más altas del mundo.</w:t>
      </w:r>
    </w:p>
    <w:p w14:paraId="35646AD3" w14:textId="77777777" w:rsidR="00195B28" w:rsidRPr="00202200" w:rsidRDefault="00195B28">
      <w:pPr>
        <w:rPr>
          <w:rFonts w:ascii="Book Antiqua" w:hAnsi="Book Antiqua"/>
          <w:sz w:val="24"/>
          <w:szCs w:val="24"/>
          <w:lang w:val="es-ES"/>
        </w:rPr>
      </w:pPr>
    </w:p>
    <w:p w14:paraId="6862FD56" w14:textId="6C2F73EB" w:rsidR="00195B28" w:rsidRPr="00202200" w:rsidRDefault="00A26B59" w:rsidP="00167B42">
      <w:pPr>
        <w:ind w:firstLine="720"/>
        <w:jc w:val="both"/>
        <w:rPr>
          <w:rFonts w:ascii="Book Antiqua" w:hAnsi="Book Antiqua"/>
          <w:sz w:val="24"/>
          <w:szCs w:val="24"/>
          <w:lang w:val="es-ES"/>
        </w:rPr>
      </w:pPr>
      <w:r w:rsidRPr="00202200">
        <w:rPr>
          <w:rFonts w:ascii="Book Antiqua" w:hAnsi="Book Antiqua"/>
          <w:b/>
          <w:bCs/>
          <w:sz w:val="24"/>
          <w:szCs w:val="24"/>
          <w:lang w:val="es-ES"/>
        </w:rPr>
        <w:t>POR LOS FUNDAMENTOS ANTES EXPUESTOS</w:t>
      </w:r>
      <w:r w:rsidRPr="00202200">
        <w:rPr>
          <w:rFonts w:ascii="Book Antiqua" w:hAnsi="Book Antiqua"/>
          <w:sz w:val="24"/>
          <w:szCs w:val="24"/>
          <w:lang w:val="es-ES"/>
        </w:rPr>
        <w:t xml:space="preserve">, la Comisión de Salud somete el presente Informe Positivo en el que recomienda a este Augusto Cuerpo la </w:t>
      </w:r>
      <w:r w:rsidRPr="00202200">
        <w:rPr>
          <w:rFonts w:ascii="Book Antiqua" w:hAnsi="Book Antiqua"/>
          <w:b/>
          <w:bCs/>
          <w:sz w:val="24"/>
          <w:szCs w:val="24"/>
          <w:lang w:val="es-ES"/>
        </w:rPr>
        <w:t xml:space="preserve">aprobación del P. de la C. 251 </w:t>
      </w:r>
      <w:r w:rsidRPr="00202200">
        <w:rPr>
          <w:rFonts w:ascii="Book Antiqua" w:hAnsi="Book Antiqua"/>
          <w:sz w:val="24"/>
          <w:szCs w:val="24"/>
          <w:lang w:val="es-ES"/>
        </w:rPr>
        <w:t xml:space="preserve">con </w:t>
      </w:r>
      <w:r w:rsidR="00167B42" w:rsidRPr="00202200">
        <w:rPr>
          <w:rFonts w:ascii="Book Antiqua" w:hAnsi="Book Antiqua"/>
          <w:sz w:val="24"/>
          <w:szCs w:val="24"/>
          <w:lang w:val="es-ES"/>
        </w:rPr>
        <w:t xml:space="preserve">las </w:t>
      </w:r>
      <w:r w:rsidRPr="00202200">
        <w:rPr>
          <w:rFonts w:ascii="Book Antiqua" w:hAnsi="Book Antiqua"/>
          <w:sz w:val="24"/>
          <w:szCs w:val="24"/>
          <w:lang w:val="es-ES"/>
        </w:rPr>
        <w:t>enmiendas</w:t>
      </w:r>
      <w:r w:rsidR="00167B42" w:rsidRPr="00202200">
        <w:rPr>
          <w:rFonts w:ascii="Book Antiqua" w:hAnsi="Book Antiqua"/>
          <w:sz w:val="24"/>
          <w:szCs w:val="24"/>
          <w:lang w:val="es-ES"/>
        </w:rPr>
        <w:t xml:space="preserve"> contenidas en el </w:t>
      </w:r>
      <w:proofErr w:type="spellStart"/>
      <w:r w:rsidR="00167B42" w:rsidRPr="00202200">
        <w:rPr>
          <w:rFonts w:ascii="Book Antiqua" w:hAnsi="Book Antiqua"/>
          <w:sz w:val="24"/>
          <w:szCs w:val="24"/>
          <w:lang w:val="es-ES"/>
        </w:rPr>
        <w:t>entirillado</w:t>
      </w:r>
      <w:proofErr w:type="spellEnd"/>
      <w:r w:rsidR="00167B42" w:rsidRPr="00202200">
        <w:rPr>
          <w:rFonts w:ascii="Book Antiqua" w:hAnsi="Book Antiqua"/>
          <w:sz w:val="24"/>
          <w:szCs w:val="24"/>
          <w:lang w:val="es-ES"/>
        </w:rPr>
        <w:t xml:space="preserve"> electrónico que se aneja a este Informe. </w:t>
      </w:r>
    </w:p>
    <w:p w14:paraId="389DC088" w14:textId="77777777" w:rsidR="00195B28" w:rsidRPr="00202200" w:rsidRDefault="00195B28">
      <w:pPr>
        <w:rPr>
          <w:rFonts w:ascii="Book Antiqua" w:hAnsi="Book Antiqua"/>
          <w:sz w:val="24"/>
          <w:szCs w:val="24"/>
          <w:lang w:val="es-ES"/>
        </w:rPr>
      </w:pPr>
    </w:p>
    <w:p w14:paraId="068B7997" w14:textId="77777777" w:rsidR="00195B28" w:rsidRPr="00202200" w:rsidRDefault="00A26B59" w:rsidP="00202200">
      <w:pPr>
        <w:rPr>
          <w:rFonts w:ascii="Book Antiqua" w:hAnsi="Book Antiqua"/>
          <w:sz w:val="24"/>
          <w:szCs w:val="24"/>
          <w:lang w:val="es-ES"/>
        </w:rPr>
      </w:pPr>
      <w:r w:rsidRPr="00202200">
        <w:rPr>
          <w:rFonts w:ascii="Book Antiqua" w:hAnsi="Book Antiqua"/>
          <w:sz w:val="24"/>
          <w:szCs w:val="24"/>
          <w:lang w:val="es-ES"/>
        </w:rPr>
        <w:t>Respetuosamente sometido,</w:t>
      </w:r>
    </w:p>
    <w:p w14:paraId="2FC45219" w14:textId="77777777" w:rsidR="00195B28" w:rsidRPr="00202200" w:rsidRDefault="00195B28">
      <w:pPr>
        <w:rPr>
          <w:rFonts w:ascii="Book Antiqua" w:hAnsi="Book Antiqua"/>
          <w:sz w:val="24"/>
          <w:szCs w:val="24"/>
          <w:lang w:val="es-ES"/>
        </w:rPr>
      </w:pPr>
    </w:p>
    <w:p w14:paraId="198E646C" w14:textId="77777777" w:rsidR="00195B28" w:rsidRPr="00202200" w:rsidRDefault="00195B28">
      <w:pPr>
        <w:rPr>
          <w:rFonts w:ascii="Book Antiqua" w:hAnsi="Book Antiqua"/>
          <w:sz w:val="24"/>
          <w:szCs w:val="24"/>
          <w:lang w:val="es-ES"/>
        </w:rPr>
      </w:pPr>
    </w:p>
    <w:p w14:paraId="6DB7CE43" w14:textId="77777777" w:rsidR="00195B28" w:rsidRPr="00202200" w:rsidRDefault="00A26B59" w:rsidP="00202200">
      <w:pPr>
        <w:rPr>
          <w:rFonts w:ascii="Book Antiqua" w:hAnsi="Book Antiqua"/>
          <w:sz w:val="24"/>
          <w:szCs w:val="24"/>
          <w:lang w:val="es-ES"/>
        </w:rPr>
      </w:pPr>
      <w:r w:rsidRPr="00202200">
        <w:rPr>
          <w:rFonts w:ascii="Book Antiqua" w:hAnsi="Book Antiqua"/>
          <w:b/>
          <w:bCs/>
          <w:i/>
          <w:iCs/>
          <w:sz w:val="24"/>
          <w:szCs w:val="24"/>
          <w:lang w:val="es-ES"/>
        </w:rPr>
        <w:t>Hon. Gabriel Rodríguez Aguiló</w:t>
      </w:r>
    </w:p>
    <w:p w14:paraId="3F70D8C0" w14:textId="77777777" w:rsidR="00195B28" w:rsidRPr="00202200" w:rsidRDefault="00A26B59" w:rsidP="00202200">
      <w:pPr>
        <w:rPr>
          <w:rFonts w:ascii="Book Antiqua" w:hAnsi="Book Antiqua"/>
          <w:sz w:val="24"/>
          <w:szCs w:val="24"/>
          <w:lang w:val="es-ES"/>
        </w:rPr>
      </w:pPr>
      <w:r w:rsidRPr="00202200">
        <w:rPr>
          <w:rFonts w:ascii="Book Antiqua" w:hAnsi="Book Antiqua"/>
          <w:sz w:val="24"/>
          <w:szCs w:val="24"/>
          <w:lang w:val="es-ES"/>
        </w:rPr>
        <w:t>Presidente</w:t>
      </w:r>
    </w:p>
    <w:p w14:paraId="673813B1" w14:textId="77777777" w:rsidR="00195B28" w:rsidRPr="00202200" w:rsidRDefault="00A26B59" w:rsidP="00202200">
      <w:pPr>
        <w:rPr>
          <w:rFonts w:ascii="Book Antiqua" w:hAnsi="Book Antiqua"/>
          <w:sz w:val="24"/>
          <w:szCs w:val="24"/>
          <w:lang w:val="es-ES"/>
        </w:rPr>
      </w:pPr>
      <w:r w:rsidRPr="00202200">
        <w:rPr>
          <w:rFonts w:ascii="Book Antiqua" w:hAnsi="Book Antiqua"/>
          <w:sz w:val="24"/>
          <w:szCs w:val="24"/>
          <w:lang w:val="es-ES"/>
        </w:rPr>
        <w:t>Comisión de Salud</w:t>
      </w:r>
    </w:p>
    <w:sectPr w:rsidR="00195B28" w:rsidRPr="00202200" w:rsidSect="001D77A7">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05EC5" w14:textId="77777777" w:rsidR="00536E9B" w:rsidRDefault="00536E9B" w:rsidP="001D77A7">
      <w:r>
        <w:separator/>
      </w:r>
    </w:p>
  </w:endnote>
  <w:endnote w:type="continuationSeparator" w:id="0">
    <w:p w14:paraId="289CDFF5" w14:textId="77777777" w:rsidR="00536E9B" w:rsidRDefault="00536E9B" w:rsidP="001D7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774F8" w14:textId="77777777" w:rsidR="00536E9B" w:rsidRDefault="00536E9B" w:rsidP="001D77A7">
      <w:r>
        <w:separator/>
      </w:r>
    </w:p>
  </w:footnote>
  <w:footnote w:type="continuationSeparator" w:id="0">
    <w:p w14:paraId="0026DCE8" w14:textId="77777777" w:rsidR="00536E9B" w:rsidRDefault="00536E9B" w:rsidP="001D7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602103"/>
      <w:docPartObj>
        <w:docPartGallery w:val="Page Numbers (Top of Page)"/>
        <w:docPartUnique/>
      </w:docPartObj>
    </w:sdtPr>
    <w:sdtEndPr>
      <w:rPr>
        <w:rStyle w:val="PageNumber"/>
      </w:rPr>
    </w:sdtEndPr>
    <w:sdtContent>
      <w:p w14:paraId="574A53A3" w14:textId="56EDF370" w:rsidR="001D77A7" w:rsidRDefault="001D77A7"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8023224" w14:textId="77777777" w:rsidR="001D77A7" w:rsidRDefault="001D77A7" w:rsidP="001D77A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0569825"/>
      <w:docPartObj>
        <w:docPartGallery w:val="Page Numbers (Top of Page)"/>
        <w:docPartUnique/>
      </w:docPartObj>
    </w:sdtPr>
    <w:sdtEndPr>
      <w:rPr>
        <w:rStyle w:val="PageNumber"/>
        <w:rFonts w:ascii="Book Antiqua" w:hAnsi="Book Antiqua"/>
        <w:b/>
        <w:bCs/>
      </w:rPr>
    </w:sdtEndPr>
    <w:sdtContent>
      <w:p w14:paraId="0B8ADADD" w14:textId="77777777" w:rsidR="001D77A7" w:rsidRPr="00373201" w:rsidRDefault="001D77A7" w:rsidP="00373201">
        <w:pPr>
          <w:pStyle w:val="Header"/>
          <w:rPr>
            <w:rStyle w:val="PageNumber"/>
            <w:rFonts w:ascii="Book Antiqua" w:hAnsi="Book Antiqua"/>
            <w:b/>
            <w:bCs/>
            <w:lang w:val="es-PR"/>
          </w:rPr>
        </w:pPr>
        <w:r w:rsidRPr="00373201">
          <w:rPr>
            <w:rStyle w:val="PageNumber"/>
            <w:rFonts w:ascii="Book Antiqua" w:hAnsi="Book Antiqua"/>
            <w:b/>
            <w:bCs/>
            <w:lang w:val="es-PR"/>
          </w:rPr>
          <w:t>Comisión de Salud</w:t>
        </w:r>
      </w:p>
      <w:p w14:paraId="27CEB88A" w14:textId="77777777" w:rsidR="00373201" w:rsidRPr="00626E24" w:rsidRDefault="001D77A7" w:rsidP="00373201">
        <w:pPr>
          <w:pStyle w:val="Header"/>
          <w:rPr>
            <w:rStyle w:val="PageNumber"/>
            <w:rFonts w:ascii="Book Antiqua" w:hAnsi="Book Antiqua"/>
            <w:b/>
            <w:bCs/>
            <w:lang w:val="es-ES"/>
          </w:rPr>
        </w:pPr>
        <w:r w:rsidRPr="00373201">
          <w:rPr>
            <w:rStyle w:val="PageNumber"/>
            <w:rFonts w:ascii="Book Antiqua" w:hAnsi="Book Antiqua"/>
            <w:b/>
            <w:bCs/>
            <w:lang w:val="es-PR"/>
          </w:rPr>
          <w:t>Informe</w:t>
        </w:r>
        <w:r w:rsidR="00202200" w:rsidRPr="00373201">
          <w:rPr>
            <w:rStyle w:val="PageNumber"/>
            <w:rFonts w:ascii="Book Antiqua" w:hAnsi="Book Antiqua"/>
            <w:b/>
            <w:bCs/>
            <w:lang w:val="es-PR"/>
          </w:rPr>
          <w:t xml:space="preserve"> Positivo PC 251</w:t>
        </w:r>
        <w:r w:rsidR="00202200" w:rsidRPr="00373201">
          <w:rPr>
            <w:rStyle w:val="PageNumber"/>
            <w:rFonts w:ascii="Book Antiqua" w:hAnsi="Book Antiqua"/>
            <w:b/>
            <w:bCs/>
            <w:lang w:val="es-PR"/>
          </w:rPr>
          <w:tab/>
        </w:r>
        <w:r w:rsidR="00202200" w:rsidRPr="00373201">
          <w:rPr>
            <w:rStyle w:val="PageNumber"/>
            <w:rFonts w:ascii="Book Antiqua" w:hAnsi="Book Antiqua"/>
            <w:b/>
            <w:bCs/>
            <w:lang w:val="es-PR"/>
          </w:rPr>
          <w:tab/>
        </w:r>
        <w:r w:rsidRPr="00373201">
          <w:rPr>
            <w:rStyle w:val="PageNumber"/>
            <w:rFonts w:ascii="Book Antiqua" w:hAnsi="Book Antiqua"/>
            <w:b/>
            <w:bCs/>
            <w:lang w:val="es-PR"/>
          </w:rPr>
          <w:t xml:space="preserve">Página </w:t>
        </w:r>
        <w:r w:rsidRPr="00373201">
          <w:rPr>
            <w:rStyle w:val="PageNumber"/>
            <w:rFonts w:ascii="Book Antiqua" w:hAnsi="Book Antiqua"/>
            <w:b/>
            <w:bCs/>
          </w:rPr>
          <w:fldChar w:fldCharType="begin"/>
        </w:r>
        <w:r w:rsidRPr="00373201">
          <w:rPr>
            <w:rStyle w:val="PageNumber"/>
            <w:rFonts w:ascii="Book Antiqua" w:hAnsi="Book Antiqua"/>
            <w:b/>
            <w:bCs/>
            <w:lang w:val="es-PR"/>
          </w:rPr>
          <w:instrText xml:space="preserve"> PAGE </w:instrText>
        </w:r>
        <w:r w:rsidRPr="00373201">
          <w:rPr>
            <w:rStyle w:val="PageNumber"/>
            <w:rFonts w:ascii="Book Antiqua" w:hAnsi="Book Antiqua"/>
            <w:b/>
            <w:bCs/>
          </w:rPr>
          <w:fldChar w:fldCharType="separate"/>
        </w:r>
        <w:r w:rsidRPr="00373201">
          <w:rPr>
            <w:rStyle w:val="PageNumber"/>
            <w:rFonts w:ascii="Book Antiqua" w:hAnsi="Book Antiqua"/>
            <w:b/>
            <w:bCs/>
            <w:noProof/>
            <w:lang w:val="es-PR"/>
          </w:rPr>
          <w:t>2</w:t>
        </w:r>
        <w:r w:rsidRPr="00373201">
          <w:rPr>
            <w:rStyle w:val="PageNumber"/>
            <w:rFonts w:ascii="Book Antiqua" w:hAnsi="Book Antiqua"/>
            <w:b/>
            <w:bCs/>
          </w:rPr>
          <w:fldChar w:fldCharType="end"/>
        </w:r>
      </w:p>
      <w:p w14:paraId="4E40B3A2" w14:textId="1E7BB8CE" w:rsidR="001D77A7" w:rsidRPr="00373201" w:rsidRDefault="00373201" w:rsidP="00373201">
        <w:pPr>
          <w:pStyle w:val="Header"/>
          <w:rPr>
            <w:rStyle w:val="PageNumber"/>
            <w:rFonts w:ascii="Book Antiqua" w:hAnsi="Book Antiqua"/>
            <w:b/>
            <w:bCs/>
          </w:rPr>
        </w:pPr>
        <w:r w:rsidRPr="00373201">
          <w:rPr>
            <w:rStyle w:val="PageNumber"/>
            <w:rFonts w:ascii="Book Antiqua" w:hAnsi="Book Antiqua"/>
            <w:b/>
            <w:bCs/>
          </w:rPr>
          <w:t>_____________________________________________________________________________________________</w:t>
        </w:r>
      </w:p>
    </w:sdtContent>
  </w:sdt>
  <w:p w14:paraId="626816D4" w14:textId="77777777" w:rsidR="001D77A7" w:rsidRPr="00C51FCB" w:rsidRDefault="001D77A7" w:rsidP="001D77A7">
    <w:pPr>
      <w:pStyle w:val="Header"/>
      <w:ind w:right="360"/>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E73A3"/>
    <w:multiLevelType w:val="hybridMultilevel"/>
    <w:tmpl w:val="F5BE2E48"/>
    <w:lvl w:ilvl="0" w:tplc="F88CA8D0">
      <w:start w:val="1"/>
      <w:numFmt w:val="bullet"/>
      <w:lvlText w:val="●"/>
      <w:lvlJc w:val="left"/>
      <w:pPr>
        <w:ind w:left="720" w:hanging="360"/>
      </w:pPr>
    </w:lvl>
    <w:lvl w:ilvl="1" w:tplc="D4020244">
      <w:start w:val="1"/>
      <w:numFmt w:val="bullet"/>
      <w:lvlText w:val="○"/>
      <w:lvlJc w:val="left"/>
      <w:pPr>
        <w:ind w:left="1440" w:hanging="360"/>
      </w:pPr>
    </w:lvl>
    <w:lvl w:ilvl="2" w:tplc="3AB80F06">
      <w:start w:val="1"/>
      <w:numFmt w:val="bullet"/>
      <w:lvlText w:val="■"/>
      <w:lvlJc w:val="left"/>
      <w:pPr>
        <w:ind w:left="2160" w:hanging="360"/>
      </w:pPr>
    </w:lvl>
    <w:lvl w:ilvl="3" w:tplc="CDCA38E6">
      <w:start w:val="1"/>
      <w:numFmt w:val="bullet"/>
      <w:lvlText w:val="●"/>
      <w:lvlJc w:val="left"/>
      <w:pPr>
        <w:ind w:left="2880" w:hanging="360"/>
      </w:pPr>
    </w:lvl>
    <w:lvl w:ilvl="4" w:tplc="4E5EBEEC">
      <w:start w:val="1"/>
      <w:numFmt w:val="bullet"/>
      <w:lvlText w:val="○"/>
      <w:lvlJc w:val="left"/>
      <w:pPr>
        <w:ind w:left="3600" w:hanging="360"/>
      </w:pPr>
    </w:lvl>
    <w:lvl w:ilvl="5" w:tplc="03A8B02E">
      <w:start w:val="1"/>
      <w:numFmt w:val="bullet"/>
      <w:lvlText w:val="■"/>
      <w:lvlJc w:val="left"/>
      <w:pPr>
        <w:ind w:left="4320" w:hanging="360"/>
      </w:pPr>
    </w:lvl>
    <w:lvl w:ilvl="6" w:tplc="477484DA">
      <w:start w:val="1"/>
      <w:numFmt w:val="bullet"/>
      <w:lvlText w:val="●"/>
      <w:lvlJc w:val="left"/>
      <w:pPr>
        <w:ind w:left="5040" w:hanging="360"/>
      </w:pPr>
    </w:lvl>
    <w:lvl w:ilvl="7" w:tplc="FD4274C4">
      <w:start w:val="1"/>
      <w:numFmt w:val="bullet"/>
      <w:lvlText w:val="●"/>
      <w:lvlJc w:val="left"/>
      <w:pPr>
        <w:ind w:left="5760" w:hanging="360"/>
      </w:pPr>
    </w:lvl>
    <w:lvl w:ilvl="8" w:tplc="16760FC0">
      <w:start w:val="1"/>
      <w:numFmt w:val="bullet"/>
      <w:lvlText w:val="●"/>
      <w:lvlJc w:val="left"/>
      <w:pPr>
        <w:ind w:left="6480" w:hanging="360"/>
      </w:pPr>
    </w:lvl>
  </w:abstractNum>
  <w:num w:numId="1" w16cid:durableId="12864726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B28"/>
    <w:rsid w:val="00167B42"/>
    <w:rsid w:val="00195B28"/>
    <w:rsid w:val="001D56A3"/>
    <w:rsid w:val="001D77A7"/>
    <w:rsid w:val="00202200"/>
    <w:rsid w:val="00373201"/>
    <w:rsid w:val="004B2107"/>
    <w:rsid w:val="00536E9B"/>
    <w:rsid w:val="005F611C"/>
    <w:rsid w:val="00626E24"/>
    <w:rsid w:val="00A26B59"/>
    <w:rsid w:val="00A324E0"/>
    <w:rsid w:val="00B95C8B"/>
    <w:rsid w:val="00C01DC8"/>
    <w:rsid w:val="00C51FCB"/>
    <w:rsid w:val="00C66F10"/>
    <w:rsid w:val="00C7151D"/>
    <w:rsid w:val="00DE6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472BD"/>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1D77A7"/>
    <w:pPr>
      <w:tabs>
        <w:tab w:val="center" w:pos="4680"/>
        <w:tab w:val="right" w:pos="9360"/>
      </w:tabs>
    </w:pPr>
  </w:style>
  <w:style w:type="character" w:customStyle="1" w:styleId="HeaderChar">
    <w:name w:val="Header Char"/>
    <w:basedOn w:val="DefaultParagraphFont"/>
    <w:link w:val="Header"/>
    <w:uiPriority w:val="99"/>
    <w:rsid w:val="001D77A7"/>
  </w:style>
  <w:style w:type="character" w:styleId="PageNumber">
    <w:name w:val="page number"/>
    <w:basedOn w:val="DefaultParagraphFont"/>
    <w:uiPriority w:val="99"/>
    <w:semiHidden/>
    <w:unhideWhenUsed/>
    <w:rsid w:val="001D77A7"/>
  </w:style>
  <w:style w:type="paragraph" w:styleId="Footer">
    <w:name w:val="footer"/>
    <w:basedOn w:val="Normal"/>
    <w:link w:val="FooterChar"/>
    <w:uiPriority w:val="99"/>
    <w:unhideWhenUsed/>
    <w:rsid w:val="001D77A7"/>
    <w:pPr>
      <w:tabs>
        <w:tab w:val="center" w:pos="4680"/>
        <w:tab w:val="right" w:pos="9360"/>
      </w:tabs>
    </w:pPr>
  </w:style>
  <w:style w:type="character" w:customStyle="1" w:styleId="FooterChar">
    <w:name w:val="Footer Char"/>
    <w:basedOn w:val="DefaultParagraphFont"/>
    <w:link w:val="Footer"/>
    <w:uiPriority w:val="99"/>
    <w:rsid w:val="001D7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1241</Words>
  <Characters>7079</Characters>
  <Application>Microsoft Office Word</Application>
  <DocSecurity>4</DocSecurity>
  <Lines>58</Lines>
  <Paragraphs>16</Paragraphs>
  <ScaleCrop>false</ScaleCrop>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2026-04-27T18:49:00Z</dcterms:created>
  <dcterms:modified xsi:type="dcterms:W3CDTF">2026-04-27T18:49:00Z</dcterms:modified>
</cp:coreProperties>
</file>