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D03FE" w14:textId="62E73BE4" w:rsidR="00A85857" w:rsidRPr="00A979AA" w:rsidRDefault="00A34054" w:rsidP="00A34054">
      <w:pPr>
        <w:rPr>
          <w:rFonts w:ascii="Book Antiqua" w:hAnsi="Book Antiqua"/>
          <w:b/>
          <w:szCs w:val="24"/>
          <w:lang w:val="es-ES_tradnl"/>
        </w:rPr>
      </w:pPr>
      <w:r w:rsidRPr="00A85857">
        <w:rPr>
          <w:rFonts w:ascii="Book Antiqua" w:hAnsi="Book Antiqua"/>
          <w:b/>
          <w:szCs w:val="24"/>
          <w:lang w:val="es-ES_tradnl"/>
        </w:rPr>
        <w:t>(</w:t>
      </w:r>
      <w:r w:rsidR="00B25CCC" w:rsidRPr="00A85857">
        <w:rPr>
          <w:rFonts w:ascii="Book Antiqua" w:hAnsi="Book Antiqua"/>
          <w:b/>
          <w:szCs w:val="24"/>
          <w:lang w:val="es-ES_tradnl"/>
        </w:rPr>
        <w:t xml:space="preserve">R. </w:t>
      </w:r>
      <w:r w:rsidR="00546458" w:rsidRPr="00A85857">
        <w:rPr>
          <w:rFonts w:ascii="Book Antiqua" w:hAnsi="Book Antiqua"/>
          <w:b/>
          <w:szCs w:val="24"/>
          <w:lang w:val="es-ES_tradnl"/>
        </w:rPr>
        <w:t xml:space="preserve">C. </w:t>
      </w:r>
      <w:r w:rsidR="00B25CCC" w:rsidRPr="00A85857">
        <w:rPr>
          <w:rFonts w:ascii="Book Antiqua" w:hAnsi="Book Antiqua"/>
          <w:b/>
          <w:szCs w:val="24"/>
          <w:lang w:val="es-ES_tradnl"/>
        </w:rPr>
        <w:t xml:space="preserve">de la C. </w:t>
      </w:r>
      <w:r w:rsidR="001F7684" w:rsidRPr="00A85857">
        <w:rPr>
          <w:rFonts w:ascii="Book Antiqua" w:hAnsi="Book Antiqua"/>
          <w:b/>
          <w:szCs w:val="24"/>
          <w:lang w:val="es-ES_tradnl"/>
        </w:rPr>
        <w:t>3</w:t>
      </w:r>
      <w:r w:rsidR="00612A47" w:rsidRPr="00A85857">
        <w:rPr>
          <w:rFonts w:ascii="Book Antiqua" w:hAnsi="Book Antiqua"/>
          <w:b/>
          <w:szCs w:val="24"/>
          <w:lang w:val="es-ES_tradnl"/>
        </w:rPr>
        <w:t>4</w:t>
      </w:r>
      <w:r w:rsidRPr="00A85857">
        <w:rPr>
          <w:rFonts w:ascii="Book Antiqua" w:hAnsi="Book Antiqua"/>
          <w:b/>
          <w:szCs w:val="24"/>
          <w:lang w:val="es-ES_tradnl"/>
        </w:rPr>
        <w:t>)</w:t>
      </w:r>
    </w:p>
    <w:p w14:paraId="7F548EDD" w14:textId="77777777" w:rsidR="00B25CCC" w:rsidRPr="001A514A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20A5D176" w14:textId="4721C947" w:rsidR="00480F2F" w:rsidRDefault="00480F2F" w:rsidP="00480F2F">
      <w:pPr>
        <w:jc w:val="center"/>
        <w:rPr>
          <w:rFonts w:ascii="Book Antiqua" w:hAnsi="Book Antiqua"/>
          <w:b/>
          <w:caps/>
          <w:sz w:val="28"/>
          <w:lang w:val="es-ES_tradnl"/>
        </w:rPr>
      </w:pPr>
      <w:r>
        <w:rPr>
          <w:rFonts w:ascii="Book Antiqua" w:hAnsi="Book Antiqua"/>
          <w:b/>
          <w:caps/>
          <w:sz w:val="28"/>
          <w:lang w:val="es-ES_tradnl"/>
        </w:rPr>
        <w:t>RESOLUCIón CONJUNTA NÚM. 2</w:t>
      </w:r>
    </w:p>
    <w:p w14:paraId="146157E3" w14:textId="12FED3DB" w:rsidR="00480F2F" w:rsidRDefault="00480F2F" w:rsidP="00480F2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b/>
          <w:caps/>
          <w:sz w:val="28"/>
          <w:lang w:val="es-ES_tradnl"/>
        </w:rPr>
        <w:t>1 DE ABRIL DE 2025</w:t>
      </w:r>
    </w:p>
    <w:p w14:paraId="03532262" w14:textId="77777777" w:rsidR="00B25CCC" w:rsidRPr="001A514A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6D3E9CAD" w14:textId="0D49E44D" w:rsidR="006A3297" w:rsidRPr="001A514A" w:rsidRDefault="006A3297" w:rsidP="00A34054">
      <w:pPr>
        <w:ind w:left="567" w:hanging="657"/>
        <w:jc w:val="both"/>
        <w:rPr>
          <w:rFonts w:ascii="Book Antiqua" w:hAnsi="Book Antiqua"/>
          <w:szCs w:val="24"/>
          <w:lang w:val="es-ES_tradnl"/>
        </w:rPr>
      </w:pPr>
      <w:bookmarkStart w:id="0" w:name="_Hlk493581372"/>
      <w:r w:rsidRPr="001A514A">
        <w:rPr>
          <w:rFonts w:ascii="Book Antiqua" w:hAnsi="Book Antiqua"/>
          <w:szCs w:val="24"/>
          <w:lang w:val="es-ES_tradnl"/>
        </w:rPr>
        <w:t xml:space="preserve">Para designar la Carretera PR-863 ubicada en el Municipio de </w:t>
      </w:r>
      <w:proofErr w:type="spellStart"/>
      <w:r w:rsidRPr="001A514A">
        <w:rPr>
          <w:rFonts w:ascii="Book Antiqua" w:hAnsi="Book Antiqua"/>
          <w:szCs w:val="24"/>
          <w:lang w:val="es-ES_tradnl"/>
        </w:rPr>
        <w:t>Toa</w:t>
      </w:r>
      <w:proofErr w:type="spellEnd"/>
      <w:r w:rsidRPr="001A514A">
        <w:rPr>
          <w:rFonts w:ascii="Book Antiqua" w:hAnsi="Book Antiqua"/>
          <w:szCs w:val="24"/>
          <w:lang w:val="es-ES_tradnl"/>
        </w:rPr>
        <w:t xml:space="preserve"> Baja con el nombre de “José ‘Manrique’ Rivera Torres”, en reconocimiento a su destacada trayectoria educativa, comunitaria, espiritual y familiar, así como a su impacto perdurable en el Barrio Pájaros-Candelaria y el Municipio de </w:t>
      </w:r>
      <w:proofErr w:type="spellStart"/>
      <w:r w:rsidRPr="001A514A">
        <w:rPr>
          <w:rFonts w:ascii="Book Antiqua" w:hAnsi="Book Antiqua"/>
          <w:szCs w:val="24"/>
          <w:lang w:val="es-ES_tradnl"/>
        </w:rPr>
        <w:t>Toa</w:t>
      </w:r>
      <w:proofErr w:type="spellEnd"/>
      <w:r w:rsidRPr="001A514A">
        <w:rPr>
          <w:rFonts w:ascii="Book Antiqua" w:hAnsi="Book Antiqua"/>
          <w:szCs w:val="24"/>
          <w:lang w:val="es-ES_tradnl"/>
        </w:rPr>
        <w:t xml:space="preserve"> Baja, Puerto Rico, y para otros fines relacionados.</w:t>
      </w:r>
    </w:p>
    <w:p w14:paraId="160D8678" w14:textId="77777777" w:rsidR="006A3297" w:rsidRPr="001A514A" w:rsidRDefault="006A3297" w:rsidP="006A3297">
      <w:pPr>
        <w:jc w:val="both"/>
        <w:rPr>
          <w:rFonts w:ascii="Book Antiqua" w:hAnsi="Book Antiqua"/>
          <w:szCs w:val="24"/>
          <w:lang w:val="es-ES_tradnl"/>
        </w:rPr>
      </w:pPr>
    </w:p>
    <w:bookmarkEnd w:id="0"/>
    <w:p w14:paraId="1FEC798B" w14:textId="77777777" w:rsidR="006A3297" w:rsidRDefault="006A3297" w:rsidP="00A34054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1A514A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3AC98608" w14:textId="77777777" w:rsidR="00A34054" w:rsidRPr="001A514A" w:rsidRDefault="00A34054" w:rsidP="00A34054">
      <w:pPr>
        <w:jc w:val="center"/>
        <w:rPr>
          <w:rFonts w:ascii="Book Antiqua" w:hAnsi="Book Antiqua"/>
          <w:caps/>
          <w:szCs w:val="24"/>
          <w:lang w:val="es-ES_tradnl"/>
        </w:rPr>
      </w:pPr>
    </w:p>
    <w:p w14:paraId="4DFF9C11" w14:textId="61AAEFDF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1A514A">
        <w:rPr>
          <w:rFonts w:ascii="Book Antiqua" w:eastAsiaTheme="minorHAnsi" w:hAnsi="Book Antiqua"/>
          <w:szCs w:val="24"/>
          <w:lang w:val="es-ES_tradnl"/>
        </w:rPr>
        <w:t xml:space="preserve">     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José “Manrique” Rivera Torres, visionario y agente de cambio en su comunidad, encarnó los valores de dedicación, liderazgo y compromiso social que definieron su trayectoria de vida. Nacido el 13 de octubre de 1945 en el Barrio Dajaos de Bayamón, fue hijo de Juan Bautista Rivera y 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>Perpetua Torres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. Desde muy joven demostró un profundo sentido de responsabilidad hacia su familia y comunidad, cualidades que lo acompañarían durante toda su vida. A los cuatro años, su familia se estableció en el sector Capitán del Barrio Pájaros de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 xml:space="preserve"> Baja, donde sus aportaciones dejarían una huella indeleble.</w:t>
      </w:r>
    </w:p>
    <w:p w14:paraId="50562D9D" w14:textId="77777777" w:rsidR="00A34054" w:rsidRPr="00A34054" w:rsidRDefault="00A34054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62131875" w14:textId="62D44EB5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szCs w:val="24"/>
          <w:lang w:val="es-ES_tradnl"/>
        </w:rPr>
        <w:t xml:space="preserve">     Con una formación académica destacada que incluyó un Bachillerato en Educación con especialidad en Matemáticas y una Maestría en Administración y Supervisión de la Universidad de Puerto Rico, Manrique Rivera dedicó su vida profesional a la educación y al desarrollo de su comunidad. Como maestro, Director</w:t>
      </w:r>
      <w:r w:rsidR="00A34054">
        <w:rPr>
          <w:rFonts w:ascii="Book Antiqua" w:eastAsiaTheme="minorHAnsi" w:hAnsi="Book Antiqua"/>
          <w:szCs w:val="24"/>
          <w:lang w:val="es-ES_tradnl"/>
        </w:rPr>
        <w:t xml:space="preserve"> 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de Escuela y Superintendente, impactó profundamente a generaciones de estudiantes, inculcando valores de responsabilidad, disciplina y superación personal. Además, su rol como profesor de Matemáticas y Psicología Educativa </w:t>
      </w:r>
      <w:r w:rsidR="004D24B0" w:rsidRPr="00A34054">
        <w:rPr>
          <w:rFonts w:ascii="Book Antiqua" w:eastAsiaTheme="minorHAnsi" w:hAnsi="Book Antiqua"/>
          <w:szCs w:val="24"/>
          <w:lang w:val="es-ES_tradnl"/>
        </w:rPr>
        <w:t>de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777C2A" w:rsidRPr="00A34054">
        <w:rPr>
          <w:rFonts w:ascii="Book Antiqua" w:eastAsiaTheme="minorHAnsi" w:hAnsi="Book Antiqua"/>
          <w:szCs w:val="24"/>
          <w:lang w:val="es-ES_tradnl"/>
        </w:rPr>
        <w:t>la Universidad de Puerto Rico</w:t>
      </w:r>
      <w:r w:rsidR="0063774C" w:rsidRPr="00A34054">
        <w:rPr>
          <w:rFonts w:ascii="Book Antiqua" w:eastAsiaTheme="minorHAnsi" w:hAnsi="Book Antiqua"/>
          <w:szCs w:val="24"/>
          <w:lang w:val="es-ES_tradnl"/>
        </w:rPr>
        <w:t>,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 Recinto de Ciencias Médicas</w:t>
      </w:r>
      <w:r w:rsidR="004D24B0" w:rsidRPr="00A34054">
        <w:rPr>
          <w:rFonts w:ascii="Book Antiqua" w:eastAsiaTheme="minorHAnsi" w:hAnsi="Book Antiqua"/>
          <w:szCs w:val="24"/>
          <w:lang w:val="es-ES_tradnl"/>
        </w:rPr>
        <w:t>,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 evidenció su compromiso con la excelencia académica y el desarrollo profesional de sus alumnos.</w:t>
      </w:r>
    </w:p>
    <w:p w14:paraId="221D6858" w14:textId="77777777" w:rsidR="00A34054" w:rsidRPr="00A34054" w:rsidRDefault="00A34054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119E2A02" w14:textId="1E12350E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szCs w:val="24"/>
          <w:lang w:val="es-ES_tradnl"/>
        </w:rPr>
        <w:t xml:space="preserve">     A nivel comunitario, José “Manrique” Rivera Torres fue un líder incansable y creativo. Su visión dio origen a campamentos de verano que se convirtieron en plataformas para el aprendizaje, la recreación y el desarrollo de habilidades de liderazgo entre los jóvenes del Barrio Pájaros. Fue miembro activo de la Iglesi</w:t>
      </w:r>
      <w:r w:rsidR="001A514A" w:rsidRPr="00A34054">
        <w:rPr>
          <w:rFonts w:ascii="Book Antiqua" w:eastAsiaTheme="minorHAnsi" w:hAnsi="Book Antiqua"/>
          <w:szCs w:val="24"/>
          <w:lang w:val="es-ES_tradnl"/>
        </w:rPr>
        <w:t>a Cristiana Discípulos de Cristo en Pájaros-Candelaria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 y desempeñó un papel fundamental en la organización del emblemático Maratón Abraham Rosa 10K, donde lideró actividades como el tradicional Recorrido de la Antorcha fomentando la participación comunitaria y el sentido de pertenencia.</w:t>
      </w:r>
    </w:p>
    <w:p w14:paraId="78D046EE" w14:textId="77777777" w:rsidR="00A34054" w:rsidRPr="00A34054" w:rsidRDefault="00A34054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7BBE389C" w14:textId="19BB8FF6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szCs w:val="24"/>
          <w:lang w:val="es-ES_tradnl"/>
        </w:rPr>
        <w:t xml:space="preserve">     Manrique también demostró su compromiso con el emprendimiento al fundar, junto a sus hijos, un negocio de alquiler de equipos y materiales para actividades, cónsono </w:t>
      </w:r>
      <w:r w:rsidRPr="00A34054">
        <w:rPr>
          <w:rFonts w:ascii="Book Antiqua" w:eastAsiaTheme="minorHAnsi" w:hAnsi="Book Antiqua"/>
          <w:szCs w:val="24"/>
          <w:lang w:val="es-ES_tradnl"/>
        </w:rPr>
        <w:lastRenderedPageBreak/>
        <w:t xml:space="preserve">con su disposición y habilidad de organizar todo tipo de eventos. Este esfuerzo familiar no solo apoyó a la economía local, sino que también se convirtió en un punto de referencia para la organización de eventos en la región. Su creatividad se extendió al ámbito musical, donde organizó y dirigió 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la Banda de la Iglesia y posteriormente </w:t>
      </w:r>
      <w:r w:rsidRPr="00A34054">
        <w:rPr>
          <w:rFonts w:ascii="Book Antiqua" w:eastAsiaTheme="minorHAnsi" w:hAnsi="Book Antiqua"/>
          <w:szCs w:val="24"/>
          <w:lang w:val="es-ES_tradnl"/>
        </w:rPr>
        <w:t>la orquesta de salsa cristiana “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Genazareth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>”, promoviendo valores positivos a través de la música.</w:t>
      </w:r>
    </w:p>
    <w:p w14:paraId="0E924EA6" w14:textId="77777777" w:rsidR="00A34054" w:rsidRPr="00A34054" w:rsidRDefault="00A34054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4B8EA71E" w14:textId="717D6D68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szCs w:val="24"/>
          <w:lang w:val="es-ES_tradnl"/>
        </w:rPr>
        <w:t xml:space="preserve">     Su vida estuvo profundamente marcada por su amor y dedicación a su familia. Manrique compartió su vida con su esposa, Minerva Morales Hernández, con quien formó un hogar lleno de valores y amor junto a sus hijos José Manrique,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Ranerlee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 xml:space="preserve">,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Rionalee</w:t>
      </w:r>
      <w:proofErr w:type="spellEnd"/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 (gemelos)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 y José Efraín. Su legado también incluye el cariño y ejemplo que dejó a sus cuatro nietos, quienes han heredado el orgullo por las contribuciones de su abuelo.</w:t>
      </w:r>
    </w:p>
    <w:p w14:paraId="32D906AA" w14:textId="77777777" w:rsidR="00A34054" w:rsidRPr="00A34054" w:rsidRDefault="00A34054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3AADF9D9" w14:textId="77777777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szCs w:val="24"/>
          <w:lang w:val="es-ES_tradnl"/>
        </w:rPr>
        <w:t xml:space="preserve">     En los últimos años de su vida, Manrique se capacitó como Capellán, reafirmando su vocación de servir a quienes enfrentaban momentos de dificultad y necesidad. Su compromiso con el servicio comunitario y espiritual se manifestó en cada aspecto de su vida, dejando un legado de amor al prójimo y dedicación a causas nobles.</w:t>
      </w:r>
    </w:p>
    <w:p w14:paraId="03F5AFAA" w14:textId="77777777" w:rsidR="00A34054" w:rsidRPr="00A34054" w:rsidRDefault="00A34054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7214A9ED" w14:textId="2C4FD876" w:rsidR="00546458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szCs w:val="24"/>
          <w:lang w:val="es-ES_tradnl"/>
        </w:rPr>
        <w:t xml:space="preserve">     Este reconocimiento es el resultado de un esfuerzo conjunto del Representante Pedro Julio “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Pellé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>” Santiago Guzmán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, José Efraín Rivera Morales (hijo menor de Manrique) y 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del Municipio de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 xml:space="preserve"> Baja, quienes han unido voluntades para rendir homenaje a la vida y aportaciones de José “Manrique” Rivera Torres</w:t>
      </w:r>
      <w:r w:rsidR="00681A1E" w:rsidRPr="00A34054">
        <w:rPr>
          <w:rFonts w:ascii="Book Antiqua" w:eastAsiaTheme="minorHAnsi" w:hAnsi="Book Antiqua"/>
          <w:szCs w:val="24"/>
          <w:lang w:val="es-ES_tradnl"/>
        </w:rPr>
        <w:t>,</w:t>
      </w:r>
      <w:r w:rsidR="003B68D6" w:rsidRPr="00A34054">
        <w:rPr>
          <w:rFonts w:ascii="Book Antiqua" w:eastAsiaTheme="minorHAnsi" w:hAnsi="Book Antiqua"/>
          <w:szCs w:val="24"/>
          <w:lang w:val="es-ES_tradnl"/>
        </w:rPr>
        <w:t xml:space="preserve"> permitiendo </w:t>
      </w:r>
      <w:r w:rsidR="00A81881" w:rsidRPr="00A34054">
        <w:rPr>
          <w:rFonts w:ascii="Book Antiqua" w:eastAsiaTheme="minorHAnsi" w:hAnsi="Book Antiqua"/>
          <w:szCs w:val="24"/>
          <w:lang w:val="es-ES_tradnl"/>
        </w:rPr>
        <w:t>retomar</w:t>
      </w:r>
      <w:r w:rsidR="00D47F42" w:rsidRPr="00A34054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3E1E15" w:rsidRPr="00A34054">
        <w:rPr>
          <w:rFonts w:ascii="Book Antiqua" w:eastAsiaTheme="minorHAnsi" w:hAnsi="Book Antiqua"/>
          <w:szCs w:val="24"/>
          <w:lang w:val="es-ES_tradnl"/>
        </w:rPr>
        <w:t>dicha resolución</w:t>
      </w:r>
      <w:r w:rsidR="00F9468F" w:rsidRPr="00A34054">
        <w:rPr>
          <w:rFonts w:ascii="Book Antiqua" w:eastAsiaTheme="minorHAnsi" w:hAnsi="Book Antiqua"/>
          <w:szCs w:val="24"/>
          <w:lang w:val="es-ES_tradnl"/>
        </w:rPr>
        <w:t>, presentada en la pasada Asamble</w:t>
      </w:r>
      <w:r w:rsidR="007F3DC7" w:rsidRPr="00A34054">
        <w:rPr>
          <w:rFonts w:ascii="Book Antiqua" w:eastAsiaTheme="minorHAnsi" w:hAnsi="Book Antiqua"/>
          <w:szCs w:val="24"/>
          <w:lang w:val="es-ES_tradnl"/>
        </w:rPr>
        <w:t>a Legislativa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. Su legado perdura como un ejemplo de dedicación, altruismo y liderazgo. Sus contribuciones, tanto en el ámbito educativo como en el comunitario, han transformado vidas y fortalecido los lazos sociales en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 xml:space="preserve"> Baja.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 La Carretera PR-863 tiene una longitud de </w:t>
      </w:r>
      <w:r w:rsidR="00130E7C" w:rsidRPr="00A34054">
        <w:rPr>
          <w:rFonts w:ascii="Book Antiqua" w:eastAsiaTheme="minorHAnsi" w:hAnsi="Book Antiqua"/>
          <w:szCs w:val="24"/>
          <w:lang w:val="es-ES_tradnl"/>
        </w:rPr>
        <w:t>dos</w:t>
      </w:r>
      <w:r w:rsidR="00A34054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130E7C" w:rsidRPr="00A34054">
        <w:rPr>
          <w:rFonts w:ascii="Book Antiqua" w:eastAsiaTheme="minorHAnsi" w:hAnsi="Book Antiqua"/>
          <w:szCs w:val="24"/>
          <w:lang w:val="es-ES_tradnl"/>
        </w:rPr>
        <w:t xml:space="preserve">punto cincuenta y cinco </w:t>
      </w:r>
      <w:r w:rsidR="00130E7C" w:rsidRPr="00A34054">
        <w:rPr>
          <w:rFonts w:ascii="Book Antiqua" w:eastAsiaTheme="minorHAnsi" w:hAnsi="Book Antiqua"/>
          <w:szCs w:val="24"/>
          <w:lang w:val="es-PR"/>
        </w:rPr>
        <w:t>(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>2.55</w:t>
      </w:r>
      <w:r w:rsidR="00130E7C" w:rsidRPr="00A34054">
        <w:rPr>
          <w:rFonts w:ascii="Book Antiqua" w:eastAsiaTheme="minorHAnsi" w:hAnsi="Book Antiqua"/>
          <w:szCs w:val="24"/>
          <w:lang w:val="es-ES_tradnl"/>
        </w:rPr>
        <w:t xml:space="preserve">) 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kilómetros, comenzando en la intersección con la Carretera PR-2 en el Barrio Candelaria y extendiéndose hasta la intersección con la </w:t>
      </w:r>
      <w:r w:rsidR="00FC4D58" w:rsidRPr="00A34054">
        <w:rPr>
          <w:rFonts w:ascii="Book Antiqua" w:eastAsiaTheme="minorHAnsi" w:hAnsi="Book Antiqua"/>
          <w:szCs w:val="24"/>
          <w:lang w:val="es-ES_tradnl"/>
        </w:rPr>
        <w:t xml:space="preserve">Carretera 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PR-862, donde convergen los municipios de </w:t>
      </w:r>
      <w:proofErr w:type="spellStart"/>
      <w:r w:rsidR="00546458"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 Baja, </w:t>
      </w:r>
      <w:proofErr w:type="spellStart"/>
      <w:r w:rsidR="00546458"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 Alta y Bayamón.</w:t>
      </w:r>
    </w:p>
    <w:p w14:paraId="2A02A381" w14:textId="77777777" w:rsidR="00A34054" w:rsidRPr="00A34054" w:rsidRDefault="00A34054" w:rsidP="00A34054">
      <w:pPr>
        <w:ind w:firstLine="567"/>
        <w:jc w:val="both"/>
        <w:rPr>
          <w:rFonts w:ascii="Book Antiqua" w:hAnsi="Book Antiqua"/>
          <w:szCs w:val="24"/>
          <w:lang w:val="es-ES_tradnl"/>
        </w:rPr>
      </w:pPr>
    </w:p>
    <w:p w14:paraId="58E726B4" w14:textId="52F1A511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szCs w:val="24"/>
          <w:lang w:val="es-ES_tradnl"/>
        </w:rPr>
        <w:t xml:space="preserve">     En reconocimiento a su extraordinaria trayectoria como orgullo </w:t>
      </w:r>
      <w:proofErr w:type="spellStart"/>
      <w:r w:rsidR="00546458" w:rsidRPr="00A34054">
        <w:rPr>
          <w:rFonts w:ascii="Book Antiqua" w:eastAsiaTheme="minorHAnsi" w:hAnsi="Book Antiqua"/>
          <w:szCs w:val="24"/>
          <w:lang w:val="es-ES_tradnl"/>
        </w:rPr>
        <w:t>toabajeño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>, la Asamblea Legislativa de Puerto Rico considera justo y necesario designar la Carretera PR-863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, con el nombre de José “Manrique” Rivera Torres. </w:t>
      </w:r>
      <w:r w:rsidRPr="00A34054">
        <w:rPr>
          <w:rFonts w:ascii="Book Antiqua" w:eastAsiaTheme="minorHAnsi" w:hAnsi="Book Antiqua"/>
          <w:szCs w:val="24"/>
          <w:lang w:val="es-ES_tradnl"/>
        </w:rPr>
        <w:t>Este acto perpetuará su memoria en el entorno donde dejó un impacto duradero, celebrando su vida y obra como ejemplo para las generaciones presentes y futuras.</w:t>
      </w:r>
    </w:p>
    <w:p w14:paraId="45759D9F" w14:textId="77777777" w:rsidR="00A34054" w:rsidRPr="001A514A" w:rsidRDefault="00A34054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0E609D0A" w14:textId="66A43702" w:rsidR="00B25CCC" w:rsidRPr="001A514A" w:rsidRDefault="00B25CCC" w:rsidP="00B25CCC">
      <w:pPr>
        <w:jc w:val="both"/>
        <w:rPr>
          <w:rFonts w:ascii="Book Antiqua" w:hAnsi="Book Antiqua"/>
          <w:i/>
          <w:caps/>
          <w:szCs w:val="24"/>
          <w:lang w:val="es-ES_tradnl"/>
        </w:rPr>
      </w:pPr>
      <w:r w:rsidRPr="001A514A">
        <w:rPr>
          <w:rFonts w:ascii="Book Antiqua" w:hAnsi="Book Antiqua"/>
          <w:i/>
          <w:caps/>
          <w:szCs w:val="24"/>
          <w:lang w:val="es-ES_tradnl"/>
        </w:rPr>
        <w:t xml:space="preserve">RESUéLVESE POR LA </w:t>
      </w:r>
      <w:r w:rsidR="00A85857">
        <w:rPr>
          <w:rFonts w:ascii="Book Antiqua" w:hAnsi="Book Antiqua"/>
          <w:i/>
          <w:caps/>
          <w:szCs w:val="24"/>
          <w:lang w:val="es-ES_tradnl"/>
        </w:rPr>
        <w:t>ASAMBLEA LEGISLATIVA</w:t>
      </w:r>
      <w:r w:rsidRPr="001A514A">
        <w:rPr>
          <w:rFonts w:ascii="Book Antiqua" w:hAnsi="Book Antiqua"/>
          <w:i/>
          <w:caps/>
          <w:szCs w:val="24"/>
          <w:lang w:val="es-ES_tradnl"/>
        </w:rPr>
        <w:t xml:space="preserve"> DE PUERTO RICO:</w:t>
      </w:r>
    </w:p>
    <w:p w14:paraId="4D811978" w14:textId="6E22ED31" w:rsidR="00B25CCC" w:rsidRPr="001A514A" w:rsidRDefault="00B25CCC" w:rsidP="00607459">
      <w:pPr>
        <w:ind w:firstLine="1440"/>
        <w:jc w:val="both"/>
        <w:rPr>
          <w:rFonts w:ascii="Book Antiqua" w:hAnsi="Book Antiqua"/>
          <w:szCs w:val="24"/>
          <w:lang w:val="es-ES_tradnl"/>
        </w:rPr>
        <w:sectPr w:rsidR="00B25CCC" w:rsidRPr="001A514A" w:rsidSect="00B25CCC">
          <w:headerReference w:type="even" r:id="rId8"/>
          <w:headerReference w:type="default" r:id="rId9"/>
          <w:footerReference w:type="even" r:id="rId10"/>
          <w:footerReference w:type="default" r:id="rId11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  <w:r w:rsidRPr="001A514A">
        <w:rPr>
          <w:rFonts w:ascii="Book Antiqua" w:hAnsi="Book Antiqua"/>
          <w:szCs w:val="24"/>
          <w:lang w:val="es-ES_tradnl"/>
        </w:rPr>
        <w:t xml:space="preserve"> </w:t>
      </w:r>
    </w:p>
    <w:p w14:paraId="2AB09019" w14:textId="0F152657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bCs/>
          <w:szCs w:val="24"/>
          <w:lang w:val="es-ES_tradnl"/>
        </w:rPr>
        <w:t>Sección 1.</w:t>
      </w:r>
      <w:r w:rsidR="00A34054" w:rsidRPr="00A34054">
        <w:rPr>
          <w:rFonts w:ascii="Book Antiqua" w:eastAsiaTheme="minorHAnsi" w:hAnsi="Book Antiqua"/>
          <w:szCs w:val="24"/>
          <w:lang w:val="es-ES_tradnl"/>
        </w:rPr>
        <w:t>-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>Para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 designa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>r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 la Carretera PR-863, ubicada en el Municipio de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 xml:space="preserve"> Baja, con el nombre de “José ‘Manrique’ Rivera Torres”, en reconocimiento a su destacada trayectoria educativa, comunitaria, espiritual y familiar, así como a su impacto perdurable en el Barrio Pájaros</w:t>
      </w:r>
      <w:r w:rsidR="0083249F" w:rsidRPr="00A34054">
        <w:rPr>
          <w:rFonts w:ascii="Book Antiqua" w:eastAsiaTheme="minorHAnsi" w:hAnsi="Book Antiqua"/>
          <w:szCs w:val="24"/>
          <w:lang w:val="es-ES_tradnl"/>
        </w:rPr>
        <w:t>-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Candelaria y el Municipio de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 xml:space="preserve"> Baja, Puerto Rico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>, y para otros fines relacionados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. </w:t>
      </w:r>
    </w:p>
    <w:p w14:paraId="3CB93C82" w14:textId="77777777" w:rsidR="00A34054" w:rsidRPr="00A34054" w:rsidRDefault="00A34054" w:rsidP="00A34054">
      <w:pPr>
        <w:ind w:firstLine="567"/>
        <w:jc w:val="both"/>
        <w:rPr>
          <w:rFonts w:ascii="Book Antiqua" w:hAnsi="Book Antiqua"/>
          <w:szCs w:val="24"/>
          <w:lang w:val="es-ES_tradnl"/>
        </w:rPr>
      </w:pPr>
    </w:p>
    <w:p w14:paraId="5294E998" w14:textId="66B0C2C0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bCs/>
          <w:szCs w:val="24"/>
          <w:lang w:val="es-ES_tradnl"/>
        </w:rPr>
        <w:lastRenderedPageBreak/>
        <w:t>Sección 2.</w:t>
      </w:r>
      <w:r w:rsidR="00A34054" w:rsidRPr="00A34054">
        <w:rPr>
          <w:rFonts w:ascii="Book Antiqua" w:eastAsiaTheme="minorHAnsi" w:hAnsi="Book Antiqua"/>
          <w:szCs w:val="24"/>
          <w:lang w:val="es-ES_tradnl"/>
        </w:rPr>
        <w:t>-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El Departamento de Transportación y Obras Públicas </w:t>
      </w:r>
      <w:r w:rsidR="005273CB" w:rsidRPr="00A34054">
        <w:rPr>
          <w:rFonts w:ascii="Book Antiqua" w:eastAsiaTheme="minorHAnsi" w:hAnsi="Book Antiqua"/>
          <w:szCs w:val="24"/>
          <w:lang w:val="es-ES_tradnl"/>
        </w:rPr>
        <w:t xml:space="preserve">(DTOP) 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adoptará las medidas necesarias, en colaboración y coordinación con el Municipio de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 xml:space="preserve"> Baja, para dar cumplimiento a los propósitos de esta Resolución Conjunta, incluyendo, pero no limitándose, a la nueva identificación y rotulación de la vía pública aquí designada. Además, el Departamento y el Municipio trabajarán en conjunto para realizar una actividad que celebre y honre este acontecimiento. El financiamiento y la instalación de la rotulación y la organización de la actividad podrán ser realizados por entidades públicas o privadas, siempre que medie la asesoría técnica y la aprobación del DTOP, asegurando el cumplimiento de las regulaciones aplicables a la rotulación de vías estatales.</w:t>
      </w:r>
    </w:p>
    <w:p w14:paraId="0ADDE0A7" w14:textId="77777777" w:rsidR="00A34054" w:rsidRPr="00A34054" w:rsidRDefault="006A3297" w:rsidP="00A34054">
      <w:pPr>
        <w:ind w:firstLine="567"/>
        <w:jc w:val="both"/>
        <w:rPr>
          <w:rFonts w:ascii="Book Antiqua" w:eastAsiaTheme="minorHAnsi" w:hAnsi="Book Antiqua"/>
          <w:bCs/>
          <w:szCs w:val="24"/>
          <w:lang w:val="es-ES_tradnl"/>
        </w:rPr>
      </w:pPr>
      <w:r w:rsidRPr="00A34054">
        <w:rPr>
          <w:rFonts w:ascii="Book Antiqua" w:eastAsiaTheme="minorHAnsi" w:hAnsi="Book Antiqua"/>
          <w:bCs/>
          <w:szCs w:val="24"/>
          <w:lang w:val="es-ES_tradnl"/>
        </w:rPr>
        <w:t xml:space="preserve">    </w:t>
      </w:r>
    </w:p>
    <w:p w14:paraId="1277B677" w14:textId="6E43760E" w:rsidR="00223759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bCs/>
          <w:szCs w:val="24"/>
          <w:lang w:val="es-ES_tradnl"/>
        </w:rPr>
        <w:t>Sección 3</w:t>
      </w:r>
      <w:r w:rsidRPr="00A34054">
        <w:rPr>
          <w:rFonts w:ascii="Book Antiqua" w:eastAsiaTheme="minorHAnsi" w:hAnsi="Book Antiqua"/>
          <w:b/>
          <w:bCs/>
          <w:szCs w:val="24"/>
          <w:lang w:val="es-ES_tradnl"/>
        </w:rPr>
        <w:t>.</w:t>
      </w:r>
      <w:r w:rsidR="00A34054" w:rsidRPr="00A34054">
        <w:rPr>
          <w:rFonts w:ascii="Book Antiqua" w:eastAsiaTheme="minorHAnsi" w:hAnsi="Book Antiqua"/>
          <w:szCs w:val="24"/>
          <w:lang w:val="es-ES_tradnl"/>
        </w:rPr>
        <w:t>-</w:t>
      </w:r>
      <w:r w:rsidRPr="00A34054">
        <w:rPr>
          <w:rFonts w:ascii="Book Antiqua" w:eastAsiaTheme="minorHAnsi" w:hAnsi="Book Antiqua"/>
          <w:szCs w:val="24"/>
          <w:lang w:val="es-ES_tradnl"/>
        </w:rPr>
        <w:t>Esta Resolución Conjunta comenzará a regir inmediatamente después de su aprobación.</w:t>
      </w:r>
    </w:p>
    <w:p w14:paraId="12F58F87" w14:textId="5BA93C4C" w:rsidR="00223759" w:rsidRPr="00A34054" w:rsidRDefault="00223759" w:rsidP="00A34054">
      <w:pPr>
        <w:suppressLineNumbers/>
        <w:ind w:left="2074" w:right="2434"/>
        <w:contextualSpacing/>
        <w:jc w:val="center"/>
        <w:rPr>
          <w:rFonts w:ascii="Book Antiqua" w:hAnsi="Book Antiqua" w:cs="Arial"/>
          <w:b/>
          <w:lang w:val="es-PR"/>
        </w:rPr>
      </w:pPr>
    </w:p>
    <w:sectPr w:rsidR="00223759" w:rsidRPr="00A34054" w:rsidSect="00A34054">
      <w:headerReference w:type="default" r:id="rId12"/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E28A4" w14:textId="77777777" w:rsidR="00A55769" w:rsidRDefault="00A55769">
      <w:r>
        <w:separator/>
      </w:r>
    </w:p>
  </w:endnote>
  <w:endnote w:type="continuationSeparator" w:id="0">
    <w:p w14:paraId="701B2523" w14:textId="77777777" w:rsidR="00A55769" w:rsidRDefault="00A55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0203EB" w:rsidRDefault="000203EB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BF4B7D5" w14:textId="77777777" w:rsidR="000203EB" w:rsidRDefault="000203E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0203EB" w:rsidRDefault="000203EB">
    <w:pPr>
      <w:pStyle w:val="Footer"/>
      <w:framePr w:wrap="around" w:vAnchor="text" w:hAnchor="margin" w:xAlign="right" w:y="1"/>
      <w:rPr>
        <w:rStyle w:val="PageNumber"/>
        <w:rFonts w:eastAsiaTheme="majorEastAsia"/>
      </w:rPr>
    </w:pPr>
  </w:p>
  <w:p w14:paraId="4F836377" w14:textId="77777777" w:rsidR="000203EB" w:rsidRDefault="000203E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2A885" w14:textId="77777777" w:rsidR="00A55769" w:rsidRDefault="00A55769">
      <w:r>
        <w:separator/>
      </w:r>
    </w:p>
  </w:footnote>
  <w:footnote w:type="continuationSeparator" w:id="0">
    <w:p w14:paraId="3F96359D" w14:textId="77777777" w:rsidR="00A55769" w:rsidRDefault="00A55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0203EB" w:rsidRDefault="000203EB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EFEEB9A" w14:textId="77777777" w:rsidR="000203EB" w:rsidRDefault="000203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0203EB" w:rsidRPr="00072A94" w:rsidRDefault="000203EB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1A514A">
      <w:rPr>
        <w:rFonts w:ascii="Book Antiqua" w:hAnsi="Book Antiqua"/>
        <w:noProof/>
        <w:szCs w:val="18"/>
      </w:rPr>
      <w:t>3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0203EB" w:rsidRDefault="000203EB"/>
  <w:p w14:paraId="2763B849" w14:textId="77777777" w:rsidR="000203EB" w:rsidRDefault="000203EB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0203EB" w:rsidRDefault="000203EB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 w:rsidR="001A514A">
      <w:rPr>
        <w:rStyle w:val="PageNumber"/>
        <w:rFonts w:eastAsiaTheme="majorEastAsia"/>
        <w:noProof/>
      </w:rPr>
      <w:t>4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17E89"/>
    <w:multiLevelType w:val="multilevel"/>
    <w:tmpl w:val="EA241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D930F3"/>
    <w:multiLevelType w:val="hybridMultilevel"/>
    <w:tmpl w:val="F1D8979E"/>
    <w:lvl w:ilvl="0" w:tplc="FAC2887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67EC1"/>
    <w:multiLevelType w:val="multilevel"/>
    <w:tmpl w:val="F56E0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7B751F"/>
    <w:multiLevelType w:val="multilevel"/>
    <w:tmpl w:val="7F7C58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900AE5"/>
    <w:multiLevelType w:val="hybridMultilevel"/>
    <w:tmpl w:val="B756F2D8"/>
    <w:lvl w:ilvl="0" w:tplc="412A61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D547D6"/>
    <w:multiLevelType w:val="hybridMultilevel"/>
    <w:tmpl w:val="40624A38"/>
    <w:lvl w:ilvl="0" w:tplc="20EC8164">
      <w:start w:val="1"/>
      <w:numFmt w:val="decimal"/>
      <w:lvlText w:val="%1."/>
      <w:lvlJc w:val="left"/>
      <w:pPr>
        <w:ind w:left="81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D73541F"/>
    <w:multiLevelType w:val="hybridMultilevel"/>
    <w:tmpl w:val="421EC3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942256"/>
    <w:multiLevelType w:val="multilevel"/>
    <w:tmpl w:val="F12E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9311302">
    <w:abstractNumId w:val="3"/>
  </w:num>
  <w:num w:numId="2" w16cid:durableId="1298102352">
    <w:abstractNumId w:val="7"/>
  </w:num>
  <w:num w:numId="3" w16cid:durableId="142935444">
    <w:abstractNumId w:val="5"/>
  </w:num>
  <w:num w:numId="4" w16cid:durableId="83260739">
    <w:abstractNumId w:val="6"/>
  </w:num>
  <w:num w:numId="5" w16cid:durableId="1778476418">
    <w:abstractNumId w:val="4"/>
  </w:num>
  <w:num w:numId="6" w16cid:durableId="742601404">
    <w:abstractNumId w:val="1"/>
  </w:num>
  <w:num w:numId="7" w16cid:durableId="1778089961">
    <w:abstractNumId w:val="2"/>
  </w:num>
  <w:num w:numId="8" w16cid:durableId="328027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116EB"/>
    <w:rsid w:val="000203EB"/>
    <w:rsid w:val="00130E7C"/>
    <w:rsid w:val="00133D04"/>
    <w:rsid w:val="001A514A"/>
    <w:rsid w:val="001E0B56"/>
    <w:rsid w:val="001F7684"/>
    <w:rsid w:val="002131DA"/>
    <w:rsid w:val="00223759"/>
    <w:rsid w:val="0026407E"/>
    <w:rsid w:val="002D07E6"/>
    <w:rsid w:val="00300117"/>
    <w:rsid w:val="00306752"/>
    <w:rsid w:val="0032424C"/>
    <w:rsid w:val="003448B8"/>
    <w:rsid w:val="003B68D6"/>
    <w:rsid w:val="003C18F6"/>
    <w:rsid w:val="003C75F7"/>
    <w:rsid w:val="003E1E15"/>
    <w:rsid w:val="00444379"/>
    <w:rsid w:val="00480F2F"/>
    <w:rsid w:val="004B5A9A"/>
    <w:rsid w:val="004D24B0"/>
    <w:rsid w:val="004E3857"/>
    <w:rsid w:val="00517BE2"/>
    <w:rsid w:val="005273CB"/>
    <w:rsid w:val="0054382A"/>
    <w:rsid w:val="00546458"/>
    <w:rsid w:val="00563BBE"/>
    <w:rsid w:val="005F64EE"/>
    <w:rsid w:val="00603523"/>
    <w:rsid w:val="00607459"/>
    <w:rsid w:val="00612A47"/>
    <w:rsid w:val="006215D8"/>
    <w:rsid w:val="0063774C"/>
    <w:rsid w:val="006404E4"/>
    <w:rsid w:val="0066440D"/>
    <w:rsid w:val="00681A1E"/>
    <w:rsid w:val="006A258D"/>
    <w:rsid w:val="006A3297"/>
    <w:rsid w:val="006B0B56"/>
    <w:rsid w:val="00731771"/>
    <w:rsid w:val="00777C2A"/>
    <w:rsid w:val="007E78F3"/>
    <w:rsid w:val="007F3DC7"/>
    <w:rsid w:val="00807FAB"/>
    <w:rsid w:val="0083249F"/>
    <w:rsid w:val="0088548E"/>
    <w:rsid w:val="008B2C1D"/>
    <w:rsid w:val="008C08EC"/>
    <w:rsid w:val="008D76EE"/>
    <w:rsid w:val="009C3207"/>
    <w:rsid w:val="00A02933"/>
    <w:rsid w:val="00A043CC"/>
    <w:rsid w:val="00A34054"/>
    <w:rsid w:val="00A55769"/>
    <w:rsid w:val="00A81881"/>
    <w:rsid w:val="00A85857"/>
    <w:rsid w:val="00A979AA"/>
    <w:rsid w:val="00AE4E88"/>
    <w:rsid w:val="00B12C1B"/>
    <w:rsid w:val="00B25CCC"/>
    <w:rsid w:val="00B47981"/>
    <w:rsid w:val="00BE00CD"/>
    <w:rsid w:val="00C0034D"/>
    <w:rsid w:val="00CD4D86"/>
    <w:rsid w:val="00D12664"/>
    <w:rsid w:val="00D22D5E"/>
    <w:rsid w:val="00D468DB"/>
    <w:rsid w:val="00D47F42"/>
    <w:rsid w:val="00D6576D"/>
    <w:rsid w:val="00D7108F"/>
    <w:rsid w:val="00D93074"/>
    <w:rsid w:val="00D96357"/>
    <w:rsid w:val="00DC4B9B"/>
    <w:rsid w:val="00DE7452"/>
    <w:rsid w:val="00E46269"/>
    <w:rsid w:val="00E62AA4"/>
    <w:rsid w:val="00E911C3"/>
    <w:rsid w:val="00EC3925"/>
    <w:rsid w:val="00F03CC7"/>
    <w:rsid w:val="00F4587D"/>
    <w:rsid w:val="00F67BB2"/>
    <w:rsid w:val="00F9468F"/>
    <w:rsid w:val="00FC4D58"/>
    <w:rsid w:val="00FD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EB019F"/>
  <w15:docId w15:val="{A71D1428-F482-48FA-A1EF-6A5732CDC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  <w:style w:type="paragraph" w:styleId="NormalWeb">
    <w:name w:val="Normal (Web)"/>
    <w:basedOn w:val="Normal"/>
    <w:uiPriority w:val="99"/>
    <w:unhideWhenUsed/>
    <w:rsid w:val="0026407E"/>
    <w:pPr>
      <w:spacing w:before="100" w:beforeAutospacing="1" w:after="100" w:afterAutospacing="1"/>
    </w:pPr>
    <w:rPr>
      <w:rFonts w:eastAsiaTheme="minorHAnsi"/>
      <w:sz w:val="20"/>
    </w:rPr>
  </w:style>
  <w:style w:type="character" w:styleId="Strong">
    <w:name w:val="Strong"/>
    <w:basedOn w:val="DefaultParagraphFont"/>
    <w:uiPriority w:val="22"/>
    <w:qFormat/>
    <w:rsid w:val="00C0034D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3C18F6"/>
    <w:rPr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18F6"/>
    <w:rPr>
      <w:rFonts w:ascii="Times New Roman" w:eastAsia="Times New Roman" w:hAnsi="Times New Roman" w:cs="Times New Roman"/>
      <w:kern w:val="0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3C18F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C18F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AF5E8-F4D8-46D3-8E9F-D3A8388E5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937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Nilmaris Miranda Ruiz</cp:lastModifiedBy>
  <cp:revision>4</cp:revision>
  <cp:lastPrinted>2025-01-29T18:30:00Z</cp:lastPrinted>
  <dcterms:created xsi:type="dcterms:W3CDTF">2025-01-29T18:31:00Z</dcterms:created>
  <dcterms:modified xsi:type="dcterms:W3CDTF">2025-04-04T16:34:00Z</dcterms:modified>
</cp:coreProperties>
</file>