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7C8B2" w14:textId="77777777" w:rsidR="00D128B8" w:rsidRPr="00D128B8" w:rsidRDefault="00D128B8" w:rsidP="00D128B8">
      <w:pPr>
        <w:suppressLineNumbers/>
        <w:tabs>
          <w:tab w:val="center" w:pos="4680"/>
        </w:tabs>
        <w:spacing w:after="0" w:line="240" w:lineRule="auto"/>
        <w:jc w:val="center"/>
        <w:rPr>
          <w:rFonts w:ascii="Book Antiqua" w:eastAsia="Batang" w:hAnsi="Book Antiqua"/>
          <w:b/>
          <w:bCs/>
          <w:sz w:val="24"/>
          <w:szCs w:val="24"/>
          <w:lang w:val="es-PR"/>
        </w:rPr>
      </w:pPr>
      <w:bookmarkStart w:id="0" w:name="_Hlk138253982"/>
      <w:r w:rsidRPr="00D128B8">
        <w:rPr>
          <w:rFonts w:ascii="Book Antiqua" w:eastAsia="Batang" w:hAnsi="Book Antiqua"/>
          <w:b/>
          <w:bCs/>
          <w:sz w:val="24"/>
          <w:szCs w:val="24"/>
          <w:lang w:val="es-PR"/>
        </w:rPr>
        <w:t>(TEXTO DE APROBACIÓN FINAL POR LA CÁMARA)</w:t>
      </w:r>
      <w:r w:rsidRPr="00D128B8">
        <w:rPr>
          <w:rFonts w:ascii="Times New Roman" w:eastAsia="Times New Roman" w:hAnsi="Times New Roman"/>
          <w:sz w:val="24"/>
          <w:szCs w:val="20"/>
          <w:lang w:val="es-PR"/>
        </w:rPr>
        <w:fldChar w:fldCharType="begin"/>
      </w:r>
      <w:r w:rsidRPr="00D128B8">
        <w:rPr>
          <w:rFonts w:ascii="Book Antiqua" w:eastAsia="Batang" w:hAnsi="Book Antiqua"/>
          <w:b/>
          <w:bCs/>
          <w:sz w:val="24"/>
          <w:szCs w:val="24"/>
          <w:lang w:val="es-PR"/>
        </w:rPr>
        <w:instrText xml:space="preserve">PRIVATE </w:instrText>
      </w:r>
      <w:r w:rsidRPr="00D128B8">
        <w:rPr>
          <w:rFonts w:ascii="Times New Roman" w:eastAsia="Times New Roman" w:hAnsi="Times New Roman"/>
          <w:sz w:val="24"/>
          <w:szCs w:val="20"/>
          <w:lang w:val="es-PR"/>
        </w:rPr>
        <w:fldChar w:fldCharType="end"/>
      </w:r>
    </w:p>
    <w:p w14:paraId="575B4235" w14:textId="77777777" w:rsidR="00D128B8" w:rsidRPr="00D128B8" w:rsidRDefault="00D128B8" w:rsidP="00D128B8">
      <w:pPr>
        <w:suppressLineNumbers/>
        <w:tabs>
          <w:tab w:val="center" w:pos="4680"/>
        </w:tabs>
        <w:spacing w:after="0" w:line="240" w:lineRule="auto"/>
        <w:jc w:val="center"/>
        <w:rPr>
          <w:rFonts w:ascii="Book Antiqua" w:eastAsia="Batang" w:hAnsi="Book Antiqua"/>
          <w:b/>
          <w:bCs/>
          <w:sz w:val="24"/>
          <w:szCs w:val="24"/>
          <w:lang w:val="es-PR"/>
        </w:rPr>
      </w:pPr>
      <w:r w:rsidRPr="00D128B8">
        <w:rPr>
          <w:rFonts w:ascii="Book Antiqua" w:eastAsia="Batang" w:hAnsi="Book Antiqua"/>
          <w:b/>
          <w:bCs/>
          <w:sz w:val="24"/>
          <w:szCs w:val="24"/>
          <w:lang w:val="es-PR"/>
        </w:rPr>
        <w:t>(20 DE MARZO DE 2025)</w:t>
      </w:r>
    </w:p>
    <w:p w14:paraId="6307DA85" w14:textId="77777777" w:rsidR="00D128B8" w:rsidRPr="00D128B8" w:rsidRDefault="00D128B8" w:rsidP="00D128B8">
      <w:pPr>
        <w:suppressLineNumbers/>
        <w:tabs>
          <w:tab w:val="center" w:pos="4680"/>
        </w:tabs>
        <w:spacing w:after="0" w:line="240" w:lineRule="auto"/>
        <w:jc w:val="center"/>
        <w:rPr>
          <w:rFonts w:ascii="Book Antiqua" w:eastAsia="Batang" w:hAnsi="Book Antiqua"/>
          <w:b/>
          <w:bCs/>
          <w:sz w:val="24"/>
          <w:szCs w:val="24"/>
          <w:lang w:val="es-ES_tradnl"/>
        </w:rPr>
      </w:pPr>
      <w:r w:rsidRPr="00D128B8">
        <w:rPr>
          <w:rFonts w:ascii="Times New Roman" w:eastAsia="Times New Roman" w:hAnsi="Times New Roman"/>
          <w:noProof/>
          <w:sz w:val="24"/>
          <w:szCs w:val="20"/>
          <w:lang w:val="es-PR"/>
        </w:rPr>
        <mc:AlternateContent>
          <mc:Choice Requires="wps">
            <w:drawing>
              <wp:anchor distT="0" distB="0" distL="114300" distR="114300" simplePos="0" relativeHeight="251659264" behindDoc="1" locked="0" layoutInCell="0" allowOverlap="1" wp14:anchorId="3F571667" wp14:editId="0B035173">
                <wp:simplePos x="0" y="0"/>
                <wp:positionH relativeFrom="margin">
                  <wp:posOffset>0</wp:posOffset>
                </wp:positionH>
                <wp:positionV relativeFrom="paragraph">
                  <wp:posOffset>0</wp:posOffset>
                </wp:positionV>
                <wp:extent cx="5943600" cy="22860"/>
                <wp:effectExtent l="0" t="0" r="0" b="0"/>
                <wp:wrapNone/>
                <wp:docPr id="16481767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C2C4E"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A2DD8D1" w14:textId="60EB5D7F" w:rsidR="003E7820" w:rsidRPr="003C2711" w:rsidRDefault="007F051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6BE37DD9"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15FE951" w14:textId="77777777" w:rsidR="003E7820" w:rsidRPr="003C2711" w:rsidRDefault="003958A5"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2786891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F4607D3"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6CA72D00"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47642DF"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27F0582E" w14:textId="77777777"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DE6616">
        <w:rPr>
          <w:rFonts w:ascii="Book Antiqua" w:eastAsia="Times New Roman" w:hAnsi="Book Antiqua"/>
          <w:b/>
          <w:sz w:val="52"/>
          <w:szCs w:val="20"/>
          <w:lang w:val="es-ES_tradnl"/>
        </w:rPr>
        <w:t>48</w:t>
      </w:r>
      <w:r w:rsidRPr="003C2711">
        <w:rPr>
          <w:rFonts w:ascii="Book Antiqua" w:eastAsia="Times New Roman" w:hAnsi="Book Antiqua"/>
          <w:b/>
          <w:sz w:val="52"/>
          <w:szCs w:val="20"/>
          <w:lang w:val="es-ES_tradnl"/>
        </w:rPr>
        <w:br/>
      </w:r>
    </w:p>
    <w:p w14:paraId="4A739728" w14:textId="77777777" w:rsidR="003E7820" w:rsidRDefault="00DE6616"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3958A5">
        <w:rPr>
          <w:rFonts w:ascii="Book Antiqua" w:eastAsia="Times New Roman" w:hAnsi="Book Antiqua"/>
          <w:sz w:val="24"/>
          <w:szCs w:val="20"/>
          <w:lang w:val="es-ES_tradnl"/>
        </w:rPr>
        <w:t>ENERO</w:t>
      </w:r>
      <w:r w:rsidR="00DD4ED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3958A5">
        <w:rPr>
          <w:rFonts w:ascii="Book Antiqua" w:eastAsia="Times New Roman" w:hAnsi="Book Antiqua"/>
          <w:sz w:val="24"/>
          <w:szCs w:val="20"/>
          <w:lang w:val="es-ES_tradnl"/>
        </w:rPr>
        <w:t>5</w:t>
      </w:r>
    </w:p>
    <w:p w14:paraId="4F7AA715"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2F68AA65"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D5DAF65"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6E1E9333"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2601FFBE"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35BCEB60"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2B9E8310"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B16D7B2" w14:textId="3F83114E" w:rsidR="003E7820" w:rsidRPr="00D700E7" w:rsidRDefault="003E7820" w:rsidP="005E4A2E">
      <w:pPr>
        <w:pStyle w:val="BodyTextIndent2"/>
        <w:spacing w:after="0" w:line="240" w:lineRule="auto"/>
        <w:ind w:left="567" w:hanging="567"/>
        <w:jc w:val="both"/>
        <w:rPr>
          <w:rFonts w:ascii="Book Antiqua" w:hAnsi="Book Antiqua"/>
          <w:sz w:val="24"/>
          <w:szCs w:val="24"/>
          <w:lang w:val="es-PR"/>
        </w:rPr>
      </w:pPr>
      <w:bookmarkStart w:id="1" w:name="_Hlk94518690"/>
      <w:r w:rsidRPr="00D700E7">
        <w:rPr>
          <w:rFonts w:ascii="Book Antiqua" w:hAnsi="Book Antiqua"/>
          <w:sz w:val="24"/>
          <w:szCs w:val="24"/>
          <w:lang w:val="es-PR"/>
        </w:rPr>
        <w:t xml:space="preserve">Para ordenar </w:t>
      </w:r>
      <w:bookmarkStart w:id="2" w:name="_Hlk179357528"/>
      <w:r w:rsidRPr="00D700E7">
        <w:rPr>
          <w:rFonts w:ascii="Book Antiqua" w:hAnsi="Book Antiqua"/>
          <w:sz w:val="24"/>
          <w:szCs w:val="24"/>
          <w:lang w:val="es-PR"/>
        </w:rPr>
        <w:t xml:space="preserve">a </w:t>
      </w:r>
      <w:bookmarkStart w:id="3" w:name="_Hlk141173215"/>
      <w:r w:rsidRPr="00D700E7">
        <w:rPr>
          <w:rFonts w:ascii="Book Antiqua" w:hAnsi="Book Antiqua"/>
          <w:sz w:val="24"/>
          <w:szCs w:val="24"/>
          <w:lang w:val="es-PR"/>
        </w:rPr>
        <w:t xml:space="preserve">la </w:t>
      </w:r>
      <w:bookmarkStart w:id="4" w:name="_Hlk141173232"/>
      <w:bookmarkStart w:id="5" w:name="_Hlk176937911"/>
      <w:bookmarkStart w:id="6" w:name="_Hlk179488671"/>
      <w:bookmarkStart w:id="7" w:name="_Hlk182824593"/>
      <w:r w:rsidRPr="00D700E7">
        <w:rPr>
          <w:rFonts w:ascii="Book Antiqua" w:hAnsi="Book Antiqua"/>
          <w:sz w:val="24"/>
          <w:szCs w:val="24"/>
          <w:lang w:val="es-PR"/>
        </w:rPr>
        <w:t xml:space="preserve">Comisión de </w:t>
      </w:r>
      <w:bookmarkEnd w:id="3"/>
      <w:bookmarkEnd w:id="4"/>
      <w:r w:rsidR="00D325C4" w:rsidRPr="00D700E7">
        <w:rPr>
          <w:rFonts w:ascii="Book Antiqua" w:hAnsi="Book Antiqua"/>
          <w:sz w:val="24"/>
          <w:szCs w:val="24"/>
          <w:lang w:val="es-PR"/>
        </w:rPr>
        <w:t xml:space="preserve">Educación </w:t>
      </w:r>
      <w:bookmarkStart w:id="8" w:name="_Hlk179489197"/>
      <w:r w:rsidR="00422695" w:rsidRPr="00D700E7">
        <w:rPr>
          <w:rFonts w:ascii="Book Antiqua" w:hAnsi="Book Antiqua"/>
          <w:sz w:val="24"/>
          <w:szCs w:val="24"/>
          <w:lang w:val="es-PR"/>
        </w:rPr>
        <w:t>de la Cámara de Representantes de Puerto Rico</w:t>
      </w:r>
      <w:bookmarkEnd w:id="8"/>
      <w:r w:rsidR="00FA257A" w:rsidRPr="00D700E7">
        <w:rPr>
          <w:rFonts w:ascii="Book Antiqua" w:hAnsi="Book Antiqua"/>
          <w:sz w:val="24"/>
          <w:szCs w:val="24"/>
          <w:lang w:val="es-PR"/>
        </w:rPr>
        <w:t xml:space="preserve">, investigar y </w:t>
      </w:r>
      <w:bookmarkStart w:id="9" w:name="_Hlk176938480"/>
      <w:r w:rsidR="00FA257A" w:rsidRPr="00D700E7">
        <w:rPr>
          <w:rFonts w:ascii="Book Antiqua" w:hAnsi="Book Antiqua"/>
          <w:sz w:val="24"/>
          <w:szCs w:val="24"/>
          <w:lang w:val="es-PR"/>
        </w:rPr>
        <w:t>evaluar</w:t>
      </w:r>
      <w:r w:rsidR="004349A5" w:rsidRPr="00D700E7">
        <w:rPr>
          <w:rFonts w:ascii="Book Antiqua" w:hAnsi="Book Antiqua"/>
          <w:sz w:val="24"/>
          <w:szCs w:val="24"/>
          <w:lang w:val="es-PR"/>
        </w:rPr>
        <w:t xml:space="preserve"> </w:t>
      </w:r>
      <w:bookmarkEnd w:id="2"/>
      <w:bookmarkEnd w:id="5"/>
      <w:bookmarkEnd w:id="6"/>
      <w:bookmarkEnd w:id="9"/>
      <w:r w:rsidR="00DD4ED0" w:rsidRPr="00D700E7">
        <w:rPr>
          <w:rFonts w:ascii="Book Antiqua" w:hAnsi="Book Antiqua"/>
          <w:sz w:val="24"/>
          <w:szCs w:val="24"/>
          <w:lang w:val="es-PR"/>
        </w:rPr>
        <w:t xml:space="preserve">los </w:t>
      </w:r>
      <w:r w:rsidR="00B106D5" w:rsidRPr="00D700E7">
        <w:rPr>
          <w:rFonts w:ascii="Book Antiqua" w:hAnsi="Book Antiqua"/>
          <w:sz w:val="24"/>
          <w:szCs w:val="24"/>
          <w:lang w:val="es-PR"/>
        </w:rPr>
        <w:t xml:space="preserve">protocolos del Departamento de Educación </w:t>
      </w:r>
      <w:r w:rsidR="005E4A2E" w:rsidRPr="00D700E7">
        <w:rPr>
          <w:rFonts w:ascii="Book Antiqua" w:hAnsi="Book Antiqua"/>
          <w:sz w:val="24"/>
          <w:szCs w:val="24"/>
          <w:lang w:val="es-PR"/>
        </w:rPr>
        <w:t xml:space="preserve">relacionados con la </w:t>
      </w:r>
      <w:proofErr w:type="spellStart"/>
      <w:r w:rsidR="005E4A2E" w:rsidRPr="00D700E7">
        <w:rPr>
          <w:rFonts w:ascii="Book Antiqua" w:hAnsi="Book Antiqua"/>
          <w:sz w:val="24"/>
          <w:szCs w:val="24"/>
          <w:lang w:val="es-PR"/>
        </w:rPr>
        <w:t>preparaci</w:t>
      </w:r>
      <w:r w:rsidR="005E4A2E" w:rsidRPr="00D700E7">
        <w:rPr>
          <w:rFonts w:ascii="Book Antiqua" w:hAnsi="Book Antiqua"/>
          <w:sz w:val="24"/>
          <w:szCs w:val="24"/>
          <w:lang w:val="es-ES_tradnl"/>
        </w:rPr>
        <w:t>ón</w:t>
      </w:r>
      <w:proofErr w:type="spellEnd"/>
      <w:r w:rsidR="005E4A2E" w:rsidRPr="00D700E7">
        <w:rPr>
          <w:rFonts w:ascii="Book Antiqua" w:hAnsi="Book Antiqua"/>
          <w:sz w:val="24"/>
          <w:szCs w:val="24"/>
          <w:lang w:val="es-ES_tradnl"/>
        </w:rPr>
        <w:t xml:space="preserve"> y respuesta ante </w:t>
      </w:r>
      <w:r w:rsidR="00D325C4" w:rsidRPr="00D700E7">
        <w:rPr>
          <w:rFonts w:ascii="Book Antiqua" w:hAnsi="Book Antiqua"/>
          <w:sz w:val="24"/>
          <w:szCs w:val="24"/>
          <w:lang w:val="es-PR"/>
        </w:rPr>
        <w:t>incidentes de tirador activo</w:t>
      </w:r>
      <w:r w:rsidR="005E4A2E" w:rsidRPr="00D700E7">
        <w:rPr>
          <w:rFonts w:ascii="Book Antiqua" w:hAnsi="Book Antiqua"/>
          <w:sz w:val="24"/>
          <w:szCs w:val="24"/>
          <w:lang w:val="es-PR"/>
        </w:rPr>
        <w:t xml:space="preserve"> en las escuelas, incluyendo</w:t>
      </w:r>
      <w:r w:rsidR="00DD4ED0" w:rsidRPr="00D700E7">
        <w:rPr>
          <w:rFonts w:ascii="Book Antiqua" w:hAnsi="Book Antiqua"/>
          <w:sz w:val="24"/>
          <w:szCs w:val="24"/>
          <w:lang w:val="es-PR"/>
        </w:rPr>
        <w:t xml:space="preserve"> </w:t>
      </w:r>
      <w:r w:rsidR="00D325C4" w:rsidRPr="00D700E7">
        <w:rPr>
          <w:rFonts w:ascii="Book Antiqua" w:hAnsi="Book Antiqua"/>
          <w:sz w:val="24"/>
          <w:szCs w:val="24"/>
          <w:lang w:val="es-PR"/>
        </w:rPr>
        <w:t>planes de adiestramiento a la comunidad escolar en general; calendarios de simulacro; así como todo otro esfuerzo de prevención sobre este tema</w:t>
      </w:r>
      <w:bookmarkEnd w:id="7"/>
      <w:r w:rsidR="00D325C4" w:rsidRPr="00D700E7">
        <w:rPr>
          <w:rFonts w:ascii="Book Antiqua" w:hAnsi="Book Antiqua"/>
          <w:sz w:val="24"/>
          <w:szCs w:val="24"/>
          <w:lang w:val="es-PR"/>
        </w:rPr>
        <w:t xml:space="preserve">; </w:t>
      </w:r>
      <w:r w:rsidR="00DD4ED0" w:rsidRPr="00D700E7">
        <w:rPr>
          <w:rFonts w:ascii="Book Antiqua" w:hAnsi="Book Antiqua"/>
          <w:sz w:val="24"/>
          <w:szCs w:val="24"/>
          <w:lang w:val="es-PR"/>
        </w:rPr>
        <w:t>y</w:t>
      </w:r>
      <w:r w:rsidRPr="00D700E7">
        <w:rPr>
          <w:rFonts w:ascii="Book Antiqua" w:hAnsi="Book Antiqua"/>
          <w:sz w:val="24"/>
          <w:szCs w:val="24"/>
          <w:lang w:val="es-PR"/>
        </w:rPr>
        <w:t xml:space="preserve"> </w:t>
      </w:r>
      <w:r w:rsidR="005E4A2E" w:rsidRPr="00D700E7">
        <w:rPr>
          <w:rFonts w:ascii="Book Antiqua" w:hAnsi="Book Antiqua"/>
          <w:sz w:val="24"/>
          <w:szCs w:val="24"/>
          <w:lang w:val="es-PR"/>
        </w:rPr>
        <w:t>para otros fines relacionados.</w:t>
      </w:r>
      <w:bookmarkEnd w:id="1"/>
    </w:p>
    <w:p w14:paraId="365DD488" w14:textId="77777777" w:rsidR="00A47C19" w:rsidRPr="005E4A2E" w:rsidRDefault="00A47C19" w:rsidP="005E4A2E">
      <w:pPr>
        <w:pStyle w:val="BodyTextIndent2"/>
        <w:spacing w:after="0" w:line="240" w:lineRule="auto"/>
        <w:ind w:left="567" w:hanging="567"/>
        <w:jc w:val="both"/>
        <w:rPr>
          <w:rFonts w:ascii="Book Antiqua" w:hAnsi="Book Antiqua"/>
          <w:sz w:val="24"/>
          <w:szCs w:val="24"/>
          <w:lang w:val="es-PR"/>
        </w:rPr>
      </w:pPr>
    </w:p>
    <w:p w14:paraId="48AF2B77"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032347B4" w14:textId="77777777" w:rsidR="009E182A" w:rsidRPr="009E182A" w:rsidRDefault="009E182A" w:rsidP="009E182A">
      <w:pPr>
        <w:spacing w:after="0" w:line="240" w:lineRule="auto"/>
        <w:jc w:val="both"/>
        <w:rPr>
          <w:rFonts w:ascii="Book Antiqua" w:eastAsia="MS Mincho" w:hAnsi="Book Antiqua"/>
          <w:sz w:val="24"/>
          <w:szCs w:val="24"/>
          <w:lang w:val="es-ES_tradnl"/>
        </w:rPr>
      </w:pPr>
    </w:p>
    <w:p w14:paraId="7B828533"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r w:rsidRPr="00D700E7">
        <w:rPr>
          <w:rFonts w:ascii="Book Antiqua" w:eastAsia="MS Mincho" w:hAnsi="Book Antiqua"/>
          <w:sz w:val="24"/>
          <w:szCs w:val="24"/>
          <w:lang w:val="es-ES_tradnl"/>
        </w:rPr>
        <w:t xml:space="preserve">Un "tirador activo" (active </w:t>
      </w:r>
      <w:proofErr w:type="spellStart"/>
      <w:r w:rsidRPr="00D700E7">
        <w:rPr>
          <w:rFonts w:ascii="Book Antiqua" w:eastAsia="MS Mincho" w:hAnsi="Book Antiqua"/>
          <w:sz w:val="24"/>
          <w:szCs w:val="24"/>
          <w:lang w:val="es-ES_tradnl"/>
        </w:rPr>
        <w:t>shooter</w:t>
      </w:r>
      <w:proofErr w:type="spellEnd"/>
      <w:r w:rsidRPr="00D700E7">
        <w:rPr>
          <w:rFonts w:ascii="Book Antiqua" w:eastAsia="MS Mincho" w:hAnsi="Book Antiqua"/>
          <w:sz w:val="24"/>
          <w:szCs w:val="24"/>
          <w:lang w:val="es-ES_tradnl"/>
        </w:rPr>
        <w:t>) se define como un individuo o grupo que está activamente involucrado en intentar matar o causar daño grave a personas en un área confinada o densamente concurrida. Los tiradores activos típicamente utilizan armas de fuego,</w:t>
      </w:r>
      <w:r w:rsidR="0052225C" w:rsidRPr="00D700E7">
        <w:rPr>
          <w:rFonts w:ascii="Book Antiqua" w:eastAsia="MS Mincho" w:hAnsi="Book Antiqua"/>
          <w:sz w:val="24"/>
          <w:szCs w:val="24"/>
          <w:lang w:val="es-ES_tradnl"/>
        </w:rPr>
        <w:t xml:space="preserve"> y, en la mayoría de los casos, </w:t>
      </w:r>
      <w:r w:rsidRPr="00D700E7">
        <w:rPr>
          <w:rFonts w:ascii="Book Antiqua" w:eastAsia="MS Mincho" w:hAnsi="Book Antiqua"/>
          <w:sz w:val="24"/>
          <w:szCs w:val="24"/>
          <w:lang w:val="es-ES_tradnl"/>
        </w:rPr>
        <w:t>seleccionan a sus víctimas al azar y continúan disparando hasta que son detenidos por la policía, por circunstancias externas, o por el propio fin de sus municiones. La naturaleza impredecible y rápida de estos eventos los convierte en una amenaza crítica para cualquier entorno, especialmente en espacios escolares donde hay grandes concentraciones de niños y jóvenes.</w:t>
      </w:r>
    </w:p>
    <w:p w14:paraId="593CFA4D"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p>
    <w:p w14:paraId="135B47CC" w14:textId="59CCCC30" w:rsidR="00D325C4" w:rsidRPr="00D700E7" w:rsidRDefault="00D325C4" w:rsidP="0052225C">
      <w:pPr>
        <w:spacing w:after="0" w:line="240" w:lineRule="auto"/>
        <w:ind w:firstLine="567"/>
        <w:jc w:val="both"/>
        <w:rPr>
          <w:rFonts w:ascii="Book Antiqua" w:eastAsia="MS Mincho" w:hAnsi="Book Antiqua"/>
          <w:sz w:val="24"/>
          <w:szCs w:val="24"/>
          <w:lang w:val="es-ES_tradnl"/>
        </w:rPr>
      </w:pPr>
      <w:r w:rsidRPr="00D700E7">
        <w:rPr>
          <w:rFonts w:ascii="Book Antiqua" w:eastAsia="MS Mincho" w:hAnsi="Book Antiqua"/>
          <w:sz w:val="24"/>
          <w:szCs w:val="24"/>
          <w:lang w:val="es-ES_tradnl"/>
        </w:rPr>
        <w:t xml:space="preserve">Los expertos en seguridad aconsejan que, en caso de enfrentar a un tirador activo, se sigan tres pasos fundamentales: </w:t>
      </w:r>
      <w:r w:rsidR="0052225C" w:rsidRPr="00D700E7">
        <w:rPr>
          <w:rFonts w:ascii="Book Antiqua" w:eastAsia="MS Mincho" w:hAnsi="Book Antiqua"/>
          <w:sz w:val="24"/>
          <w:szCs w:val="24"/>
          <w:lang w:val="es-PR"/>
        </w:rPr>
        <w:t>Evacuar el área de peligro, Resguardarse y, como último recurso, Defenderse.</w:t>
      </w:r>
      <w:r w:rsidR="0052225C" w:rsidRPr="00D700E7">
        <w:rPr>
          <w:rFonts w:ascii="Book Antiqua" w:eastAsia="MS Mincho" w:hAnsi="Book Antiqua"/>
          <w:sz w:val="24"/>
          <w:szCs w:val="24"/>
          <w:lang w:val="es-ES_tradnl"/>
        </w:rPr>
        <w:t xml:space="preserve"> </w:t>
      </w:r>
      <w:r w:rsidRPr="00D700E7">
        <w:rPr>
          <w:rFonts w:ascii="Book Antiqua" w:eastAsia="MS Mincho" w:hAnsi="Book Antiqua"/>
          <w:sz w:val="24"/>
          <w:szCs w:val="24"/>
          <w:lang w:val="es-ES_tradnl"/>
        </w:rPr>
        <w:t xml:space="preserve">En primer lugar, siempre que sea posible, se recomienda </w:t>
      </w:r>
      <w:r w:rsidRPr="00D700E7">
        <w:rPr>
          <w:rFonts w:ascii="Book Antiqua" w:eastAsia="MS Mincho" w:hAnsi="Book Antiqua"/>
          <w:sz w:val="24"/>
          <w:szCs w:val="24"/>
          <w:lang w:val="es-ES_tradnl"/>
        </w:rPr>
        <w:lastRenderedPageBreak/>
        <w:t>evacuar el área de inmediato si existe una ruta de escape segura, sin detenerse por pertenencias personales. Si evacuar no es posible, se debe buscar refugio en un lugar seguro fuera de la vista del tirador, bloquear puertas, apagar luces y mantener silencio total para no delatar la ubicación. Como último recurso, si la vida está en peligro inminente, se recomienda enfrentar al tirador de forma agresiva, utilizando cualquier objeto a mano como arma improvisada para incapacitar al agresor y protegerse.</w:t>
      </w:r>
    </w:p>
    <w:p w14:paraId="2FDE1F33"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p>
    <w:p w14:paraId="775FA2F1" w14:textId="77777777" w:rsidR="00D325C4" w:rsidRPr="00D700E7" w:rsidRDefault="00D325C4" w:rsidP="007F0513">
      <w:pPr>
        <w:spacing w:after="0" w:line="240" w:lineRule="auto"/>
        <w:ind w:firstLine="567"/>
        <w:jc w:val="both"/>
        <w:rPr>
          <w:rFonts w:ascii="Book Antiqua" w:hAnsi="Book Antiqua"/>
          <w:sz w:val="24"/>
          <w:szCs w:val="24"/>
          <w:lang w:val="es-ES"/>
        </w:rPr>
      </w:pPr>
      <w:r w:rsidRPr="00D700E7">
        <w:rPr>
          <w:rFonts w:ascii="Book Antiqua" w:hAnsi="Book Antiqua"/>
          <w:sz w:val="24"/>
          <w:szCs w:val="24"/>
          <w:lang w:val="es-ES"/>
        </w:rPr>
        <w:t xml:space="preserve">Los datos de la Oficina Federal de Investigaciones (FBI) indican que en los Estados Unidos se han incrementado de manera alarmante los incidentes relacionados con tiradores activos en los últimos años. En 2022, se reportaron más de 50 incidentes de tiradores activos en entornos públicos, incluidos centros educativos, resultando en múltiples muertes y heridos. Uno de los eventos más trágicos ocurrió el 14 de febrero de 2018, en la escuela secundaria Marjory </w:t>
      </w:r>
      <w:proofErr w:type="spellStart"/>
      <w:r w:rsidRPr="00D700E7">
        <w:rPr>
          <w:rFonts w:ascii="Book Antiqua" w:hAnsi="Book Antiqua"/>
          <w:sz w:val="24"/>
          <w:szCs w:val="24"/>
          <w:lang w:val="es-ES"/>
        </w:rPr>
        <w:t>Stoneman</w:t>
      </w:r>
      <w:proofErr w:type="spellEnd"/>
      <w:r w:rsidRPr="00D700E7">
        <w:rPr>
          <w:rFonts w:ascii="Book Antiqua" w:hAnsi="Book Antiqua"/>
          <w:sz w:val="24"/>
          <w:szCs w:val="24"/>
          <w:lang w:val="es-ES"/>
        </w:rPr>
        <w:t xml:space="preserve"> Douglas en </w:t>
      </w:r>
      <w:proofErr w:type="spellStart"/>
      <w:r w:rsidRPr="00D700E7">
        <w:rPr>
          <w:rFonts w:ascii="Book Antiqua" w:hAnsi="Book Antiqua"/>
          <w:sz w:val="24"/>
          <w:szCs w:val="24"/>
          <w:lang w:val="es-ES"/>
        </w:rPr>
        <w:t>Parkland</w:t>
      </w:r>
      <w:proofErr w:type="spellEnd"/>
      <w:r w:rsidRPr="00D700E7">
        <w:rPr>
          <w:rFonts w:ascii="Book Antiqua" w:hAnsi="Book Antiqua"/>
          <w:sz w:val="24"/>
          <w:szCs w:val="24"/>
          <w:lang w:val="es-ES"/>
        </w:rPr>
        <w:t>, Florida, donde un exalumno armado con un rifle de asalto AR-15 causó la muerte de 17 personas y dejó decenas de heridos. Este tiroteo, junto con muchos otros, ha impulsado a las autoridades y a las instituciones educativas a desarrollar planes de respuesta y protocolos para reducir el riesgo y preparar a las comunidades escolares ante posibles amenazas.</w:t>
      </w:r>
    </w:p>
    <w:p w14:paraId="2AFAF954" w14:textId="77777777" w:rsidR="00D325C4" w:rsidRPr="00D700E7" w:rsidRDefault="00D325C4" w:rsidP="007F0513">
      <w:pPr>
        <w:spacing w:after="0" w:line="240" w:lineRule="auto"/>
        <w:ind w:firstLine="567"/>
        <w:jc w:val="both"/>
        <w:rPr>
          <w:rFonts w:ascii="Book Antiqua" w:eastAsia="MS Mincho" w:hAnsi="Book Antiqua"/>
          <w:sz w:val="24"/>
          <w:szCs w:val="24"/>
          <w:lang w:val="es-ES"/>
        </w:rPr>
      </w:pPr>
    </w:p>
    <w:p w14:paraId="793BD611" w14:textId="20C225EE" w:rsidR="00D325C4" w:rsidRPr="00D700E7" w:rsidRDefault="00D325C4" w:rsidP="007F0513">
      <w:pPr>
        <w:spacing w:after="0" w:line="240" w:lineRule="auto"/>
        <w:ind w:firstLine="567"/>
        <w:jc w:val="both"/>
        <w:rPr>
          <w:rFonts w:ascii="Book Antiqua" w:eastAsia="MS Mincho" w:hAnsi="Book Antiqua"/>
          <w:sz w:val="24"/>
          <w:szCs w:val="24"/>
          <w:lang w:val="es-ES_tradnl"/>
        </w:rPr>
      </w:pPr>
      <w:r w:rsidRPr="00D700E7">
        <w:rPr>
          <w:rFonts w:ascii="Book Antiqua" w:eastAsia="MS Mincho" w:hAnsi="Book Antiqua"/>
          <w:sz w:val="24"/>
          <w:szCs w:val="24"/>
          <w:lang w:val="es-ES_tradnl"/>
        </w:rPr>
        <w:t>En los últimos años, Puerto Rico ha sido testigo de varios incidentes relacionados con tiroteos en los predios cercanos a escuelas públicas, generando preocupación entre los padres, estudiantes, maestros y la comunidad en general. Entre los sucesos más destacados, se encuentra el asesinato ocurrido en febrero de 2012 frente a la Escuela Elemental Ramón Bruguera en Caguas y el tiroteo registrado en enero de 2017 en las cercanías de la Escuela Elemental Evaristo Ribera de San Juan, cuyas impactantes imágenes circularon las redes sociales, dejando en evidencia el trauma vivido por los estudiantes.</w:t>
      </w:r>
    </w:p>
    <w:p w14:paraId="0790401E"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p>
    <w:p w14:paraId="43F86EC7"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r w:rsidRPr="00D700E7">
        <w:rPr>
          <w:rFonts w:ascii="Book Antiqua" w:eastAsia="MS Mincho" w:hAnsi="Book Antiqua"/>
          <w:sz w:val="24"/>
          <w:szCs w:val="24"/>
          <w:lang w:val="es-ES_tradnl"/>
        </w:rPr>
        <w:t xml:space="preserve">La situación ha continuado agravándose en años recientes, como lo demuestran las amenazas de tiroteo reportadas en la Escuela Jesús Sánchez Erazo de Bayamón en marzo de 2022, donde se detuvo a un menor de trece años en posesión de un rifle de asalto y múltiples municiones. En ese mismo año, se recibieron amenazas dirigidas a las Escuelas </w:t>
      </w:r>
      <w:proofErr w:type="spellStart"/>
      <w:r w:rsidRPr="00D700E7">
        <w:rPr>
          <w:rFonts w:ascii="Book Antiqua" w:eastAsia="MS Mincho" w:hAnsi="Book Antiqua"/>
          <w:sz w:val="24"/>
          <w:szCs w:val="24"/>
          <w:lang w:val="es-ES_tradnl"/>
        </w:rPr>
        <w:t>University</w:t>
      </w:r>
      <w:proofErr w:type="spellEnd"/>
      <w:r w:rsidRPr="00D700E7">
        <w:rPr>
          <w:rFonts w:ascii="Book Antiqua" w:eastAsia="MS Mincho" w:hAnsi="Book Antiqua"/>
          <w:sz w:val="24"/>
          <w:szCs w:val="24"/>
          <w:lang w:val="es-ES_tradnl"/>
        </w:rPr>
        <w:t xml:space="preserve"> </w:t>
      </w:r>
      <w:proofErr w:type="spellStart"/>
      <w:r w:rsidRPr="00D700E7">
        <w:rPr>
          <w:rFonts w:ascii="Book Antiqua" w:eastAsia="MS Mincho" w:hAnsi="Book Antiqua"/>
          <w:sz w:val="24"/>
          <w:szCs w:val="24"/>
          <w:lang w:val="es-ES_tradnl"/>
        </w:rPr>
        <w:t>Gardens</w:t>
      </w:r>
      <w:proofErr w:type="spellEnd"/>
      <w:r w:rsidRPr="00D700E7">
        <w:rPr>
          <w:rFonts w:ascii="Book Antiqua" w:eastAsia="MS Mincho" w:hAnsi="Book Antiqua"/>
          <w:sz w:val="24"/>
          <w:szCs w:val="24"/>
          <w:lang w:val="es-ES_tradnl"/>
        </w:rPr>
        <w:t xml:space="preserve"> y Juan José Osuna en San Juan, además de reportarse disparos en la Escuela Ángel P. Millán </w:t>
      </w:r>
      <w:proofErr w:type="spellStart"/>
      <w:r w:rsidRPr="00D700E7">
        <w:rPr>
          <w:rFonts w:ascii="Book Antiqua" w:eastAsia="MS Mincho" w:hAnsi="Book Antiqua"/>
          <w:sz w:val="24"/>
          <w:szCs w:val="24"/>
          <w:lang w:val="es-ES_tradnl"/>
        </w:rPr>
        <w:t>Rohena</w:t>
      </w:r>
      <w:proofErr w:type="spellEnd"/>
      <w:r w:rsidRPr="00D700E7">
        <w:rPr>
          <w:rFonts w:ascii="Book Antiqua" w:eastAsia="MS Mincho" w:hAnsi="Book Antiqua"/>
          <w:sz w:val="24"/>
          <w:szCs w:val="24"/>
          <w:lang w:val="es-ES_tradnl"/>
        </w:rPr>
        <w:t xml:space="preserve"> de Carolina en mayo de 2023, lo que desató el pánico entre estudiantes y padres, y puso de manifiesto la falta de un protocolo efectivo de respuesta.</w:t>
      </w:r>
    </w:p>
    <w:p w14:paraId="2CBEA4C2"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p>
    <w:p w14:paraId="28C35F80"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r w:rsidRPr="00D700E7">
        <w:rPr>
          <w:rFonts w:ascii="Book Antiqua" w:eastAsia="MS Mincho" w:hAnsi="Book Antiqua"/>
          <w:sz w:val="24"/>
          <w:szCs w:val="24"/>
          <w:lang w:val="es-ES_tradnl"/>
        </w:rPr>
        <w:t xml:space="preserve">Ante estos preocupantes incidentes, el Departamento de Educación de Puerto Rico, en colaboración con el Departamento de Seguridad Pública y el Negociado de la Policía, ha implementado una serie de adiestramientos y revisiones de protocolos para mejorar la preparación de la comunidad escolar frente a posibles eventos de tiradores activos. En diciembre de 2022, se inició un plan de adiestramientos dirigido a directores, maestros, personal administrativo y demás miembros de la comunidad escolar, que incluye el desarrollo de simulacros en los planteles. Esta iniciativa responde a la Resolución </w:t>
      </w:r>
      <w:r w:rsidRPr="00D700E7">
        <w:rPr>
          <w:rFonts w:ascii="Book Antiqua" w:eastAsia="MS Mincho" w:hAnsi="Book Antiqua"/>
          <w:sz w:val="24"/>
          <w:szCs w:val="24"/>
          <w:lang w:val="es-ES_tradnl"/>
        </w:rPr>
        <w:lastRenderedPageBreak/>
        <w:t>Conjunta Núm. 38 del 19 de julio de 2019, que ordenó la creación de protocolos y la realización de simulacros anuales para enfrentar situaciones de emergencia con tiradores activos.</w:t>
      </w:r>
      <w:r w:rsidR="000F0FF1" w:rsidRPr="00D700E7">
        <w:rPr>
          <w:rFonts w:ascii="Book Antiqua" w:eastAsia="MS Mincho" w:hAnsi="Book Antiqua"/>
          <w:sz w:val="24"/>
          <w:szCs w:val="24"/>
          <w:lang w:val="es-ES_tradnl"/>
        </w:rPr>
        <w:t xml:space="preserve"> Para atender dicho particular, el Departamento de Seguridad Pública</w:t>
      </w:r>
      <w:r w:rsidR="00D70CD0" w:rsidRPr="00D700E7">
        <w:rPr>
          <w:rFonts w:ascii="Book Antiqua" w:eastAsia="MS Mincho" w:hAnsi="Book Antiqua"/>
          <w:sz w:val="24"/>
          <w:szCs w:val="24"/>
          <w:lang w:val="es-ES_tradnl"/>
        </w:rPr>
        <w:t>, el Negociado de la Policía de Puerto Rico y el Departamento de Educación</w:t>
      </w:r>
      <w:r w:rsidR="00962088" w:rsidRPr="00D700E7">
        <w:rPr>
          <w:rFonts w:ascii="Book Antiqua" w:eastAsia="MS Mincho" w:hAnsi="Book Antiqua"/>
          <w:sz w:val="24"/>
          <w:szCs w:val="24"/>
          <w:lang w:val="es-ES_tradnl"/>
        </w:rPr>
        <w:t xml:space="preserve"> suscribieron un Acuerdo </w:t>
      </w:r>
      <w:proofErr w:type="spellStart"/>
      <w:r w:rsidR="00962088" w:rsidRPr="00D700E7">
        <w:rPr>
          <w:rFonts w:ascii="Book Antiqua" w:eastAsia="MS Mincho" w:hAnsi="Book Antiqua"/>
          <w:sz w:val="24"/>
          <w:szCs w:val="24"/>
          <w:lang w:val="es-ES_tradnl"/>
        </w:rPr>
        <w:t>Interagencial</w:t>
      </w:r>
      <w:proofErr w:type="spellEnd"/>
      <w:r w:rsidR="00962088" w:rsidRPr="00D700E7">
        <w:rPr>
          <w:rFonts w:ascii="Book Antiqua" w:eastAsia="MS Mincho" w:hAnsi="Book Antiqua"/>
          <w:sz w:val="24"/>
          <w:szCs w:val="24"/>
          <w:lang w:val="es-ES_tradnl"/>
        </w:rPr>
        <w:t xml:space="preserve">, con fecha de 13 de diciembre de 2022 </w:t>
      </w:r>
      <w:r w:rsidR="00941EB2" w:rsidRPr="00D700E7">
        <w:rPr>
          <w:rFonts w:ascii="Book Antiqua" w:eastAsia="MS Mincho" w:hAnsi="Book Antiqua"/>
          <w:sz w:val="24"/>
          <w:szCs w:val="24"/>
          <w:lang w:val="es-ES_tradnl"/>
        </w:rPr>
        <w:t>y con vigencia hasta el 30 de junio de 2025</w:t>
      </w:r>
      <w:r w:rsidR="00516190" w:rsidRPr="00D700E7">
        <w:rPr>
          <w:rFonts w:ascii="Book Antiqua" w:eastAsia="MS Mincho" w:hAnsi="Book Antiqua"/>
          <w:sz w:val="24"/>
          <w:szCs w:val="24"/>
          <w:lang w:val="es-ES_tradnl"/>
        </w:rPr>
        <w:t xml:space="preserve">, mediante el cual </w:t>
      </w:r>
      <w:r w:rsidR="009841BC" w:rsidRPr="00D700E7">
        <w:rPr>
          <w:rFonts w:ascii="Book Antiqua" w:eastAsia="MS Mincho" w:hAnsi="Book Antiqua"/>
          <w:sz w:val="24"/>
          <w:szCs w:val="24"/>
          <w:lang w:val="es-ES_tradnl"/>
        </w:rPr>
        <w:t>se coordinarían adiestramientos y se evaluaría la capacidad de respuesta</w:t>
      </w:r>
      <w:r w:rsidR="00C5425C" w:rsidRPr="00D700E7">
        <w:rPr>
          <w:rFonts w:ascii="Book Antiqua" w:eastAsia="MS Mincho" w:hAnsi="Book Antiqua"/>
          <w:sz w:val="24"/>
          <w:szCs w:val="24"/>
          <w:lang w:val="es-ES_tradnl"/>
        </w:rPr>
        <w:t xml:space="preserve"> en situaciones de tirador activo.</w:t>
      </w:r>
      <w:r w:rsidR="00D70CD0" w:rsidRPr="00D700E7">
        <w:rPr>
          <w:rFonts w:ascii="Book Antiqua" w:eastAsia="MS Mincho" w:hAnsi="Book Antiqua"/>
          <w:sz w:val="24"/>
          <w:szCs w:val="24"/>
          <w:lang w:val="es-ES_tradnl"/>
        </w:rPr>
        <w:t xml:space="preserve"> </w:t>
      </w:r>
    </w:p>
    <w:p w14:paraId="6A336DBD" w14:textId="77777777" w:rsidR="00D325C4" w:rsidRPr="00D325C4" w:rsidRDefault="00D325C4" w:rsidP="007F0513">
      <w:pPr>
        <w:spacing w:after="0" w:line="240" w:lineRule="auto"/>
        <w:ind w:firstLine="567"/>
        <w:jc w:val="both"/>
        <w:rPr>
          <w:rFonts w:ascii="Book Antiqua" w:eastAsia="MS Mincho" w:hAnsi="Book Antiqua"/>
          <w:sz w:val="24"/>
          <w:szCs w:val="24"/>
          <w:lang w:val="es-ES_tradnl"/>
        </w:rPr>
      </w:pPr>
    </w:p>
    <w:p w14:paraId="5205ED5C"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r w:rsidRPr="00D700E7">
        <w:rPr>
          <w:rFonts w:ascii="Book Antiqua" w:eastAsia="MS Mincho" w:hAnsi="Book Antiqua"/>
          <w:sz w:val="24"/>
          <w:szCs w:val="24"/>
          <w:lang w:val="es-ES_tradnl"/>
        </w:rPr>
        <w:t>El propósito de esta investigación es verificar el estatus actual de los protocolos establecidos por el Departamento de Educación, así como evaluar la efectividad de los adiestramientos realizados a la comunidad escolar, incluyendo a directores, maestros, personal no docente, estudiantes y padres. Además, se investigará la realización de simulacros en los planteles y se determinará si se han cumplido con las fases anunciadas por la Agencia. Es fundamental que se asegure la correcta implementación de estos protocolos y que se fomente la participación de toda la comunidad educativa, con el fin de proteger la vida y seguridad de nuestros niños, jóvenes y personal escolar.</w:t>
      </w:r>
    </w:p>
    <w:p w14:paraId="486FCC5F" w14:textId="77777777" w:rsidR="00D325C4" w:rsidRPr="00D700E7" w:rsidRDefault="00D325C4" w:rsidP="007F0513">
      <w:pPr>
        <w:spacing w:after="0" w:line="240" w:lineRule="auto"/>
        <w:ind w:firstLine="567"/>
        <w:jc w:val="both"/>
        <w:rPr>
          <w:rFonts w:ascii="Book Antiqua" w:eastAsia="MS Mincho" w:hAnsi="Book Antiqua"/>
          <w:sz w:val="24"/>
          <w:szCs w:val="24"/>
          <w:lang w:val="es-ES_tradnl"/>
        </w:rPr>
      </w:pPr>
    </w:p>
    <w:p w14:paraId="04002C36" w14:textId="77777777" w:rsidR="00DD4ED0" w:rsidRPr="00D700E7" w:rsidRDefault="00D325C4" w:rsidP="007F0513">
      <w:pPr>
        <w:spacing w:after="0" w:line="240" w:lineRule="auto"/>
        <w:ind w:firstLine="567"/>
        <w:jc w:val="both"/>
        <w:rPr>
          <w:rFonts w:ascii="Book Antiqua" w:eastAsia="MS Mincho" w:hAnsi="Book Antiqua"/>
          <w:sz w:val="24"/>
          <w:szCs w:val="24"/>
          <w:lang w:val="es-ES_tradnl"/>
        </w:rPr>
      </w:pPr>
      <w:r w:rsidRPr="00D700E7">
        <w:rPr>
          <w:rFonts w:ascii="Book Antiqua" w:eastAsia="MS Mincho" w:hAnsi="Book Antiqua"/>
          <w:sz w:val="24"/>
          <w:szCs w:val="24"/>
          <w:lang w:val="es-ES_tradnl"/>
        </w:rPr>
        <w:t>Ante la posibilidad de que Puerto Rico no esté exento de un evento de tirador activo, es imperativo que la comunidad educativa esté debidamente preparada para actuar de manera rápida y efectiva en caso de una amenaza real. Solo con un enfoque integral que incluya a todos los actores involucrados, desde estudiantes y maestros hasta padres y encargados, se podrá garantizar un ambiente seguro para nuestros niños y jóvenes.</w:t>
      </w:r>
    </w:p>
    <w:p w14:paraId="15ACC2FA" w14:textId="77777777" w:rsidR="00D325C4" w:rsidRDefault="00D325C4" w:rsidP="00D325C4">
      <w:pPr>
        <w:spacing w:after="0" w:line="240" w:lineRule="auto"/>
        <w:ind w:firstLine="720"/>
        <w:jc w:val="both"/>
        <w:rPr>
          <w:rFonts w:ascii="Book Antiqua" w:eastAsia="Times New Roman" w:hAnsi="Book Antiqua"/>
          <w:i/>
          <w:iCs/>
          <w:sz w:val="24"/>
          <w:szCs w:val="24"/>
          <w:lang w:val="es-ES_tradnl"/>
        </w:rPr>
      </w:pPr>
    </w:p>
    <w:p w14:paraId="1FC09C81"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3B40D6BB"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417AA3EB"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18EF3C00" w14:textId="0BADC49B" w:rsidR="0052225C" w:rsidRPr="00D700E7" w:rsidRDefault="003E7820" w:rsidP="00B106D5">
      <w:pPr>
        <w:widowControl w:val="0"/>
        <w:spacing w:after="0" w:line="480" w:lineRule="auto"/>
        <w:ind w:firstLine="567"/>
        <w:jc w:val="both"/>
        <w:rPr>
          <w:rFonts w:ascii="Book Antiqua" w:eastAsia="MS Mincho" w:hAnsi="Book Antiqua"/>
          <w:sz w:val="24"/>
          <w:szCs w:val="24"/>
          <w:lang w:val="es-PR"/>
        </w:rPr>
      </w:pPr>
      <w:r w:rsidRPr="00D700E7">
        <w:rPr>
          <w:rFonts w:ascii="Book Antiqua" w:eastAsia="MS Mincho" w:hAnsi="Book Antiqua"/>
          <w:sz w:val="24"/>
          <w:szCs w:val="24"/>
          <w:lang w:val="es-PR"/>
        </w:rPr>
        <w:t xml:space="preserve">Sección 1.-Se ordena a </w:t>
      </w:r>
      <w:r w:rsidR="00C757FE" w:rsidRPr="00D700E7">
        <w:rPr>
          <w:rFonts w:ascii="Book Antiqua" w:eastAsia="MS Mincho" w:hAnsi="Book Antiqua"/>
          <w:sz w:val="24"/>
          <w:szCs w:val="24"/>
          <w:lang w:val="es-PR"/>
        </w:rPr>
        <w:t>la</w:t>
      </w:r>
      <w:r w:rsidR="009E182A" w:rsidRPr="00D700E7">
        <w:rPr>
          <w:rFonts w:ascii="Book Antiqua" w:eastAsia="MS Mincho" w:hAnsi="Book Antiqua"/>
          <w:sz w:val="24"/>
          <w:szCs w:val="24"/>
          <w:lang w:val="es-PR"/>
        </w:rPr>
        <w:t xml:space="preserve"> </w:t>
      </w:r>
      <w:r w:rsidR="00D325C4" w:rsidRPr="00D700E7">
        <w:rPr>
          <w:rFonts w:ascii="Book Antiqua" w:eastAsia="MS Mincho" w:hAnsi="Book Antiqua"/>
          <w:sz w:val="24"/>
          <w:szCs w:val="24"/>
          <w:lang w:val="es-PR"/>
        </w:rPr>
        <w:t xml:space="preserve">Comisión de Educación de la Cámara de Representantes de Puerto Rico, </w:t>
      </w:r>
      <w:r w:rsidR="0052225C" w:rsidRPr="00D700E7">
        <w:rPr>
          <w:rFonts w:ascii="Book Antiqua" w:hAnsi="Book Antiqua"/>
          <w:sz w:val="24"/>
          <w:szCs w:val="24"/>
          <w:lang w:val="es-PR"/>
        </w:rPr>
        <w:t>investigar y evaluar los protocolos del Departamento de</w:t>
      </w:r>
      <w:r w:rsidR="00B106D5" w:rsidRPr="00D700E7">
        <w:rPr>
          <w:rFonts w:ascii="Book Antiqua" w:hAnsi="Book Antiqua"/>
          <w:sz w:val="24"/>
          <w:szCs w:val="24"/>
          <w:lang w:val="es-PR"/>
        </w:rPr>
        <w:t xml:space="preserve"> Educación</w:t>
      </w:r>
      <w:r w:rsidR="0052225C" w:rsidRPr="00D700E7">
        <w:rPr>
          <w:rFonts w:ascii="Book Antiqua" w:hAnsi="Book Antiqua"/>
          <w:sz w:val="24"/>
          <w:szCs w:val="24"/>
          <w:lang w:val="es-PR"/>
        </w:rPr>
        <w:t xml:space="preserve"> relacionados con la </w:t>
      </w:r>
      <w:proofErr w:type="spellStart"/>
      <w:r w:rsidR="0052225C" w:rsidRPr="00D700E7">
        <w:rPr>
          <w:rFonts w:ascii="Book Antiqua" w:hAnsi="Book Antiqua"/>
          <w:sz w:val="24"/>
          <w:szCs w:val="24"/>
          <w:lang w:val="es-PR"/>
        </w:rPr>
        <w:t>preparaci</w:t>
      </w:r>
      <w:r w:rsidR="0052225C" w:rsidRPr="00D700E7">
        <w:rPr>
          <w:rFonts w:ascii="Book Antiqua" w:hAnsi="Book Antiqua"/>
          <w:sz w:val="24"/>
          <w:szCs w:val="24"/>
          <w:lang w:val="es-ES_tradnl"/>
        </w:rPr>
        <w:t>ón</w:t>
      </w:r>
      <w:proofErr w:type="spellEnd"/>
      <w:r w:rsidR="0052225C" w:rsidRPr="00D700E7">
        <w:rPr>
          <w:rFonts w:ascii="Book Antiqua" w:hAnsi="Book Antiqua"/>
          <w:sz w:val="24"/>
          <w:szCs w:val="24"/>
          <w:lang w:val="es-ES_tradnl"/>
        </w:rPr>
        <w:t xml:space="preserve"> y respuesta ante </w:t>
      </w:r>
      <w:r w:rsidR="0052225C" w:rsidRPr="00D700E7">
        <w:rPr>
          <w:rFonts w:ascii="Book Antiqua" w:hAnsi="Book Antiqua"/>
          <w:sz w:val="24"/>
          <w:szCs w:val="24"/>
          <w:lang w:val="es-PR"/>
        </w:rPr>
        <w:t>incidentes de tirador activo en las escuelas, incluyendo planes de adiestramiento a la comunidad escolar en general; calendarios de simulacro; así como todo otro esfuerzo de prevención sobre este tema</w:t>
      </w:r>
      <w:r w:rsidR="00B106D5" w:rsidRPr="00D700E7">
        <w:rPr>
          <w:rFonts w:ascii="Book Antiqua" w:hAnsi="Book Antiqua"/>
          <w:sz w:val="24"/>
          <w:szCs w:val="24"/>
          <w:lang w:val="es-PR"/>
        </w:rPr>
        <w:t>.</w:t>
      </w:r>
    </w:p>
    <w:p w14:paraId="2CDD865F" w14:textId="22F134D9" w:rsidR="00853701" w:rsidRPr="00D700E7" w:rsidRDefault="003E7820" w:rsidP="00853701">
      <w:pPr>
        <w:widowControl w:val="0"/>
        <w:spacing w:after="0" w:line="480" w:lineRule="auto"/>
        <w:ind w:firstLine="567"/>
        <w:jc w:val="both"/>
        <w:rPr>
          <w:rFonts w:ascii="Book Antiqua" w:eastAsia="MS Mincho" w:hAnsi="Book Antiqua"/>
          <w:sz w:val="24"/>
          <w:szCs w:val="24"/>
          <w:lang w:val="es-PR"/>
        </w:rPr>
      </w:pPr>
      <w:r w:rsidRPr="00D700E7">
        <w:rPr>
          <w:rFonts w:ascii="Book Antiqua" w:eastAsia="MS Mincho" w:hAnsi="Book Antiqua"/>
          <w:sz w:val="24"/>
          <w:szCs w:val="24"/>
          <w:lang w:val="es-PR"/>
        </w:rPr>
        <w:t>Sección 2.-La</w:t>
      </w:r>
      <w:r w:rsidRPr="00D700E7">
        <w:rPr>
          <w:lang w:val="es-PR"/>
        </w:rPr>
        <w:t xml:space="preserve"> </w:t>
      </w:r>
      <w:r w:rsidRPr="00D700E7">
        <w:rPr>
          <w:rFonts w:ascii="Book Antiqua" w:eastAsia="MS Mincho" w:hAnsi="Book Antiqua"/>
          <w:sz w:val="24"/>
          <w:szCs w:val="24"/>
          <w:lang w:val="es-PR"/>
        </w:rPr>
        <w:t xml:space="preserve">Comisión </w:t>
      </w:r>
      <w:r w:rsidR="00DD4ED0" w:rsidRPr="00D700E7">
        <w:rPr>
          <w:rFonts w:ascii="Book Antiqua" w:eastAsia="MS Mincho" w:hAnsi="Book Antiqua"/>
          <w:sz w:val="24"/>
          <w:szCs w:val="24"/>
          <w:lang w:val="es-PR"/>
        </w:rPr>
        <w:t xml:space="preserve">de </w:t>
      </w:r>
      <w:r w:rsidR="00D325C4" w:rsidRPr="00D700E7">
        <w:rPr>
          <w:rFonts w:ascii="Book Antiqua" w:eastAsia="MS Mincho" w:hAnsi="Book Antiqua"/>
          <w:sz w:val="24"/>
          <w:szCs w:val="24"/>
          <w:lang w:val="es-PR"/>
        </w:rPr>
        <w:t xml:space="preserve">Educación </w:t>
      </w:r>
      <w:r w:rsidR="00853701" w:rsidRPr="00D700E7">
        <w:rPr>
          <w:rFonts w:ascii="Book Antiqua" w:hAnsi="Book Antiqua"/>
          <w:sz w:val="24"/>
          <w:szCs w:val="24"/>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00853701" w:rsidRPr="00D700E7">
        <w:rPr>
          <w:rFonts w:ascii="Book Antiqua" w:hAnsi="Book Antiqua"/>
          <w:sz w:val="24"/>
          <w:szCs w:val="24"/>
          <w:lang w:val="es-ES_tradnl"/>
        </w:rPr>
        <w:t xml:space="preserve">la Vigésima Asamblea Legislativa.   </w:t>
      </w:r>
    </w:p>
    <w:p w14:paraId="4978B118" w14:textId="77777777" w:rsidR="00D056D7" w:rsidRPr="00D700E7" w:rsidRDefault="003E7820" w:rsidP="007F0513">
      <w:pPr>
        <w:widowControl w:val="0"/>
        <w:spacing w:after="0" w:line="480" w:lineRule="auto"/>
        <w:ind w:firstLine="567"/>
        <w:jc w:val="both"/>
        <w:rPr>
          <w:rFonts w:ascii="Book Antiqua" w:eastAsia="MS Mincho" w:hAnsi="Book Antiqua"/>
          <w:sz w:val="24"/>
          <w:szCs w:val="24"/>
          <w:lang w:val="es-ES_tradnl"/>
        </w:rPr>
      </w:pPr>
      <w:r w:rsidRPr="00D700E7">
        <w:rPr>
          <w:rFonts w:ascii="Book Antiqua" w:eastAsia="MS Mincho" w:hAnsi="Book Antiqua"/>
          <w:sz w:val="24"/>
          <w:szCs w:val="24"/>
          <w:lang w:val="es-ES_tradnl"/>
        </w:rPr>
        <w:lastRenderedPageBreak/>
        <w:t>Sección 3.-Esta Resolución comenzará a regir inmediatamente después de su aprobación.</w:t>
      </w:r>
    </w:p>
    <w:sectPr w:rsidR="00D056D7" w:rsidRPr="00D700E7"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46D57" w14:textId="77777777" w:rsidR="00D700E7" w:rsidRDefault="00D700E7">
      <w:pPr>
        <w:spacing w:after="0" w:line="240" w:lineRule="auto"/>
      </w:pPr>
      <w:r>
        <w:separator/>
      </w:r>
    </w:p>
  </w:endnote>
  <w:endnote w:type="continuationSeparator" w:id="0">
    <w:p w14:paraId="3CB17EFC" w14:textId="77777777" w:rsidR="00D700E7" w:rsidRDefault="00D70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2DBA3" w14:textId="77777777" w:rsidR="00D700E7" w:rsidRDefault="00D700E7">
      <w:pPr>
        <w:spacing w:after="0" w:line="240" w:lineRule="auto"/>
      </w:pPr>
      <w:r>
        <w:separator/>
      </w:r>
    </w:p>
  </w:footnote>
  <w:footnote w:type="continuationSeparator" w:id="0">
    <w:p w14:paraId="33B49C58" w14:textId="77777777" w:rsidR="00D700E7" w:rsidRDefault="00D700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0E72C" w14:textId="77777777" w:rsidR="00B106D5" w:rsidRDefault="00B106D5" w:rsidP="00D80B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615FD3" w14:textId="77777777" w:rsidR="00B106D5" w:rsidRDefault="00B106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3A856" w14:textId="77777777" w:rsidR="00B106D5" w:rsidRDefault="00B106D5" w:rsidP="009E182A">
    <w:pPr>
      <w:pStyle w:val="Header"/>
      <w:framePr w:wrap="around" w:vAnchor="text" w:hAnchor="page" w:x="6011" w:y="1"/>
      <w:rPr>
        <w:rStyle w:val="PageNumber"/>
      </w:rPr>
    </w:pPr>
    <w:r>
      <w:rPr>
        <w:rStyle w:val="PageNumber"/>
      </w:rPr>
      <w:fldChar w:fldCharType="begin"/>
    </w:r>
    <w:r>
      <w:rPr>
        <w:rStyle w:val="PageNumber"/>
      </w:rPr>
      <w:instrText xml:space="preserve">PAGE  </w:instrText>
    </w:r>
    <w:r>
      <w:rPr>
        <w:rStyle w:val="PageNumber"/>
      </w:rPr>
      <w:fldChar w:fldCharType="separate"/>
    </w:r>
    <w:r w:rsidR="00853701">
      <w:rPr>
        <w:rStyle w:val="PageNumber"/>
        <w:noProof/>
      </w:rPr>
      <w:t>2</w:t>
    </w:r>
    <w:r>
      <w:rPr>
        <w:rStyle w:val="PageNumber"/>
      </w:rPr>
      <w:fldChar w:fldCharType="end"/>
    </w:r>
  </w:p>
  <w:p w14:paraId="773DD6D6" w14:textId="77777777" w:rsidR="00B106D5" w:rsidRDefault="00B106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B7430" w14:textId="7C75CFC6" w:rsidR="00B106D5" w:rsidRDefault="00B106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00E7">
      <w:rPr>
        <w:rStyle w:val="PageNumber"/>
        <w:noProof/>
      </w:rPr>
      <w:t>2</w:t>
    </w:r>
    <w:r>
      <w:rPr>
        <w:rStyle w:val="PageNumber"/>
      </w:rPr>
      <w:fldChar w:fldCharType="end"/>
    </w:r>
  </w:p>
  <w:p w14:paraId="71851679" w14:textId="77777777" w:rsidR="00B106D5" w:rsidRDefault="00B106D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C2CE2" w14:textId="77777777" w:rsidR="00B106D5" w:rsidRDefault="00B106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53701">
      <w:rPr>
        <w:rStyle w:val="PageNumber"/>
        <w:noProof/>
      </w:rPr>
      <w:t>4</w:t>
    </w:r>
    <w:r>
      <w:rPr>
        <w:rStyle w:val="PageNumber"/>
      </w:rPr>
      <w:fldChar w:fldCharType="end"/>
    </w:r>
  </w:p>
  <w:p w14:paraId="2292CCBE" w14:textId="786952F9" w:rsidR="00B106D5" w:rsidRDefault="00D700E7">
    <w:r>
      <w:rPr>
        <w:noProof/>
      </w:rPr>
      <mc:AlternateContent>
        <mc:Choice Requires="wps">
          <w:drawing>
            <wp:anchor distT="0" distB="0" distL="114300" distR="114300" simplePos="0" relativeHeight="251657728" behindDoc="0" locked="0" layoutInCell="0" allowOverlap="1" wp14:anchorId="7EEDBA6B" wp14:editId="089933EA">
              <wp:simplePos x="0" y="0"/>
              <wp:positionH relativeFrom="margin">
                <wp:posOffset>0</wp:posOffset>
              </wp:positionH>
              <wp:positionV relativeFrom="paragraph">
                <wp:posOffset>-914400</wp:posOffset>
              </wp:positionV>
              <wp:extent cx="5943600" cy="152400"/>
              <wp:effectExtent l="0" t="0" r="0" b="0"/>
              <wp:wrapNone/>
              <wp:docPr id="21524730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wps:spPr>
                    <wps:txbx>
                      <w:txbxContent>
                        <w:p w14:paraId="0115A498" w14:textId="77777777" w:rsidR="00B106D5" w:rsidRDefault="00B106D5">
                          <w:pPr>
                            <w:rPr>
                              <w:sz w:val="24"/>
                            </w:rPr>
                          </w:pPr>
                        </w:p>
                        <w:p w14:paraId="3658094D" w14:textId="77777777" w:rsidR="00B106D5" w:rsidRDefault="00B106D5">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EDBA6B"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0115A498" w14:textId="77777777" w:rsidR="00B106D5" w:rsidRDefault="00B106D5">
                    <w:pPr>
                      <w:rPr>
                        <w:sz w:val="24"/>
                      </w:rPr>
                    </w:pPr>
                  </w:p>
                  <w:p w14:paraId="3658094D" w14:textId="77777777" w:rsidR="00B106D5" w:rsidRDefault="00B106D5">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0E7"/>
    <w:rsid w:val="00002690"/>
    <w:rsid w:val="000A79CD"/>
    <w:rsid w:val="000B7643"/>
    <w:rsid w:val="000F0FF1"/>
    <w:rsid w:val="00120CCD"/>
    <w:rsid w:val="00140BBA"/>
    <w:rsid w:val="001F1B1E"/>
    <w:rsid w:val="002B1815"/>
    <w:rsid w:val="00337784"/>
    <w:rsid w:val="003741A5"/>
    <w:rsid w:val="003958A5"/>
    <w:rsid w:val="003C65C8"/>
    <w:rsid w:val="003E2A5E"/>
    <w:rsid w:val="003E7820"/>
    <w:rsid w:val="00422695"/>
    <w:rsid w:val="004349A5"/>
    <w:rsid w:val="004826E7"/>
    <w:rsid w:val="00497C57"/>
    <w:rsid w:val="004A5EC0"/>
    <w:rsid w:val="00516190"/>
    <w:rsid w:val="00521E8B"/>
    <w:rsid w:val="0052225C"/>
    <w:rsid w:val="0052265C"/>
    <w:rsid w:val="005253C3"/>
    <w:rsid w:val="00543E05"/>
    <w:rsid w:val="0054505E"/>
    <w:rsid w:val="00592027"/>
    <w:rsid w:val="005A2239"/>
    <w:rsid w:val="005E4A2E"/>
    <w:rsid w:val="005F519F"/>
    <w:rsid w:val="00604E91"/>
    <w:rsid w:val="006477B8"/>
    <w:rsid w:val="00654548"/>
    <w:rsid w:val="006611F6"/>
    <w:rsid w:val="006D7F2B"/>
    <w:rsid w:val="00721FBC"/>
    <w:rsid w:val="007440F8"/>
    <w:rsid w:val="00752CE8"/>
    <w:rsid w:val="007F0513"/>
    <w:rsid w:val="00832152"/>
    <w:rsid w:val="00853701"/>
    <w:rsid w:val="00855A2C"/>
    <w:rsid w:val="008759E6"/>
    <w:rsid w:val="009164A9"/>
    <w:rsid w:val="00941EB2"/>
    <w:rsid w:val="00962088"/>
    <w:rsid w:val="009841BC"/>
    <w:rsid w:val="00995861"/>
    <w:rsid w:val="009D4F35"/>
    <w:rsid w:val="009E182A"/>
    <w:rsid w:val="00A03BF3"/>
    <w:rsid w:val="00A13624"/>
    <w:rsid w:val="00A47AFF"/>
    <w:rsid w:val="00A47C19"/>
    <w:rsid w:val="00A6433F"/>
    <w:rsid w:val="00B106D5"/>
    <w:rsid w:val="00B27929"/>
    <w:rsid w:val="00B96B8F"/>
    <w:rsid w:val="00BE6A03"/>
    <w:rsid w:val="00C1175E"/>
    <w:rsid w:val="00C5425C"/>
    <w:rsid w:val="00C757FE"/>
    <w:rsid w:val="00C83C8A"/>
    <w:rsid w:val="00C912E5"/>
    <w:rsid w:val="00CB13A6"/>
    <w:rsid w:val="00CC58DC"/>
    <w:rsid w:val="00CD6646"/>
    <w:rsid w:val="00CF105B"/>
    <w:rsid w:val="00D056D7"/>
    <w:rsid w:val="00D128B8"/>
    <w:rsid w:val="00D325C4"/>
    <w:rsid w:val="00D700E7"/>
    <w:rsid w:val="00D70CD0"/>
    <w:rsid w:val="00D80BE4"/>
    <w:rsid w:val="00DD4ED0"/>
    <w:rsid w:val="00DE6616"/>
    <w:rsid w:val="00E2174C"/>
    <w:rsid w:val="00E46D6A"/>
    <w:rsid w:val="00E54860"/>
    <w:rsid w:val="00EC61EE"/>
    <w:rsid w:val="00EE7834"/>
    <w:rsid w:val="00F12DA5"/>
    <w:rsid w:val="00F53857"/>
    <w:rsid w:val="00FA257A"/>
    <w:rsid w:val="00FA764F"/>
    <w:rsid w:val="00FD5843"/>
    <w:rsid w:val="00FD692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3AA2CC"/>
  <w15:docId w15:val="{7E36AF0D-9673-4848-A907-4456B874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pPr>
      <w:spacing w:after="160" w:line="259" w:lineRule="auto"/>
    </w:pPr>
    <w:rPr>
      <w:rFonts w:ascii="Calibri" w:eastAsia="Calibri" w:hAnsi="Calibri"/>
      <w:sz w:val="22"/>
      <w:szCs w:val="22"/>
      <w:lang w:val="en-US" w:eastAsia="en-US"/>
    </w:rPr>
  </w:style>
  <w:style w:type="paragraph" w:styleId="Heading1">
    <w:name w:val="heading 1"/>
    <w:basedOn w:val="Normal"/>
    <w:next w:val="Normal"/>
    <w:link w:val="Heading1Char"/>
    <w:uiPriority w:val="9"/>
    <w:qFormat/>
    <w:rsid w:val="00721FBC"/>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Yu Gothic Light"/>
      <w:color w:val="595959"/>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21FBC"/>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721FBC"/>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721FBC"/>
    <w:rPr>
      <w:rFonts w:eastAsia="Yu Gothic Light" w:cs="Times New Roman"/>
      <w:color w:val="0F4761"/>
      <w:sz w:val="28"/>
      <w:szCs w:val="28"/>
    </w:rPr>
  </w:style>
  <w:style w:type="character" w:customStyle="1" w:styleId="Heading4Char">
    <w:name w:val="Heading 4 Char"/>
    <w:link w:val="Heading4"/>
    <w:uiPriority w:val="9"/>
    <w:semiHidden/>
    <w:rsid w:val="00721FBC"/>
    <w:rPr>
      <w:rFonts w:eastAsia="Yu Gothic Light" w:cs="Times New Roman"/>
      <w:i/>
      <w:iCs/>
      <w:color w:val="0F4761"/>
    </w:rPr>
  </w:style>
  <w:style w:type="character" w:customStyle="1" w:styleId="Heading5Char">
    <w:name w:val="Heading 5 Char"/>
    <w:link w:val="Heading5"/>
    <w:uiPriority w:val="9"/>
    <w:semiHidden/>
    <w:rsid w:val="00721FBC"/>
    <w:rPr>
      <w:rFonts w:eastAsia="Yu Gothic Light" w:cs="Times New Roman"/>
      <w:color w:val="0F4761"/>
    </w:rPr>
  </w:style>
  <w:style w:type="character" w:customStyle="1" w:styleId="Heading6Char">
    <w:name w:val="Heading 6 Char"/>
    <w:link w:val="Heading6"/>
    <w:uiPriority w:val="9"/>
    <w:semiHidden/>
    <w:rsid w:val="00721FBC"/>
    <w:rPr>
      <w:rFonts w:eastAsia="Yu Gothic Light" w:cs="Times New Roman"/>
      <w:i/>
      <w:iCs/>
      <w:color w:val="595959"/>
    </w:rPr>
  </w:style>
  <w:style w:type="character" w:customStyle="1" w:styleId="Heading7Char">
    <w:name w:val="Heading 7 Char"/>
    <w:link w:val="Heading7"/>
    <w:uiPriority w:val="9"/>
    <w:semiHidden/>
    <w:rsid w:val="00721FBC"/>
    <w:rPr>
      <w:rFonts w:eastAsia="Yu Gothic Light" w:cs="Times New Roman"/>
      <w:color w:val="595959"/>
    </w:rPr>
  </w:style>
  <w:style w:type="character" w:customStyle="1" w:styleId="Heading8Char">
    <w:name w:val="Heading 8 Char"/>
    <w:link w:val="Heading8"/>
    <w:uiPriority w:val="9"/>
    <w:semiHidden/>
    <w:rsid w:val="00721FBC"/>
    <w:rPr>
      <w:rFonts w:eastAsia="Yu Gothic Light" w:cs="Times New Roman"/>
      <w:i/>
      <w:iCs/>
      <w:color w:val="272727"/>
    </w:rPr>
  </w:style>
  <w:style w:type="character" w:customStyle="1" w:styleId="Heading9Char">
    <w:name w:val="Heading 9 Char"/>
    <w:link w:val="Heading9"/>
    <w:uiPriority w:val="9"/>
    <w:semiHidden/>
    <w:rsid w:val="00721FBC"/>
    <w:rPr>
      <w:rFonts w:eastAsia="Yu Gothic Light" w:cs="Times New Roman"/>
      <w:color w:val="272727"/>
    </w:rPr>
  </w:style>
  <w:style w:type="paragraph" w:styleId="Title">
    <w:name w:val="Title"/>
    <w:basedOn w:val="Normal"/>
    <w:next w:val="Normal"/>
    <w:link w:val="TitleChar"/>
    <w:uiPriority w:val="10"/>
    <w:qFormat/>
    <w:rsid w:val="00721FBC"/>
    <w:pPr>
      <w:spacing w:after="80" w:line="240" w:lineRule="auto"/>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721FBC"/>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Yu Gothic Light"/>
      <w:color w:val="595959"/>
      <w:spacing w:val="15"/>
      <w:sz w:val="28"/>
      <w:szCs w:val="28"/>
    </w:rPr>
  </w:style>
  <w:style w:type="character" w:customStyle="1" w:styleId="SubtitleChar">
    <w:name w:val="Subtitle Char"/>
    <w:link w:val="Subtitle"/>
    <w:uiPriority w:val="11"/>
    <w:rsid w:val="00721FBC"/>
    <w:rPr>
      <w:rFonts w:eastAsia="Yu Gothic Light" w:cs="Times New Roman"/>
      <w:color w:val="595959"/>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rPr>
  </w:style>
  <w:style w:type="character" w:customStyle="1" w:styleId="QuoteChar">
    <w:name w:val="Quote Char"/>
    <w:link w:val="Quote"/>
    <w:uiPriority w:val="29"/>
    <w:rsid w:val="00721FBC"/>
    <w:rPr>
      <w:i/>
      <w:iCs/>
      <w:color w:val="404040"/>
    </w:rPr>
  </w:style>
  <w:style w:type="paragraph" w:styleId="ListParagraph">
    <w:name w:val="List Paragraph"/>
    <w:basedOn w:val="Normal"/>
    <w:uiPriority w:val="34"/>
    <w:qFormat/>
    <w:rsid w:val="00721FBC"/>
    <w:pPr>
      <w:ind w:left="720"/>
      <w:contextualSpacing/>
    </w:pPr>
  </w:style>
  <w:style w:type="character" w:styleId="IntenseEmphasis">
    <w:name w:val="Intense Emphasis"/>
    <w:uiPriority w:val="21"/>
    <w:qFormat/>
    <w:rsid w:val="00721FBC"/>
    <w:rPr>
      <w:i/>
      <w:iCs/>
      <w:color w:val="0F4761"/>
    </w:rPr>
  </w:style>
  <w:style w:type="paragraph" w:styleId="IntenseQuote">
    <w:name w:val="Intense Quote"/>
    <w:basedOn w:val="Normal"/>
    <w:next w:val="Normal"/>
    <w:link w:val="IntenseQuoteChar"/>
    <w:uiPriority w:val="30"/>
    <w:qFormat/>
    <w:rsid w:val="00721FBC"/>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721FBC"/>
    <w:rPr>
      <w:i/>
      <w:iCs/>
      <w:color w:val="0F4761"/>
    </w:rPr>
  </w:style>
  <w:style w:type="character" w:styleId="IntenseReference">
    <w:name w:val="Intense Reference"/>
    <w:uiPriority w:val="32"/>
    <w:qFormat/>
    <w:rsid w:val="00721FBC"/>
    <w:rPr>
      <w:b/>
      <w:bCs/>
      <w:smallCaps/>
      <w:color w:val="0F4761"/>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link w:val="Header"/>
    <w:uiPriority w:val="99"/>
    <w:rsid w:val="003E7820"/>
    <w:rPr>
      <w:rFonts w:ascii="Calibri" w:eastAsia="Calibri" w:hAnsi="Calibri" w:cs="Times New Roman"/>
      <w:kern w:val="0"/>
      <w:lang w:val="en-US"/>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link w:val="BodyTextIndent2"/>
    <w:uiPriority w:val="99"/>
    <w:rsid w:val="003E7820"/>
    <w:rPr>
      <w:rFonts w:ascii="Times New Roman" w:eastAsia="MS Mincho" w:hAnsi="Times New Roman" w:cs="Times New Roman"/>
      <w:kern w:val="0"/>
      <w:sz w:val="20"/>
      <w:szCs w:val="20"/>
      <w:lang w:val="en-US"/>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E182A"/>
    <w:pPr>
      <w:tabs>
        <w:tab w:val="center" w:pos="4680"/>
        <w:tab w:val="right" w:pos="9360"/>
      </w:tabs>
      <w:spacing w:after="0" w:line="240" w:lineRule="auto"/>
    </w:pPr>
  </w:style>
  <w:style w:type="character" w:customStyle="1" w:styleId="FooterChar">
    <w:name w:val="Footer Char"/>
    <w:link w:val="Footer"/>
    <w:uiPriority w:val="99"/>
    <w:rsid w:val="009E182A"/>
    <w:rPr>
      <w:rFonts w:ascii="Calibri" w:eastAsia="Calibri" w:hAnsi="Calibri" w:cs="Times New Roman"/>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41203">
      <w:bodyDiv w:val="1"/>
      <w:marLeft w:val="0"/>
      <w:marRight w:val="0"/>
      <w:marTop w:val="0"/>
      <w:marBottom w:val="0"/>
      <w:divBdr>
        <w:top w:val="none" w:sz="0" w:space="0" w:color="auto"/>
        <w:left w:val="none" w:sz="0" w:space="0" w:color="auto"/>
        <w:bottom w:val="none" w:sz="0" w:space="0" w:color="auto"/>
        <w:right w:val="none" w:sz="0" w:space="0" w:color="auto"/>
      </w:divBdr>
    </w:div>
    <w:div w:id="177161313">
      <w:bodyDiv w:val="1"/>
      <w:marLeft w:val="0"/>
      <w:marRight w:val="0"/>
      <w:marTop w:val="0"/>
      <w:marBottom w:val="0"/>
      <w:divBdr>
        <w:top w:val="none" w:sz="0" w:space="0" w:color="auto"/>
        <w:left w:val="none" w:sz="0" w:space="0" w:color="auto"/>
        <w:bottom w:val="none" w:sz="0" w:space="0" w:color="auto"/>
        <w:right w:val="none" w:sz="0" w:space="0" w:color="auto"/>
      </w:divBdr>
    </w:div>
    <w:div w:id="294800044">
      <w:bodyDiv w:val="1"/>
      <w:marLeft w:val="0"/>
      <w:marRight w:val="0"/>
      <w:marTop w:val="0"/>
      <w:marBottom w:val="0"/>
      <w:divBdr>
        <w:top w:val="none" w:sz="0" w:space="0" w:color="auto"/>
        <w:left w:val="none" w:sz="0" w:space="0" w:color="auto"/>
        <w:bottom w:val="none" w:sz="0" w:space="0" w:color="auto"/>
        <w:right w:val="none" w:sz="0" w:space="0" w:color="auto"/>
      </w:divBdr>
    </w:div>
    <w:div w:id="529537154">
      <w:bodyDiv w:val="1"/>
      <w:marLeft w:val="0"/>
      <w:marRight w:val="0"/>
      <w:marTop w:val="0"/>
      <w:marBottom w:val="0"/>
      <w:divBdr>
        <w:top w:val="none" w:sz="0" w:space="0" w:color="auto"/>
        <w:left w:val="none" w:sz="0" w:space="0" w:color="auto"/>
        <w:bottom w:val="none" w:sz="0" w:space="0" w:color="auto"/>
        <w:right w:val="none" w:sz="0" w:space="0" w:color="auto"/>
      </w:divBdr>
    </w:div>
    <w:div w:id="1432699544">
      <w:bodyDiv w:val="1"/>
      <w:marLeft w:val="0"/>
      <w:marRight w:val="0"/>
      <w:marTop w:val="0"/>
      <w:marBottom w:val="0"/>
      <w:divBdr>
        <w:top w:val="none" w:sz="0" w:space="0" w:color="auto"/>
        <w:left w:val="none" w:sz="0" w:space="0" w:color="auto"/>
        <w:bottom w:val="none" w:sz="0" w:space="0" w:color="auto"/>
        <w:right w:val="none" w:sz="0" w:space="0" w:color="auto"/>
      </w:divBdr>
    </w:div>
    <w:div w:id="211801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1151</Words>
  <Characters>6252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Bárbara Sierra Nieves</dc:creator>
  <cp:keywords/>
  <dc:description/>
  <cp:lastModifiedBy>Gladys J. Burgos Torres</cp:lastModifiedBy>
  <cp:revision>3</cp:revision>
  <dcterms:created xsi:type="dcterms:W3CDTF">2025-03-19T13:29:00Z</dcterms:created>
  <dcterms:modified xsi:type="dcterms:W3CDTF">2025-03-19T15:57:00Z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