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7C927D03"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DE6616">
        <w:rPr>
          <w:rFonts w:ascii="Book Antiqua" w:eastAsia="Times New Roman" w:hAnsi="Book Antiqua"/>
          <w:b/>
          <w:sz w:val="52"/>
          <w:szCs w:val="20"/>
          <w:lang w:val="es-ES_tradnl"/>
        </w:rPr>
        <w:t>48</w:t>
      </w:r>
      <w:r w:rsidRPr="003C2711">
        <w:rPr>
          <w:rFonts w:ascii="Book Antiqua" w:eastAsia="Times New Roman" w:hAnsi="Book Antiqua"/>
          <w:b/>
          <w:sz w:val="52"/>
          <w:szCs w:val="20"/>
          <w:lang w:val="es-ES_tradnl"/>
        </w:rPr>
        <w:br/>
      </w:r>
    </w:p>
    <w:p w14:paraId="3D22D064" w14:textId="5D413566"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3958A5">
        <w:rPr>
          <w:rFonts w:ascii="Book Antiqua" w:eastAsia="Times New Roman" w:hAnsi="Book Antiqua"/>
          <w:sz w:val="24"/>
          <w:szCs w:val="20"/>
          <w:lang w:val="es-ES_tradnl"/>
        </w:rPr>
        <w:t>ENERO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24D66701" w:rsidR="003E7820" w:rsidRPr="00545A5E" w:rsidRDefault="003E7820" w:rsidP="007F0513">
      <w:pPr>
        <w:pStyle w:val="BodyTextIndent2"/>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EA76D2">
        <w:rPr>
          <w:rFonts w:ascii="Book Antiqua" w:hAnsi="Book Antiqua"/>
          <w:sz w:val="24"/>
          <w:szCs w:val="24"/>
          <w:lang w:val="es-PR"/>
        </w:rPr>
        <w:t xml:space="preserve">Comisión de </w:t>
      </w:r>
      <w:bookmarkEnd w:id="2"/>
      <w:bookmarkEnd w:id="3"/>
      <w:r w:rsidR="00D325C4">
        <w:rPr>
          <w:rFonts w:ascii="Book Antiqua" w:hAnsi="Book Antiqua"/>
          <w:sz w:val="24"/>
          <w:szCs w:val="24"/>
          <w:lang w:val="es-PR"/>
        </w:rPr>
        <w:t xml:space="preserve">Educación </w:t>
      </w:r>
      <w:bookmarkStart w:id="7" w:name="_Hlk179489197"/>
      <w:r w:rsidR="00422695">
        <w:rPr>
          <w:rFonts w:ascii="Book Antiqua" w:hAnsi="Book Antiqua"/>
          <w:sz w:val="24"/>
          <w:szCs w:val="24"/>
          <w:lang w:val="es-PR"/>
        </w:rPr>
        <w:t>de la Cámara de Representantes de Puerto Rico</w:t>
      </w:r>
      <w:bookmarkEnd w:id="7"/>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8"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w:t>
      </w:r>
      <w:bookmarkEnd w:id="1"/>
      <w:bookmarkEnd w:id="4"/>
      <w:bookmarkEnd w:id="5"/>
      <w:bookmarkEnd w:id="8"/>
      <w:r w:rsidR="00DD4ED0">
        <w:rPr>
          <w:rFonts w:ascii="Book Antiqua" w:hAnsi="Book Antiqua"/>
          <w:sz w:val="24"/>
          <w:szCs w:val="24"/>
          <w:lang w:val="es-PR"/>
        </w:rPr>
        <w:t xml:space="preserve">los </w:t>
      </w:r>
      <w:r w:rsidR="00D325C4">
        <w:rPr>
          <w:rFonts w:ascii="Book Antiqua" w:hAnsi="Book Antiqua"/>
          <w:sz w:val="24"/>
          <w:szCs w:val="24"/>
          <w:lang w:val="es-PR"/>
        </w:rPr>
        <w:t>protocolos del Departamento de Educacion sobre incidentes de tirador activo;</w:t>
      </w:r>
      <w:r w:rsidR="00DD4ED0">
        <w:rPr>
          <w:rFonts w:ascii="Book Antiqua" w:hAnsi="Book Antiqua"/>
          <w:sz w:val="24"/>
          <w:szCs w:val="24"/>
          <w:lang w:val="es-PR"/>
        </w:rPr>
        <w:t xml:space="preserve"> </w:t>
      </w:r>
      <w:r w:rsidR="00D325C4">
        <w:rPr>
          <w:rFonts w:ascii="Book Antiqua" w:hAnsi="Book Antiqua"/>
          <w:sz w:val="24"/>
          <w:szCs w:val="24"/>
          <w:lang w:val="es-PR"/>
        </w:rPr>
        <w:t>los planes de adiestramiento a la comunidad escolar en general; calendarios de simulacro; así como todo otro esfuerzo de prevención sobre este tema</w:t>
      </w:r>
      <w:bookmarkEnd w:id="6"/>
      <w:r w:rsidR="00D325C4">
        <w:rPr>
          <w:rFonts w:ascii="Book Antiqua" w:hAnsi="Book Antiqua"/>
          <w:sz w:val="24"/>
          <w:szCs w:val="24"/>
          <w:lang w:val="es-PR"/>
        </w:rPr>
        <w:t xml:space="preserve">; </w:t>
      </w:r>
      <w:r w:rsidR="00DD4ED0" w:rsidRPr="00CD19AE">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D47CEAC"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Un "tirador activo" (active shooter) se define como un individuo o grupo que está activamente involucrado en intentar matar o causar daño grave a personas en un área confinada o densamente concurrida. Los tiradores activos típicamente utilizan armas de fuego, seleccionan a sus víctimas al azar y continúan disparando hasta que son detenidos por la policía, por circunstancias externas, o por el propio fin de sus municiones. La naturaleza impredecible y rápida de estos eventos los convierte en una amenaza crítica para cualquier entorno, especialmente en espacios escolares donde hay grandes concentraciones de niños y jóvenes.</w:t>
      </w:r>
    </w:p>
    <w:p w14:paraId="46D0A514"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7066D044" w14:textId="7A2D4F05" w:rsid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Los expertos en seguridad aconsejan que, en caso de enfrentar a un tirador activo, se sigan tres pasos fundamentales: Correr, Esconderse y Luchar</w:t>
      </w:r>
      <w:r>
        <w:rPr>
          <w:rFonts w:ascii="Book Antiqua" w:eastAsia="MS Mincho" w:hAnsi="Book Antiqua"/>
          <w:sz w:val="24"/>
          <w:szCs w:val="24"/>
          <w:lang w:val="es-ES_tradnl"/>
        </w:rPr>
        <w:t xml:space="preserve">. </w:t>
      </w:r>
      <w:r w:rsidRPr="00D325C4">
        <w:rPr>
          <w:rFonts w:ascii="Book Antiqua" w:eastAsia="MS Mincho" w:hAnsi="Book Antiqua"/>
          <w:sz w:val="24"/>
          <w:szCs w:val="24"/>
          <w:lang w:val="es-ES_tradnl"/>
        </w:rPr>
        <w:t xml:space="preserve">En primer lugar, siempre que sea posible, se recomienda evacuar el área de inmediato si existe una ruta de escape segura, sin detenerse por pertenencias personales. Si evacuar no es posible, se debe buscar refugio en un lugar seguro fuera de la vista del tirador, bloquear puertas, apagar luces y mantener silencio total para no delatar la ubicación. Como último recurso, si la vida está en peligro inminente, se recomienda enfrentar al tirador de forma agresiva, </w:t>
      </w:r>
      <w:r w:rsidRPr="00D325C4">
        <w:rPr>
          <w:rFonts w:ascii="Book Antiqua" w:eastAsia="MS Mincho" w:hAnsi="Book Antiqua"/>
          <w:sz w:val="24"/>
          <w:szCs w:val="24"/>
          <w:lang w:val="es-ES_tradnl"/>
        </w:rPr>
        <w:lastRenderedPageBreak/>
        <w:t>utilizando cualquier objeto a mano como arma improvisada para incapacitar al agresor y protegerse.</w:t>
      </w:r>
    </w:p>
    <w:p w14:paraId="33C6C31C" w14:textId="77777777" w:rsidR="00D325C4" w:rsidRDefault="00D325C4" w:rsidP="007F0513">
      <w:pPr>
        <w:spacing w:after="0" w:line="240" w:lineRule="auto"/>
        <w:ind w:firstLine="567"/>
        <w:jc w:val="both"/>
        <w:rPr>
          <w:rFonts w:ascii="Book Antiqua" w:eastAsia="MS Mincho" w:hAnsi="Book Antiqua"/>
          <w:sz w:val="24"/>
          <w:szCs w:val="24"/>
          <w:lang w:val="es-ES_tradnl"/>
        </w:rPr>
      </w:pPr>
    </w:p>
    <w:p w14:paraId="549CE2C5" w14:textId="0FEDF478" w:rsidR="00D325C4" w:rsidRDefault="00D325C4" w:rsidP="007F0513">
      <w:pPr>
        <w:spacing w:after="0" w:line="240" w:lineRule="auto"/>
        <w:ind w:firstLine="567"/>
        <w:jc w:val="both"/>
        <w:rPr>
          <w:rFonts w:ascii="Book Antiqua" w:hAnsi="Book Antiqua"/>
          <w:sz w:val="24"/>
          <w:szCs w:val="24"/>
          <w:lang w:val="es-ES"/>
        </w:rPr>
      </w:pPr>
      <w:r w:rsidRPr="00D325C4">
        <w:rPr>
          <w:rFonts w:ascii="Book Antiqua" w:hAnsi="Book Antiqua"/>
          <w:sz w:val="24"/>
          <w:szCs w:val="24"/>
          <w:lang w:val="es-ES"/>
        </w:rPr>
        <w:t>Los datos de la Oficina Federal de Investigaciones (FBI) indican que en los Estados Unidos se han incrementado de manera alarmante los incidentes relacionados con tiradores activos en los últimos años. En 2022, se reportaron más de 50 incidentes de tiradores activos en entornos públicos, incluidos centros educativos, resultando en múltiples muertes y heridos. Uno de los eventos más trágicos ocurrió el 14 de febrero de 2018, en la escuela secundaria Marjory Stoneman Douglas en Parkland, Florida, donde un exalumno armado con un rifle de asalto AR-15 causó la muerte de 17 personas y dejó decenas de heridos. Este tiroteo, junto con muchos otros, ha impulsado a las autoridades y a las instituciones educativas a desarrollar planes de respuesta y protocolos para reducir el riesgo y preparar a las comunidades escolares ante posibles amenazas.</w:t>
      </w:r>
    </w:p>
    <w:p w14:paraId="1960B95C" w14:textId="77777777" w:rsidR="00D325C4" w:rsidRPr="00D325C4" w:rsidRDefault="00D325C4" w:rsidP="007F0513">
      <w:pPr>
        <w:spacing w:after="0" w:line="240" w:lineRule="auto"/>
        <w:ind w:firstLine="567"/>
        <w:jc w:val="both"/>
        <w:rPr>
          <w:rFonts w:ascii="Book Antiqua" w:eastAsia="MS Mincho" w:hAnsi="Book Antiqua"/>
          <w:sz w:val="24"/>
          <w:szCs w:val="24"/>
          <w:lang w:val="es-ES"/>
        </w:rPr>
      </w:pPr>
    </w:p>
    <w:p w14:paraId="2EAB4BBE" w14:textId="02A37A71"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En los últimos años, Puerto Rico ha sido testigo de varios incidentes relacionados con tiroteos en los predios cercanos a escuelas públicas, generando preocupación entre los padres, estudiantes, maestros y la comunidad en general. Entre los sucesos más destacados, se encuentra el asesinato ocurrido en febrero de 2012 frente a la Escuela Elemental Ramón Bruguera en Caguas y el tiroteo registrado en enero de 2017 en las cercanías de la Escuela Elemental Evaristo Ribera de San Juan, cuyas impactantes imágenes circularon por las redes sociales, dejando en evidencia el trauma vivido por los estudiantes.</w:t>
      </w:r>
    </w:p>
    <w:p w14:paraId="7C858100"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28B2DA0F"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La situación ha continuado agravándose en años recientes, como lo demuestran las amenazas de tiroteo reportadas en la Escuela Jesús Sánchez Erazo de Bayamón en marzo de 2022, donde se detuvo a un menor de trece años en posesión de un rifle de asalto y múltiples municiones. En ese mismo año, se recibieron amenazas dirigidas a las Escuelas University Gardens y Juan José Osuna en San Juan, además de reportarse disparos en la Escuela Ángel P. Millán Rohena de Carolina en mayo de 2023, lo que desató el pánico entre estudiantes y padres, y puso de manifiesto la falta de un protocolo efectivo de respuesta.</w:t>
      </w:r>
    </w:p>
    <w:p w14:paraId="70642B11"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4DD51F2A"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Ante estos preocupantes incidentes, el Departamento de Educación de Puerto Rico, en colaboración con el Departamento de Seguridad Pública y el Negociado de la Policía, ha implementado una serie de adiestramientos y revisiones de protocolos para mejorar la preparación de la comunidad escolar frente a posibles eventos de tiradores activos. En diciembre de 2022, se inició un plan de adiestramientos dirigido a directores, maestros, personal administrativo y demás miembros de la comunidad escolar, que incluye el desarrollo de simulacros en los planteles. Esta iniciativa responde a la Resolución Conjunta Núm. 38 del 19 de julio de 2019, que ordenó la creación de protocolos y la realización de simulacros anuales para enfrentar situaciones de emergencia con tiradores activos.</w:t>
      </w:r>
    </w:p>
    <w:p w14:paraId="04196EFF"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4F8E7AF3" w14:textId="7FC14715" w:rsid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lastRenderedPageBreak/>
        <w:t>El propósito de esta investigación es verificar el estatus actual de los protocolos establecidos por el Departamento de Educación, así como evaluar la efectividad de los adiestramientos realizados a la comunidad escolar, incluyendo a directores, maestros, personal no docente, estudiantes y padres. Además, se investigará la realización de simulacros en los planteles y se determinará si se han cumplido con las fases anunciadas por la Agencia. Es fundamental que se asegure la correcta implementación de estos protocolos y que se fomente la participación de toda la comunidad educativa, con el fin de proteger la vida y seguridad de nuestros niños, jóvenes y personal escolar.</w:t>
      </w:r>
    </w:p>
    <w:p w14:paraId="12B7BE85" w14:textId="77777777" w:rsidR="00D325C4" w:rsidRDefault="00D325C4" w:rsidP="007F0513">
      <w:pPr>
        <w:spacing w:after="0" w:line="240" w:lineRule="auto"/>
        <w:ind w:firstLine="567"/>
        <w:jc w:val="both"/>
        <w:rPr>
          <w:rFonts w:ascii="Book Antiqua" w:eastAsia="MS Mincho" w:hAnsi="Book Antiqua"/>
          <w:sz w:val="24"/>
          <w:szCs w:val="24"/>
          <w:lang w:val="es-ES_tradnl"/>
        </w:rPr>
      </w:pPr>
    </w:p>
    <w:p w14:paraId="1851B909" w14:textId="6489BA2A" w:rsidR="00DD4ED0"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Ante la posibilidad de que Puerto Rico no esté exento de un evento de tirador activo, es imperativo que la comunidad educativa esté debidamente preparada para actuar de manera rápida y efectiva en caso de una amenaza real. Solo con un enfoque integral que incluya a todos los actores involucrados, desde estudiantes y maestros hasta padres y encargados, se podrá garantizar un ambiente seguro para nuestros niños y jóvenes.</w:t>
      </w:r>
    </w:p>
    <w:p w14:paraId="527BB90A" w14:textId="77777777" w:rsidR="00D325C4" w:rsidRDefault="00D325C4" w:rsidP="00D325C4">
      <w:pPr>
        <w:spacing w:after="0" w:line="240" w:lineRule="auto"/>
        <w:ind w:firstLine="720"/>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0C85CB9B" w:rsidR="003E7820" w:rsidRPr="003C2711" w:rsidRDefault="003E7820" w:rsidP="007F051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Comisión de Educación de la Cámara de Representantes de Puerto Rico, investigar y evaluar los protocolos del Departamento de Educacion sobre incidentes de tirador activo; los planes de adiestramiento a la comunidad escolar en general; calendarios de simulacro; así como todo otro esfuerzo de prevención sobre este tema</w:t>
      </w:r>
      <w:r w:rsidR="00C757FE">
        <w:rPr>
          <w:rFonts w:ascii="Book Antiqua" w:eastAsia="MS Mincho" w:hAnsi="Book Antiqua"/>
          <w:sz w:val="24"/>
          <w:szCs w:val="24"/>
          <w:lang w:val="es-PR"/>
        </w:rPr>
        <w:t>.</w:t>
      </w:r>
    </w:p>
    <w:p w14:paraId="528EA9F2" w14:textId="61DC652A" w:rsidR="003E7820" w:rsidRPr="003C2711" w:rsidRDefault="003E7820" w:rsidP="007F051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Pr>
          <w:rFonts w:ascii="Book Antiqua" w:eastAsia="MS Mincho" w:hAnsi="Book Antiqua"/>
          <w:sz w:val="24"/>
          <w:szCs w:val="24"/>
          <w:lang w:val="es-PR"/>
        </w:rPr>
        <w:t xml:space="preserve">de </w:t>
      </w:r>
      <w:r w:rsidR="00D325C4">
        <w:rPr>
          <w:rFonts w:ascii="Book Antiqua" w:eastAsia="MS Mincho" w:hAnsi="Book Antiqua"/>
          <w:sz w:val="24"/>
          <w:szCs w:val="24"/>
          <w:lang w:val="es-PR"/>
        </w:rPr>
        <w:t xml:space="preserve">Educación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7F0513">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A581" w14:textId="77777777" w:rsidR="00A47AFF" w:rsidRDefault="00A47AFF">
      <w:pPr>
        <w:spacing w:after="0" w:line="240" w:lineRule="auto"/>
      </w:pPr>
      <w:r>
        <w:separator/>
      </w:r>
    </w:p>
  </w:endnote>
  <w:endnote w:type="continuationSeparator" w:id="0">
    <w:p w14:paraId="61C753AE" w14:textId="77777777" w:rsidR="00A47AFF" w:rsidRDefault="00A4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D6BF1" w14:textId="77777777" w:rsidR="00A47AFF" w:rsidRDefault="00A47AFF">
      <w:pPr>
        <w:spacing w:after="0" w:line="240" w:lineRule="auto"/>
      </w:pPr>
      <w:r>
        <w:separator/>
      </w:r>
    </w:p>
  </w:footnote>
  <w:footnote w:type="continuationSeparator" w:id="0">
    <w:p w14:paraId="62977B72" w14:textId="77777777" w:rsidR="00A47AFF" w:rsidRDefault="00A47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120CCD"/>
    <w:rsid w:val="00140BBA"/>
    <w:rsid w:val="001F1B1E"/>
    <w:rsid w:val="002B1815"/>
    <w:rsid w:val="00337784"/>
    <w:rsid w:val="003741A5"/>
    <w:rsid w:val="003958A5"/>
    <w:rsid w:val="003C65C8"/>
    <w:rsid w:val="003E7820"/>
    <w:rsid w:val="00422695"/>
    <w:rsid w:val="004349A5"/>
    <w:rsid w:val="00497C57"/>
    <w:rsid w:val="004A5EC0"/>
    <w:rsid w:val="00521E8B"/>
    <w:rsid w:val="0052265C"/>
    <w:rsid w:val="005253C3"/>
    <w:rsid w:val="0054505E"/>
    <w:rsid w:val="00592027"/>
    <w:rsid w:val="005F519F"/>
    <w:rsid w:val="00654548"/>
    <w:rsid w:val="006D7F2B"/>
    <w:rsid w:val="00721FBC"/>
    <w:rsid w:val="007440F8"/>
    <w:rsid w:val="00752CE8"/>
    <w:rsid w:val="007F0513"/>
    <w:rsid w:val="00832152"/>
    <w:rsid w:val="009164A9"/>
    <w:rsid w:val="00995861"/>
    <w:rsid w:val="009D4F35"/>
    <w:rsid w:val="009E182A"/>
    <w:rsid w:val="00A13624"/>
    <w:rsid w:val="00A47AFF"/>
    <w:rsid w:val="00A6433F"/>
    <w:rsid w:val="00B96B8F"/>
    <w:rsid w:val="00BE6A03"/>
    <w:rsid w:val="00C757FE"/>
    <w:rsid w:val="00C83C8A"/>
    <w:rsid w:val="00C912E5"/>
    <w:rsid w:val="00CB13A6"/>
    <w:rsid w:val="00CD6646"/>
    <w:rsid w:val="00CF105B"/>
    <w:rsid w:val="00D056D7"/>
    <w:rsid w:val="00D325C4"/>
    <w:rsid w:val="00DD4ED0"/>
    <w:rsid w:val="00DE6616"/>
    <w:rsid w:val="00E46D6A"/>
    <w:rsid w:val="00EC61EE"/>
    <w:rsid w:val="00EE7834"/>
    <w:rsid w:val="00F12DA5"/>
    <w:rsid w:val="00F53857"/>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1060</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dcterms:created xsi:type="dcterms:W3CDTF">2025-01-13T19:04:00Z</dcterms:created>
  <dcterms:modified xsi:type="dcterms:W3CDTF">2025-01-13T20:04:00Z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