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B07C34" w14:textId="77777777" w:rsidR="003F7F83" w:rsidRPr="003F7F83" w:rsidRDefault="003F7F83" w:rsidP="003F7F83">
      <w:pPr>
        <w:spacing w:after="0" w:line="240" w:lineRule="auto"/>
        <w:jc w:val="center"/>
        <w:rPr>
          <w:rFonts w:ascii="Book Antiqua" w:eastAsia="Times New Roman" w:hAnsi="Book Antiqua"/>
          <w:b/>
          <w:bCs/>
          <w:sz w:val="24"/>
          <w:szCs w:val="24"/>
          <w:lang w:val="es-PR"/>
        </w:rPr>
      </w:pPr>
      <w:bookmarkStart w:id="0" w:name="_Hlk138253982"/>
      <w:r w:rsidRPr="003F7F83">
        <w:rPr>
          <w:rFonts w:ascii="Book Antiqua" w:eastAsia="Times New Roman" w:hAnsi="Book Antiqua"/>
          <w:b/>
          <w:bCs/>
          <w:sz w:val="24"/>
          <w:szCs w:val="24"/>
          <w:lang w:val="es-PR"/>
        </w:rPr>
        <w:t>(TEXTO DE APROBACIÓN FINAL POR LA CÁMARA)</w:t>
      </w:r>
      <w:r w:rsidRPr="003F7F83">
        <w:rPr>
          <w:rFonts w:ascii="Book Antiqua" w:eastAsia="Times New Roman" w:hAnsi="Book Antiqua"/>
          <w:sz w:val="24"/>
          <w:szCs w:val="24"/>
          <w:lang w:val="es-ES"/>
        </w:rPr>
        <w:fldChar w:fldCharType="begin"/>
      </w:r>
      <w:r w:rsidRPr="003F7F83">
        <w:rPr>
          <w:rFonts w:ascii="Book Antiqua" w:eastAsia="Times New Roman" w:hAnsi="Book Antiqua"/>
          <w:b/>
          <w:bCs/>
          <w:sz w:val="24"/>
          <w:szCs w:val="24"/>
          <w:lang w:val="es-PR"/>
        </w:rPr>
        <w:instrText xml:space="preserve">PRIVATE </w:instrText>
      </w:r>
      <w:r w:rsidRPr="003F7F83">
        <w:rPr>
          <w:rFonts w:ascii="Book Antiqua" w:eastAsia="Times New Roman" w:hAnsi="Book Antiqua"/>
          <w:sz w:val="24"/>
          <w:szCs w:val="24"/>
          <w:lang w:val="es-ES"/>
        </w:rPr>
        <w:fldChar w:fldCharType="end"/>
      </w:r>
    </w:p>
    <w:p w14:paraId="2E998114" w14:textId="77777777" w:rsidR="003F7F83" w:rsidRPr="003F7F83" w:rsidRDefault="003F7F83" w:rsidP="003F7F83">
      <w:pPr>
        <w:spacing w:after="0" w:line="240" w:lineRule="auto"/>
        <w:jc w:val="center"/>
        <w:rPr>
          <w:rFonts w:ascii="Book Antiqua" w:eastAsia="Times New Roman" w:hAnsi="Book Antiqua"/>
          <w:b/>
          <w:bCs/>
          <w:sz w:val="24"/>
          <w:szCs w:val="24"/>
          <w:lang w:val="es-PR"/>
        </w:rPr>
      </w:pPr>
      <w:r w:rsidRPr="003F7F83">
        <w:rPr>
          <w:rFonts w:ascii="Book Antiqua" w:eastAsia="Times New Roman" w:hAnsi="Book Antiqua"/>
          <w:b/>
          <w:bCs/>
          <w:sz w:val="24"/>
          <w:szCs w:val="24"/>
          <w:lang w:val="es-PR"/>
        </w:rPr>
        <w:t>(13 DE MARZO DE 2025)</w:t>
      </w:r>
    </w:p>
    <w:p w14:paraId="51F999DB" w14:textId="7908CA9C" w:rsidR="003F7F83" w:rsidRPr="003F7F83" w:rsidRDefault="003F7F83" w:rsidP="003F7F83">
      <w:pPr>
        <w:spacing w:after="0" w:line="240" w:lineRule="auto"/>
        <w:jc w:val="center"/>
        <w:rPr>
          <w:rFonts w:ascii="Book Antiqua" w:eastAsia="Times New Roman" w:hAnsi="Book Antiqua"/>
          <w:b/>
          <w:bCs/>
          <w:sz w:val="28"/>
          <w:szCs w:val="20"/>
          <w:lang w:val="es-ES_tradnl"/>
        </w:rPr>
      </w:pPr>
      <w:r w:rsidRPr="003F7F83">
        <w:rPr>
          <w:rFonts w:ascii="Book Antiqua" w:eastAsia="Times New Roman" w:hAnsi="Book Antiqua"/>
          <w:noProof/>
          <w:sz w:val="28"/>
          <w:szCs w:val="20"/>
          <w:lang w:val="es-ES"/>
        </w:rPr>
        <mc:AlternateContent>
          <mc:Choice Requires="wps">
            <w:drawing>
              <wp:anchor distT="0" distB="0" distL="114300" distR="114300" simplePos="0" relativeHeight="251659264" behindDoc="1" locked="0" layoutInCell="0" allowOverlap="1" wp14:anchorId="7600BF1C" wp14:editId="6FA3C6A6">
                <wp:simplePos x="0" y="0"/>
                <wp:positionH relativeFrom="margin">
                  <wp:posOffset>0</wp:posOffset>
                </wp:positionH>
                <wp:positionV relativeFrom="paragraph">
                  <wp:posOffset>0</wp:posOffset>
                </wp:positionV>
                <wp:extent cx="5943600" cy="22860"/>
                <wp:effectExtent l="0" t="0" r="0" b="0"/>
                <wp:wrapNone/>
                <wp:docPr id="1233488290"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C5FAFC1" id="Rectangle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5712D693" w14:textId="770764E9" w:rsidR="003E7820" w:rsidRPr="003C2711" w:rsidRDefault="004C7018" w:rsidP="003E7820">
      <w:pPr>
        <w:spacing w:after="0" w:line="240" w:lineRule="auto"/>
        <w:jc w:val="center"/>
        <w:rPr>
          <w:rFonts w:ascii="Book Antiqua" w:eastAsia="Times New Roman" w:hAnsi="Book Antiqua"/>
          <w:sz w:val="28"/>
          <w:szCs w:val="20"/>
          <w:lang w:val="es-ES_tradnl"/>
        </w:rPr>
      </w:pPr>
      <w:r>
        <w:rPr>
          <w:rFonts w:ascii="Book Antiqua" w:eastAsia="Times New Roman" w:hAnsi="Book Antiqua"/>
          <w:sz w:val="28"/>
          <w:szCs w:val="20"/>
          <w:lang w:val="es-ES_tradnl"/>
        </w:rPr>
        <w:t>GOBIERNO DE PUERTO RICO</w:t>
      </w:r>
    </w:p>
    <w:p w14:paraId="08BEACE2" w14:textId="77777777" w:rsidR="003E7820" w:rsidRPr="00E967F4" w:rsidRDefault="003E7820" w:rsidP="003E7820">
      <w:pPr>
        <w:spacing w:after="0" w:line="240" w:lineRule="auto"/>
        <w:jc w:val="center"/>
        <w:rPr>
          <w:rFonts w:ascii="Book Antiqua" w:eastAsia="Times New Roman" w:hAnsi="Book Antiqua"/>
          <w:sz w:val="24"/>
          <w:szCs w:val="20"/>
          <w:lang w:val="es-ES_tradnl"/>
        </w:rPr>
      </w:pPr>
    </w:p>
    <w:p w14:paraId="15FB07A9" w14:textId="3957D9BD" w:rsidR="003E7820" w:rsidRPr="003C2711" w:rsidRDefault="00E60313" w:rsidP="003E7820">
      <w:pPr>
        <w:tabs>
          <w:tab w:val="left" w:pos="648"/>
          <w:tab w:val="right" w:pos="7776"/>
          <w:tab w:val="left" w:pos="7848"/>
        </w:tabs>
        <w:spacing w:after="0" w:line="240" w:lineRule="auto"/>
        <w:rPr>
          <w:rFonts w:ascii="Book Antiqua" w:eastAsia="Times New Roman" w:hAnsi="Book Antiqua"/>
          <w:sz w:val="24"/>
          <w:szCs w:val="20"/>
          <w:lang w:val="es-ES_tradnl"/>
        </w:rPr>
      </w:pPr>
      <w:r>
        <w:rPr>
          <w:rFonts w:ascii="Book Antiqua" w:eastAsia="Times New Roman" w:hAnsi="Book Antiqua"/>
          <w:sz w:val="24"/>
          <w:szCs w:val="20"/>
          <w:lang w:val="es-ES_tradnl"/>
        </w:rPr>
        <w:t>20m</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Asamblea</w:t>
      </w:r>
      <w:r w:rsidR="003E7820" w:rsidRPr="003C2711">
        <w:rPr>
          <w:rFonts w:ascii="Book Antiqua" w:eastAsia="Times New Roman" w:hAnsi="Book Antiqua"/>
          <w:sz w:val="24"/>
          <w:szCs w:val="20"/>
          <w:lang w:val="es-ES_tradnl"/>
        </w:rPr>
        <w:tab/>
      </w:r>
      <w:r>
        <w:rPr>
          <w:rFonts w:ascii="Book Antiqua" w:eastAsia="Times New Roman" w:hAnsi="Book Antiqua"/>
          <w:sz w:val="24"/>
          <w:szCs w:val="20"/>
          <w:lang w:val="es-ES_tradnl"/>
        </w:rPr>
        <w:t>1r</w:t>
      </w:r>
      <w:r w:rsidR="003E7820" w:rsidRPr="003C2711">
        <w:rPr>
          <w:rFonts w:ascii="Book Antiqua" w:eastAsia="Times New Roman" w:hAnsi="Book Antiqua"/>
          <w:sz w:val="24"/>
          <w:szCs w:val="20"/>
          <w:lang w:val="es-ES_tradnl"/>
        </w:rPr>
        <w:t>a.</w:t>
      </w:r>
      <w:r w:rsidR="003E7820" w:rsidRPr="003C2711">
        <w:rPr>
          <w:rFonts w:ascii="Book Antiqua" w:eastAsia="Times New Roman" w:hAnsi="Book Antiqua"/>
          <w:sz w:val="24"/>
          <w:szCs w:val="20"/>
          <w:lang w:val="es-ES_tradnl"/>
        </w:rPr>
        <w:tab/>
        <w:t>Sesión</w:t>
      </w:r>
    </w:p>
    <w:p w14:paraId="5A61A2A7" w14:textId="77777777" w:rsidR="003E7820" w:rsidRPr="003C2711" w:rsidRDefault="003E7820" w:rsidP="003E7820">
      <w:pPr>
        <w:tabs>
          <w:tab w:val="left" w:pos="648"/>
          <w:tab w:val="right" w:pos="7776"/>
          <w:tab w:val="left" w:pos="7848"/>
        </w:tabs>
        <w:spacing w:after="0" w:line="240" w:lineRule="auto"/>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ab/>
        <w:t>Legislativa</w:t>
      </w:r>
      <w:r w:rsidRPr="003C2711">
        <w:rPr>
          <w:rFonts w:ascii="Book Antiqua" w:eastAsia="Times New Roman" w:hAnsi="Book Antiqua"/>
          <w:sz w:val="24"/>
          <w:szCs w:val="20"/>
          <w:lang w:val="es-ES_tradnl"/>
        </w:rPr>
        <w:tab/>
      </w:r>
      <w:r w:rsidRPr="003C2711">
        <w:rPr>
          <w:rFonts w:ascii="Book Antiqua" w:eastAsia="Times New Roman" w:hAnsi="Book Antiqua"/>
          <w:sz w:val="24"/>
          <w:szCs w:val="20"/>
          <w:lang w:val="es-ES_tradnl"/>
        </w:rPr>
        <w:tab/>
        <w:t>Ordinaria</w:t>
      </w:r>
    </w:p>
    <w:p w14:paraId="6EA9CCB6" w14:textId="77777777" w:rsidR="003E7820" w:rsidRPr="003C2711" w:rsidRDefault="003E7820" w:rsidP="003E7820">
      <w:pPr>
        <w:spacing w:after="0" w:line="240" w:lineRule="auto"/>
        <w:rPr>
          <w:rFonts w:ascii="Times New Roman" w:eastAsia="Times New Roman" w:hAnsi="Times New Roman"/>
          <w:sz w:val="24"/>
          <w:szCs w:val="20"/>
          <w:lang w:val="es-ES_tradnl"/>
        </w:rPr>
      </w:pPr>
    </w:p>
    <w:p w14:paraId="031F5F7A" w14:textId="77777777" w:rsidR="003E7820" w:rsidRDefault="003E7820" w:rsidP="003E7820">
      <w:pPr>
        <w:spacing w:after="0" w:line="240" w:lineRule="auto"/>
        <w:jc w:val="center"/>
        <w:rPr>
          <w:rFonts w:ascii="Book Antiqua" w:eastAsia="Times New Roman" w:hAnsi="Book Antiqua"/>
          <w:b/>
          <w:sz w:val="36"/>
          <w:szCs w:val="20"/>
          <w:lang w:val="es-ES_tradnl"/>
        </w:rPr>
      </w:pPr>
      <w:r w:rsidRPr="003C2711">
        <w:rPr>
          <w:rFonts w:ascii="Book Antiqua" w:eastAsia="Times New Roman" w:hAnsi="Book Antiqua"/>
          <w:b/>
          <w:sz w:val="36"/>
          <w:szCs w:val="20"/>
          <w:lang w:val="es-ES_tradnl"/>
        </w:rPr>
        <w:t>CÁMARA DE REPRESENTANTES</w:t>
      </w:r>
    </w:p>
    <w:p w14:paraId="659E7A73" w14:textId="77777777" w:rsidR="003E7820" w:rsidRPr="00E967F4" w:rsidRDefault="003E7820" w:rsidP="003E7820">
      <w:pPr>
        <w:spacing w:after="0" w:line="240" w:lineRule="auto"/>
        <w:jc w:val="center"/>
        <w:rPr>
          <w:rFonts w:ascii="Book Antiqua" w:eastAsia="Times New Roman" w:hAnsi="Book Antiqua"/>
          <w:b/>
          <w:sz w:val="24"/>
          <w:szCs w:val="24"/>
          <w:lang w:val="es-ES_tradnl"/>
        </w:rPr>
      </w:pPr>
    </w:p>
    <w:p w14:paraId="0BCC714A" w14:textId="0900066E" w:rsidR="003E7820" w:rsidRPr="003C2711" w:rsidRDefault="003E7820" w:rsidP="003E7820">
      <w:pPr>
        <w:spacing w:after="0" w:line="240" w:lineRule="auto"/>
        <w:jc w:val="center"/>
        <w:rPr>
          <w:rFonts w:ascii="Book Antiqua" w:eastAsia="Times New Roman" w:hAnsi="Book Antiqua"/>
          <w:b/>
          <w:sz w:val="24"/>
          <w:szCs w:val="20"/>
          <w:lang w:val="es-ES_tradnl"/>
        </w:rPr>
      </w:pPr>
      <w:r w:rsidRPr="003C2711">
        <w:rPr>
          <w:rFonts w:ascii="Book Antiqua" w:eastAsia="Times New Roman" w:hAnsi="Book Antiqua"/>
          <w:b/>
          <w:sz w:val="52"/>
          <w:szCs w:val="20"/>
          <w:lang w:val="es-ES_tradnl"/>
        </w:rPr>
        <w:t xml:space="preserve">R. de la C. </w:t>
      </w:r>
      <w:r w:rsidR="007368A8">
        <w:rPr>
          <w:rFonts w:ascii="Book Antiqua" w:eastAsia="Times New Roman" w:hAnsi="Book Antiqua"/>
          <w:b/>
          <w:sz w:val="52"/>
          <w:szCs w:val="20"/>
          <w:lang w:val="es-ES_tradnl"/>
        </w:rPr>
        <w:t>49</w:t>
      </w:r>
      <w:r w:rsidRPr="003C2711">
        <w:rPr>
          <w:rFonts w:ascii="Book Antiqua" w:eastAsia="Times New Roman" w:hAnsi="Book Antiqua"/>
          <w:b/>
          <w:sz w:val="52"/>
          <w:szCs w:val="20"/>
          <w:lang w:val="es-ES_tradnl"/>
        </w:rPr>
        <w:br/>
      </w:r>
    </w:p>
    <w:p w14:paraId="3D22D064" w14:textId="24B9D1A2" w:rsidR="003E7820" w:rsidRDefault="007368A8" w:rsidP="003E7820">
      <w:pPr>
        <w:spacing w:after="0" w:line="240" w:lineRule="auto"/>
        <w:jc w:val="center"/>
        <w:rPr>
          <w:rFonts w:ascii="Book Antiqua" w:eastAsia="Times New Roman" w:hAnsi="Book Antiqua"/>
          <w:sz w:val="24"/>
          <w:szCs w:val="20"/>
          <w:lang w:val="es-ES_tradnl"/>
        </w:rPr>
      </w:pPr>
      <w:r>
        <w:rPr>
          <w:rFonts w:ascii="Book Antiqua" w:eastAsia="Times New Roman" w:hAnsi="Book Antiqua"/>
          <w:sz w:val="24"/>
          <w:szCs w:val="20"/>
          <w:lang w:val="es-ES_tradnl"/>
        </w:rPr>
        <w:t xml:space="preserve">13 </w:t>
      </w:r>
      <w:r w:rsidR="003E7820" w:rsidRPr="003C2711">
        <w:rPr>
          <w:rFonts w:ascii="Book Antiqua" w:eastAsia="Times New Roman" w:hAnsi="Book Antiqua"/>
          <w:sz w:val="24"/>
          <w:szCs w:val="20"/>
          <w:lang w:val="es-ES_tradnl"/>
        </w:rPr>
        <w:t>DE</w:t>
      </w:r>
      <w:r w:rsidR="00E60313">
        <w:rPr>
          <w:rFonts w:ascii="Book Antiqua" w:eastAsia="Times New Roman" w:hAnsi="Book Antiqua"/>
          <w:sz w:val="24"/>
          <w:szCs w:val="20"/>
          <w:lang w:val="es-ES_tradnl"/>
        </w:rPr>
        <w:t xml:space="preserve"> ENERO</w:t>
      </w:r>
      <w:r w:rsidR="003E7820">
        <w:rPr>
          <w:rFonts w:ascii="Book Antiqua" w:eastAsia="Times New Roman" w:hAnsi="Book Antiqua"/>
          <w:sz w:val="24"/>
          <w:szCs w:val="20"/>
          <w:lang w:val="es-ES_tradnl"/>
        </w:rPr>
        <w:t xml:space="preserve"> </w:t>
      </w:r>
      <w:r w:rsidR="003E7820" w:rsidRPr="003C2711">
        <w:rPr>
          <w:rFonts w:ascii="Book Antiqua" w:eastAsia="Times New Roman" w:hAnsi="Book Antiqua"/>
          <w:sz w:val="24"/>
          <w:szCs w:val="20"/>
          <w:lang w:val="es-ES_tradnl"/>
        </w:rPr>
        <w:t>DE 202</w:t>
      </w:r>
      <w:r w:rsidR="00E60313">
        <w:rPr>
          <w:rFonts w:ascii="Book Antiqua" w:eastAsia="Times New Roman" w:hAnsi="Book Antiqua"/>
          <w:sz w:val="24"/>
          <w:szCs w:val="20"/>
          <w:lang w:val="es-ES_tradnl"/>
        </w:rPr>
        <w:t>5</w:t>
      </w:r>
    </w:p>
    <w:p w14:paraId="7BA1621E"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793E1846" w14:textId="77777777" w:rsidR="003E7820" w:rsidRDefault="003E7820" w:rsidP="003E7820">
      <w:pPr>
        <w:spacing w:after="0" w:line="240" w:lineRule="auto"/>
        <w:jc w:val="center"/>
        <w:rPr>
          <w:rFonts w:ascii="Book Antiqua" w:eastAsia="Times New Roman" w:hAnsi="Book Antiqua"/>
          <w:i/>
          <w:sz w:val="24"/>
          <w:szCs w:val="20"/>
          <w:lang w:val="es-ES_tradnl"/>
        </w:rPr>
      </w:pPr>
      <w:r w:rsidRPr="003C2711">
        <w:rPr>
          <w:rFonts w:ascii="Book Antiqua" w:eastAsia="Times New Roman" w:hAnsi="Book Antiqua"/>
          <w:sz w:val="24"/>
          <w:szCs w:val="20"/>
          <w:lang w:val="es-ES_tradnl"/>
        </w:rPr>
        <w:t xml:space="preserve">Presentada por el representante </w:t>
      </w:r>
      <w:r>
        <w:rPr>
          <w:rFonts w:ascii="Book Antiqua" w:eastAsia="Times New Roman" w:hAnsi="Book Antiqua"/>
          <w:i/>
          <w:sz w:val="24"/>
          <w:szCs w:val="20"/>
          <w:lang w:val="es-ES_tradnl"/>
        </w:rPr>
        <w:t xml:space="preserve">Pérez Ortiz </w:t>
      </w:r>
    </w:p>
    <w:p w14:paraId="5E362D8A" w14:textId="77777777" w:rsidR="003E7820" w:rsidRPr="003C2711" w:rsidRDefault="003E7820" w:rsidP="003E7820">
      <w:pPr>
        <w:spacing w:after="0" w:line="240" w:lineRule="auto"/>
        <w:jc w:val="center"/>
        <w:rPr>
          <w:rFonts w:ascii="Book Antiqua" w:eastAsia="Times New Roman" w:hAnsi="Book Antiqua"/>
          <w:sz w:val="24"/>
          <w:szCs w:val="20"/>
          <w:lang w:val="es-ES_tradnl"/>
        </w:rPr>
      </w:pPr>
    </w:p>
    <w:p w14:paraId="5F7DE790" w14:textId="77777777" w:rsidR="003E7820" w:rsidRPr="00582258" w:rsidRDefault="003E7820" w:rsidP="003E7820">
      <w:pPr>
        <w:spacing w:after="0" w:line="240" w:lineRule="auto"/>
        <w:jc w:val="center"/>
        <w:rPr>
          <w:rFonts w:ascii="Book Antiqua" w:eastAsia="Times New Roman" w:hAnsi="Book Antiqua"/>
          <w:sz w:val="24"/>
          <w:szCs w:val="20"/>
          <w:lang w:val="es-ES_tradnl"/>
        </w:rPr>
      </w:pPr>
      <w:r w:rsidRPr="003C2711">
        <w:rPr>
          <w:rFonts w:ascii="Book Antiqua" w:eastAsia="Times New Roman" w:hAnsi="Book Antiqua"/>
          <w:sz w:val="24"/>
          <w:szCs w:val="20"/>
          <w:lang w:val="es-ES_tradnl"/>
        </w:rPr>
        <w:t xml:space="preserve">Referida a la Comisión de </w:t>
      </w:r>
      <w:r>
        <w:rPr>
          <w:rFonts w:ascii="Book Antiqua" w:eastAsia="Times New Roman" w:hAnsi="Book Antiqua"/>
          <w:sz w:val="24"/>
          <w:szCs w:val="20"/>
          <w:lang w:val="es-ES_tradnl"/>
        </w:rPr>
        <w:t>Asuntos Internos</w:t>
      </w:r>
    </w:p>
    <w:p w14:paraId="7C2976BF"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5DBD6BC1" w14:textId="77777777" w:rsidR="003E7820" w:rsidRPr="00582258" w:rsidRDefault="003E7820" w:rsidP="003E7820">
      <w:pPr>
        <w:spacing w:after="0" w:line="240" w:lineRule="auto"/>
        <w:jc w:val="center"/>
        <w:rPr>
          <w:rFonts w:ascii="Book Antiqua" w:eastAsia="Times New Roman" w:hAnsi="Book Antiqua"/>
          <w:b/>
          <w:sz w:val="28"/>
          <w:szCs w:val="20"/>
          <w:lang w:val="es-ES_tradnl"/>
        </w:rPr>
      </w:pPr>
      <w:r w:rsidRPr="00582258">
        <w:rPr>
          <w:rFonts w:ascii="Book Antiqua" w:eastAsia="Times New Roman" w:hAnsi="Book Antiqua"/>
          <w:b/>
          <w:sz w:val="28"/>
          <w:szCs w:val="20"/>
          <w:lang w:val="es-ES_tradnl"/>
        </w:rPr>
        <w:t>RESOLUCIÓN</w:t>
      </w:r>
    </w:p>
    <w:p w14:paraId="46DBBA62" w14:textId="77777777" w:rsidR="003E7820" w:rsidRPr="00582258" w:rsidRDefault="003E7820" w:rsidP="003E7820">
      <w:pPr>
        <w:spacing w:after="0" w:line="240" w:lineRule="auto"/>
        <w:jc w:val="both"/>
        <w:rPr>
          <w:rFonts w:ascii="Book Antiqua" w:eastAsia="Times New Roman" w:hAnsi="Book Antiqua"/>
          <w:sz w:val="24"/>
          <w:szCs w:val="20"/>
          <w:lang w:val="es-ES_tradnl"/>
        </w:rPr>
      </w:pPr>
    </w:p>
    <w:p w14:paraId="768A1152" w14:textId="54EB245F" w:rsidR="003E7820" w:rsidRPr="00586F92" w:rsidRDefault="003E7820" w:rsidP="004C7018">
      <w:pPr>
        <w:pStyle w:val="BodyTextIndent2"/>
        <w:spacing w:after="0" w:line="240" w:lineRule="auto"/>
        <w:ind w:left="567" w:hanging="567"/>
        <w:jc w:val="both"/>
        <w:rPr>
          <w:rFonts w:ascii="Book Antiqua" w:hAnsi="Book Antiqua"/>
          <w:sz w:val="24"/>
          <w:szCs w:val="24"/>
          <w:lang w:val="es-PR"/>
        </w:rPr>
      </w:pPr>
      <w:bookmarkStart w:id="1" w:name="_Hlk94518690"/>
      <w:r w:rsidRPr="00586F92">
        <w:rPr>
          <w:rFonts w:ascii="Book Antiqua" w:hAnsi="Book Antiqua"/>
          <w:sz w:val="24"/>
          <w:szCs w:val="24"/>
          <w:lang w:val="es-PR"/>
        </w:rPr>
        <w:t xml:space="preserve">Para ordenar a </w:t>
      </w:r>
      <w:bookmarkStart w:id="2" w:name="_Hlk141173215"/>
      <w:bookmarkStart w:id="3" w:name="_Hlk141173232"/>
      <w:bookmarkStart w:id="4" w:name="_Hlk176937911"/>
      <w:r w:rsidR="00D86389" w:rsidRPr="00586F92">
        <w:rPr>
          <w:rFonts w:ascii="Book Antiqua" w:hAnsi="Book Antiqua"/>
          <w:sz w:val="24"/>
          <w:szCs w:val="24"/>
          <w:lang w:val="es-PR"/>
        </w:rPr>
        <w:t xml:space="preserve">las comisiones </w:t>
      </w:r>
      <w:r w:rsidRPr="00586F92">
        <w:rPr>
          <w:rFonts w:ascii="Book Antiqua" w:hAnsi="Book Antiqua"/>
          <w:sz w:val="24"/>
          <w:szCs w:val="24"/>
          <w:lang w:val="es-PR"/>
        </w:rPr>
        <w:t xml:space="preserve">de </w:t>
      </w:r>
      <w:bookmarkEnd w:id="2"/>
      <w:bookmarkEnd w:id="3"/>
      <w:r w:rsidRPr="00586F92">
        <w:rPr>
          <w:rFonts w:ascii="Book Antiqua" w:hAnsi="Book Antiqua"/>
          <w:sz w:val="24"/>
          <w:szCs w:val="24"/>
          <w:lang w:val="es-PR"/>
        </w:rPr>
        <w:t>Salud</w:t>
      </w:r>
      <w:r w:rsidR="00D86389" w:rsidRPr="00586F92">
        <w:rPr>
          <w:rFonts w:ascii="Book Antiqua" w:hAnsi="Book Antiqua"/>
          <w:sz w:val="24"/>
          <w:szCs w:val="24"/>
          <w:lang w:val="es-PR"/>
        </w:rPr>
        <w:t>;</w:t>
      </w:r>
      <w:r w:rsidRPr="00586F92">
        <w:rPr>
          <w:rFonts w:ascii="Book Antiqua" w:hAnsi="Book Antiqua"/>
          <w:sz w:val="24"/>
          <w:szCs w:val="24"/>
          <w:lang w:val="es-PR"/>
        </w:rPr>
        <w:t xml:space="preserve"> y </w:t>
      </w:r>
      <w:r w:rsidR="000C3981" w:rsidRPr="00586F92">
        <w:rPr>
          <w:rFonts w:ascii="Book Antiqua" w:hAnsi="Book Antiqua"/>
          <w:sz w:val="24"/>
          <w:szCs w:val="24"/>
          <w:lang w:val="es-PR"/>
        </w:rPr>
        <w:t xml:space="preserve">del Trabajo y </w:t>
      </w:r>
      <w:r w:rsidR="00FA257A" w:rsidRPr="00586F92">
        <w:rPr>
          <w:rFonts w:ascii="Book Antiqua" w:hAnsi="Book Antiqua"/>
          <w:sz w:val="24"/>
          <w:szCs w:val="24"/>
          <w:lang w:val="es-PR"/>
        </w:rPr>
        <w:t xml:space="preserve">Asuntos Laborales, </w:t>
      </w:r>
      <w:bookmarkStart w:id="5" w:name="_Hlk176938480"/>
      <w:r w:rsidR="000C4C9A" w:rsidRPr="00586F92">
        <w:rPr>
          <w:rFonts w:ascii="Book Antiqua" w:hAnsi="Book Antiqua"/>
          <w:sz w:val="24"/>
          <w:szCs w:val="24"/>
          <w:lang w:val="es-PR"/>
        </w:rPr>
        <w:t xml:space="preserve">a realizar una investigación sobre </w:t>
      </w:r>
      <w:r w:rsidR="004349A5" w:rsidRPr="00586F92">
        <w:rPr>
          <w:rFonts w:ascii="Book Antiqua" w:hAnsi="Book Antiqua"/>
          <w:sz w:val="24"/>
          <w:szCs w:val="24"/>
          <w:lang w:val="es-PR"/>
        </w:rPr>
        <w:t>el cumplimiento de la Ley Núm. 82 de 31 de mayo de 1972, según enmendada, conocida como Ley de la Junta Examinadora y del Colegio de Nutricionistas y Dietistas de Puerto Rico;</w:t>
      </w:r>
      <w:r w:rsidR="00FA257A" w:rsidRPr="00586F92">
        <w:rPr>
          <w:rFonts w:ascii="Book Antiqua" w:hAnsi="Book Antiqua"/>
          <w:sz w:val="24"/>
          <w:szCs w:val="24"/>
          <w:lang w:val="es-PR"/>
        </w:rPr>
        <w:t xml:space="preserve"> la necesidad de revisar y actualizar las escalas salariales y retribuciones de los nutricionistas-dietistas que laboran en el gobierno; investigar otros </w:t>
      </w:r>
      <w:r w:rsidRPr="00586F92">
        <w:rPr>
          <w:rFonts w:ascii="Book Antiqua" w:hAnsi="Book Antiqua"/>
          <w:sz w:val="24"/>
          <w:szCs w:val="24"/>
          <w:lang w:val="es-PR"/>
        </w:rPr>
        <w:t xml:space="preserve">asuntos relevantes de este grupo de </w:t>
      </w:r>
      <w:r w:rsidR="00FA257A" w:rsidRPr="00586F92">
        <w:rPr>
          <w:rFonts w:ascii="Book Antiqua" w:hAnsi="Book Antiqua"/>
          <w:sz w:val="24"/>
          <w:szCs w:val="24"/>
          <w:lang w:val="es-PR"/>
        </w:rPr>
        <w:t>profesionales</w:t>
      </w:r>
      <w:bookmarkEnd w:id="4"/>
      <w:bookmarkEnd w:id="5"/>
      <w:r w:rsidR="00FA257A" w:rsidRPr="00586F92">
        <w:rPr>
          <w:rFonts w:ascii="Book Antiqua" w:hAnsi="Book Antiqua"/>
          <w:sz w:val="24"/>
          <w:szCs w:val="24"/>
          <w:lang w:val="es-PR"/>
        </w:rPr>
        <w:t>; y</w:t>
      </w:r>
      <w:r w:rsidRPr="00586F92">
        <w:rPr>
          <w:rFonts w:ascii="Book Antiqua" w:hAnsi="Book Antiqua"/>
          <w:sz w:val="24"/>
          <w:szCs w:val="24"/>
          <w:lang w:val="es-PR"/>
        </w:rPr>
        <w:t xml:space="preserve"> para otros fines relacionados. </w:t>
      </w:r>
    </w:p>
    <w:bookmarkEnd w:id="1"/>
    <w:p w14:paraId="29C7812F" w14:textId="77777777" w:rsidR="003E7820" w:rsidRPr="00586F92" w:rsidRDefault="003E7820" w:rsidP="003E7820">
      <w:pPr>
        <w:spacing w:after="0" w:line="240" w:lineRule="auto"/>
        <w:rPr>
          <w:rFonts w:ascii="Book Antiqua" w:eastAsia="Times New Roman" w:hAnsi="Book Antiqua"/>
          <w:sz w:val="24"/>
          <w:szCs w:val="20"/>
          <w:lang w:val="es-PR"/>
        </w:rPr>
      </w:pPr>
    </w:p>
    <w:p w14:paraId="65B3AE6E" w14:textId="77777777" w:rsidR="003E7820" w:rsidRPr="00586F92" w:rsidRDefault="003E7820" w:rsidP="003E7820">
      <w:pPr>
        <w:spacing w:after="0" w:line="240" w:lineRule="auto"/>
        <w:jc w:val="center"/>
        <w:rPr>
          <w:rFonts w:ascii="Book Antiqua" w:eastAsia="Times New Roman" w:hAnsi="Book Antiqua"/>
          <w:sz w:val="24"/>
          <w:szCs w:val="20"/>
          <w:lang w:val="es-PR"/>
        </w:rPr>
      </w:pPr>
      <w:r w:rsidRPr="00586F92">
        <w:rPr>
          <w:rFonts w:ascii="Book Antiqua" w:eastAsia="Times New Roman" w:hAnsi="Book Antiqua"/>
          <w:sz w:val="24"/>
          <w:szCs w:val="20"/>
          <w:lang w:val="es-PR"/>
        </w:rPr>
        <w:t>EXPOSICIÓN DE MOTIVOS</w:t>
      </w:r>
    </w:p>
    <w:p w14:paraId="3937A14E" w14:textId="77777777" w:rsidR="003E7820" w:rsidRPr="00586F92" w:rsidRDefault="003E7820" w:rsidP="003E7820">
      <w:pPr>
        <w:spacing w:after="0" w:line="240" w:lineRule="auto"/>
        <w:jc w:val="center"/>
        <w:rPr>
          <w:rFonts w:ascii="Book Antiqua" w:eastAsia="Times New Roman" w:hAnsi="Book Antiqua"/>
          <w:sz w:val="24"/>
          <w:szCs w:val="24"/>
          <w:lang w:val="es-ES_tradnl"/>
        </w:rPr>
      </w:pPr>
    </w:p>
    <w:p w14:paraId="0756C91E"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Los nutricionistas-dietistas en Puerto Rico son un pilar fundamental del sistema de salud pública, dedicados a mejorar la calidad de vida de los ciudadanos mediante la promoción de una nutrición adecuada, la prevención de enfermedades crónicas y la implementación de planes alimenticios personalizados. Con aproximadamente 2,000 profesionales licenciados en la isla, y con casi el 50% de ellos empleados en el sector gubernamental, estos especialistas están capacitados para abordar problemas complejos de salud que afectan a la población, como la malnutrición, diabetes, enfermedades cardiovasculares, entre otros. Su trabajo se extiende desde hospitales hasta programas comunitarios, donde brindan servicios vitales que promueven el bienestar de las familias puertorriqueñas.</w:t>
      </w:r>
    </w:p>
    <w:p w14:paraId="276E3BB9"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p>
    <w:p w14:paraId="4AF5E80C" w14:textId="7ACF5602" w:rsidR="004349A5"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lastRenderedPageBreak/>
        <w:t xml:space="preserve">A pesar de la relevancia y especialización de sus funciones, los nutricionistas-dietistas que trabajan </w:t>
      </w:r>
      <w:r w:rsidR="003010CE">
        <w:rPr>
          <w:rFonts w:ascii="Book Antiqua" w:eastAsia="MS Mincho" w:hAnsi="Book Antiqua"/>
          <w:sz w:val="24"/>
          <w:szCs w:val="24"/>
          <w:lang w:val="es-ES_tradnl"/>
        </w:rPr>
        <w:t>en el servicio público no han recibido</w:t>
      </w:r>
      <w:r w:rsidRPr="00586F92">
        <w:rPr>
          <w:rFonts w:ascii="Book Antiqua" w:eastAsia="MS Mincho" w:hAnsi="Book Antiqua"/>
          <w:sz w:val="24"/>
          <w:szCs w:val="24"/>
          <w:lang w:val="es-ES_tradnl"/>
        </w:rPr>
        <w:t xml:space="preserve"> una actualización en sus escalas salariales desde el año 2008. Esto representa un estancamiento de </w:t>
      </w:r>
      <w:r w:rsidR="003010CE">
        <w:rPr>
          <w:rFonts w:ascii="Book Antiqua" w:eastAsia="MS Mincho" w:hAnsi="Book Antiqua"/>
          <w:sz w:val="24"/>
          <w:szCs w:val="24"/>
          <w:lang w:val="es-ES_tradnl"/>
        </w:rPr>
        <w:t>diecisiete</w:t>
      </w:r>
      <w:r w:rsidRPr="00586F92">
        <w:rPr>
          <w:rFonts w:ascii="Book Antiqua" w:eastAsia="MS Mincho" w:hAnsi="Book Antiqua"/>
          <w:sz w:val="24"/>
          <w:szCs w:val="24"/>
          <w:lang w:val="es-ES_tradnl"/>
        </w:rPr>
        <w:t xml:space="preserve"> años, durante los cuales no se ha revisado ni ajustado su compensación de acuerdo con la inflación, el costo de vida, ni la creciente demanda de sus servicios. Esta situación ha resultado en una clara injusticia salarial, ya que no refleja el valor y la responsabilidad del trabajo que realizan diariamente estos servidores públicos. El gobierno, como mayor empleador de nutricionistas-dietistas en la isla, tiene la obligación de reconocer la dedicación y el compromiso de estos profesionales, quienes son esenciales para la promoción de la salud pública.</w:t>
      </w:r>
    </w:p>
    <w:p w14:paraId="56D3E4E8"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p>
    <w:p w14:paraId="1A017C3D" w14:textId="595FB45C" w:rsidR="004349A5"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 xml:space="preserve">La Ley Núm. 82 de 31 de mayo de 1972, conocida como la Ley de la Junta Examinadora y del Colegio de Nutricionistas y Dietistas de Puerto Rico, establece el marco legal que regula la profesión de la nutrición y dietética en la isla (20 L.P.R.A. § 2181). Esta ley no solo crea la Junta Examinadora de Nutricionistas y Dietistas, sino que también establece las funciones y responsabilidades de estos profesionales. Según </w:t>
      </w:r>
      <w:r w:rsidR="003010CE">
        <w:rPr>
          <w:rFonts w:ascii="Book Antiqua" w:eastAsia="MS Mincho" w:hAnsi="Book Antiqua"/>
          <w:sz w:val="24"/>
          <w:szCs w:val="24"/>
          <w:lang w:val="es-ES_tradnl"/>
        </w:rPr>
        <w:t>las disposiciones de dicha Ley,</w:t>
      </w:r>
      <w:r w:rsidRPr="00586F92">
        <w:rPr>
          <w:rFonts w:ascii="Book Antiqua" w:eastAsia="MS Mincho" w:hAnsi="Book Antiqua"/>
          <w:sz w:val="24"/>
          <w:szCs w:val="24"/>
          <w:lang w:val="es-ES_tradnl"/>
        </w:rPr>
        <w:t xml:space="preserve"> un profesional de la nutrición y dietética debe contar con una preparación académica rigurosa que incluye un Bachillerato en Ciencias con concentración en Nutrición y Dietética, que los capacita para interpretar y aplicar conocimientos científicos en la planificación, organización, y dirección de programas de salud, así como en la prescripción de planes alimentarios específicos bajo ciertas condiciones. Además, están facultados para ofrecer orientación y consultoría en aspectos dietéticos preventivos y curativos, lo que subraya la importancia de su rol en la promoción de la salud pública y la prevención de enfermedades debilitantes. Esta base legal resalta la alta cualificación y responsabilidad de los nutricionistas-dietistas, justificando aún más la necesidad de una retribución justa y acorde con sus funciones.</w:t>
      </w:r>
    </w:p>
    <w:p w14:paraId="4607EF79"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p>
    <w:p w14:paraId="397AE174"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La falta de justicia salarial no solo afecta el bienestar económico de los nutricionistas-dietistas, sino que también tiene repercusiones significativas en el sistema de salud pública de Puerto Rico. Los profesionales jóvenes, viendo pocas oportunidades de crecimiento económico, optan por emigrar a los Estados Unidos u otros países donde las condiciones laborales y salariales son más favorables. Esta fuga de talento crea vacíos en los servicios de nutrición en la isla, aumentando la carga de trabajo de los que se quedan y comprometiendo la calidad de la atención y la intervención médico-nutricional. Estos profesionales, que trabajan en escenarios hospitalarios y comunitarios, son indispensables para manejar las necesidades alimentarias en todas las etapas del ciclo de vida, desde la infancia hasta la vejez, y para contribuir en la lucha contra las enfermedades crónicas que afectan a gran parte de la población.</w:t>
      </w:r>
    </w:p>
    <w:p w14:paraId="3A27F994"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p>
    <w:p w14:paraId="2A9E85D3"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 xml:space="preserve">El Colegio de Nutricionistas y Dietistas de Puerto Rico ha abogado por una revisión justa de las escalas salariales que se ajuste a la realidad económica y profesional de estos trabajadores de la salud. Proponen un aumento de $500 mensuales para los profesionales con grado de bachillerato y $800 para aquellos con grado de maestría. Estos incrementos </w:t>
      </w:r>
      <w:r w:rsidRPr="00586F92">
        <w:rPr>
          <w:rFonts w:ascii="Book Antiqua" w:eastAsia="MS Mincho" w:hAnsi="Book Antiqua"/>
          <w:sz w:val="24"/>
          <w:szCs w:val="24"/>
          <w:lang w:val="es-ES_tradnl"/>
        </w:rPr>
        <w:lastRenderedPageBreak/>
        <w:t>salariales no solo permitirían un reconocimiento adecuado del trabajo especializado que realizan, sino que también ayudarían a alinear la compensación de estos profesionales con los estándares nacionales e internacionales. Una remuneración justa es fundamental para motivar a los nutricionistas-dietistas a permanecer en Puerto Rico, contribuyendo con su experiencia y conocimiento al desarrollo del sistema de salud local.</w:t>
      </w:r>
    </w:p>
    <w:p w14:paraId="1E80A813"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p>
    <w:p w14:paraId="48BCB220"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 xml:space="preserve">Los beneficios de contar con nutricionistas-dietistas bien remunerados y motivados son múltiples y significativos. Al garantizar una intervención nutricional adecuada, se pueden prevenir complicaciones de salud que requieren tratamientos costosos, prolongadas estadías hospitalarias y mayores gastos en servicios de salud. La inversión en una remuneración justa para estos profesionales puede traducirse en una reducción del gasto público en salud, al mejorar la prevención y manejo de condiciones crónicas y agudas que afectan a la población. Además, su labor es esencial en programas como WIC, Head </w:t>
      </w:r>
      <w:proofErr w:type="spellStart"/>
      <w:r w:rsidRPr="00586F92">
        <w:rPr>
          <w:rFonts w:ascii="Book Antiqua" w:eastAsia="MS Mincho" w:hAnsi="Book Antiqua"/>
          <w:sz w:val="24"/>
          <w:szCs w:val="24"/>
          <w:lang w:val="es-ES_tradnl"/>
        </w:rPr>
        <w:t>Start</w:t>
      </w:r>
      <w:proofErr w:type="spellEnd"/>
      <w:r w:rsidRPr="00586F92">
        <w:rPr>
          <w:rFonts w:ascii="Book Antiqua" w:eastAsia="MS Mincho" w:hAnsi="Book Antiqua"/>
          <w:sz w:val="24"/>
          <w:szCs w:val="24"/>
          <w:lang w:val="es-ES_tradnl"/>
        </w:rPr>
        <w:t>, Comedores Escolares y otros programas de asistencia alimentaria, que son críticos para asegurar la seguridad alimentaria de los sectores más vulnerables de la sociedad.</w:t>
      </w:r>
    </w:p>
    <w:p w14:paraId="0A0A4B92" w14:textId="77777777" w:rsidR="004349A5" w:rsidRPr="00586F92" w:rsidRDefault="004349A5" w:rsidP="004C7018">
      <w:pPr>
        <w:spacing w:after="0" w:line="240" w:lineRule="auto"/>
        <w:ind w:firstLine="567"/>
        <w:jc w:val="both"/>
        <w:rPr>
          <w:rFonts w:ascii="Book Antiqua" w:eastAsia="MS Mincho" w:hAnsi="Book Antiqua"/>
          <w:sz w:val="24"/>
          <w:szCs w:val="24"/>
          <w:lang w:val="es-ES_tradnl"/>
        </w:rPr>
      </w:pPr>
    </w:p>
    <w:p w14:paraId="42C77E68" w14:textId="4801E0A1" w:rsidR="003E7820" w:rsidRPr="00586F92" w:rsidRDefault="004349A5" w:rsidP="004C7018">
      <w:pPr>
        <w:spacing w:after="0" w:line="24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Por todo lo anterior, resulta imperativo que la Cámara de Representantes del Estado Libre Asociado de Puerto Rico tome medidas para investigar y evaluar las escalas salariales y las condiciones laborales de los nutricionistas-dietistas en el gobierno. Este esfuerzo no solo haría justicia a estos servidores públicos, reconociendo el valor de su trabajo, sino que también fortalecería el sistema de salud en Puerto Rico, beneficiando directamente a toda la comunidad.</w:t>
      </w:r>
    </w:p>
    <w:p w14:paraId="77FA68A1" w14:textId="77777777" w:rsidR="004349A5" w:rsidRDefault="004349A5" w:rsidP="004C7018">
      <w:pPr>
        <w:spacing w:after="0" w:line="240" w:lineRule="auto"/>
        <w:ind w:firstLine="567"/>
        <w:jc w:val="both"/>
        <w:rPr>
          <w:rFonts w:ascii="Book Antiqua" w:eastAsia="Times New Roman" w:hAnsi="Book Antiqua"/>
          <w:i/>
          <w:iCs/>
          <w:sz w:val="24"/>
          <w:szCs w:val="24"/>
          <w:lang w:val="es-ES_tradnl"/>
        </w:rPr>
      </w:pPr>
    </w:p>
    <w:p w14:paraId="7A49401B" w14:textId="77777777" w:rsidR="003E7820" w:rsidRPr="00683111" w:rsidRDefault="003E7820" w:rsidP="003E7820">
      <w:pPr>
        <w:spacing w:after="0" w:line="240" w:lineRule="auto"/>
        <w:jc w:val="both"/>
        <w:rPr>
          <w:rFonts w:ascii="Book Antiqua" w:eastAsia="Times New Roman" w:hAnsi="Book Antiqua"/>
          <w:i/>
          <w:sz w:val="24"/>
          <w:szCs w:val="24"/>
          <w:lang w:val="es-ES_tradnl"/>
        </w:rPr>
      </w:pPr>
      <w:r w:rsidRPr="00683111">
        <w:rPr>
          <w:rFonts w:ascii="Book Antiqua" w:eastAsia="Times New Roman" w:hAnsi="Book Antiqua"/>
          <w:i/>
          <w:iCs/>
          <w:sz w:val="24"/>
          <w:szCs w:val="24"/>
          <w:lang w:val="es-ES_tradnl"/>
        </w:rPr>
        <w:t xml:space="preserve">RESUÉLVESE POR LA </w:t>
      </w:r>
      <w:r>
        <w:rPr>
          <w:rFonts w:ascii="Book Antiqua" w:eastAsia="Times New Roman" w:hAnsi="Book Antiqua"/>
          <w:i/>
          <w:iCs/>
          <w:sz w:val="24"/>
          <w:szCs w:val="24"/>
          <w:lang w:val="es-ES_tradnl"/>
        </w:rPr>
        <w:t>CÁMARA DE REPRESENTANTES</w:t>
      </w:r>
      <w:r w:rsidRPr="00683111">
        <w:rPr>
          <w:rFonts w:ascii="Book Antiqua" w:eastAsia="Times New Roman" w:hAnsi="Book Antiqua"/>
          <w:i/>
          <w:iCs/>
          <w:sz w:val="24"/>
          <w:szCs w:val="24"/>
          <w:lang w:val="es-ES_tradnl"/>
        </w:rPr>
        <w:t xml:space="preserve"> DE PUERTO RICO:</w:t>
      </w:r>
      <w:r w:rsidRPr="00683111">
        <w:rPr>
          <w:rFonts w:ascii="Book Antiqua" w:eastAsia="Times New Roman" w:hAnsi="Book Antiqua"/>
          <w:i/>
          <w:sz w:val="24"/>
          <w:szCs w:val="24"/>
          <w:lang w:val="es-ES_tradnl"/>
        </w:rPr>
        <w:t xml:space="preserve"> </w:t>
      </w:r>
    </w:p>
    <w:p w14:paraId="672D5453" w14:textId="77777777" w:rsidR="003E7820" w:rsidRPr="00683111" w:rsidRDefault="003E7820" w:rsidP="003E7820">
      <w:pPr>
        <w:spacing w:after="0" w:line="240" w:lineRule="auto"/>
        <w:jc w:val="both"/>
        <w:rPr>
          <w:rFonts w:ascii="Book Antiqua" w:eastAsia="Times New Roman" w:hAnsi="Book Antiqua"/>
          <w:sz w:val="24"/>
          <w:szCs w:val="24"/>
          <w:lang w:val="es-ES_tradnl"/>
        </w:rPr>
      </w:pPr>
    </w:p>
    <w:p w14:paraId="5108F28E" w14:textId="77777777" w:rsidR="003E7820" w:rsidRPr="005A7AF4" w:rsidRDefault="003E7820" w:rsidP="003E7820">
      <w:pPr>
        <w:spacing w:after="0" w:line="240" w:lineRule="auto"/>
        <w:jc w:val="both"/>
        <w:rPr>
          <w:rFonts w:ascii="Book Antiqua" w:eastAsia="Times New Roman" w:hAnsi="Book Antiqua"/>
          <w:sz w:val="24"/>
          <w:szCs w:val="24"/>
          <w:highlight w:val="yellow"/>
          <w:lang w:val="es-ES_tradnl"/>
        </w:rPr>
        <w:sectPr w:rsidR="003E7820" w:rsidRPr="005A7AF4" w:rsidSect="003E7820">
          <w:headerReference w:type="even" r:id="rId6"/>
          <w:headerReference w:type="default" r:id="rId7"/>
          <w:pgSz w:w="12240" w:h="15840" w:code="1"/>
          <w:pgMar w:top="1440" w:right="1440" w:bottom="1440" w:left="1440" w:header="720" w:footer="720" w:gutter="0"/>
          <w:cols w:space="720"/>
          <w:titlePg/>
          <w:docGrid w:linePitch="360"/>
        </w:sectPr>
      </w:pPr>
    </w:p>
    <w:p w14:paraId="5F4E1BD5" w14:textId="763AB2EA" w:rsidR="003E7820" w:rsidRPr="00586F92" w:rsidRDefault="003E7820" w:rsidP="004C7018">
      <w:pPr>
        <w:widowControl w:val="0"/>
        <w:spacing w:after="0" w:line="480" w:lineRule="auto"/>
        <w:ind w:firstLine="567"/>
        <w:jc w:val="both"/>
        <w:rPr>
          <w:rFonts w:ascii="Book Antiqua" w:eastAsia="MS Mincho" w:hAnsi="Book Antiqua"/>
          <w:sz w:val="24"/>
          <w:szCs w:val="24"/>
          <w:lang w:val="es-PR"/>
        </w:rPr>
      </w:pPr>
      <w:r w:rsidRPr="00586F92">
        <w:rPr>
          <w:rFonts w:ascii="Book Antiqua" w:eastAsia="MS Mincho" w:hAnsi="Book Antiqua"/>
          <w:sz w:val="24"/>
          <w:szCs w:val="24"/>
          <w:lang w:val="es-PR"/>
        </w:rPr>
        <w:t xml:space="preserve">Sección 1.-Se ordena a </w:t>
      </w:r>
      <w:r w:rsidR="003424F4" w:rsidRPr="00586F92">
        <w:rPr>
          <w:rFonts w:ascii="Book Antiqua" w:eastAsia="MS Mincho" w:hAnsi="Book Antiqua"/>
          <w:sz w:val="24"/>
          <w:szCs w:val="24"/>
          <w:lang w:val="es-PR"/>
        </w:rPr>
        <w:t xml:space="preserve">las comisiones </w:t>
      </w:r>
      <w:r w:rsidR="00FA257A" w:rsidRPr="00586F92">
        <w:rPr>
          <w:rFonts w:ascii="Book Antiqua" w:eastAsia="MS Mincho" w:hAnsi="Book Antiqua"/>
          <w:sz w:val="24"/>
          <w:szCs w:val="24"/>
          <w:lang w:val="es-PR"/>
        </w:rPr>
        <w:t>de Salud</w:t>
      </w:r>
      <w:r w:rsidR="003424F4" w:rsidRPr="00586F92">
        <w:rPr>
          <w:rFonts w:ascii="Book Antiqua" w:eastAsia="MS Mincho" w:hAnsi="Book Antiqua"/>
          <w:sz w:val="24"/>
          <w:szCs w:val="24"/>
          <w:lang w:val="es-PR"/>
        </w:rPr>
        <w:t>;</w:t>
      </w:r>
      <w:r w:rsidR="00FA257A" w:rsidRPr="00586F92">
        <w:rPr>
          <w:rFonts w:ascii="Book Antiqua" w:eastAsia="MS Mincho" w:hAnsi="Book Antiqua"/>
          <w:sz w:val="24"/>
          <w:szCs w:val="24"/>
          <w:lang w:val="es-PR"/>
        </w:rPr>
        <w:t xml:space="preserve"> y </w:t>
      </w:r>
      <w:r w:rsidR="00D725BE" w:rsidRPr="00586F92">
        <w:rPr>
          <w:rFonts w:ascii="Book Antiqua" w:eastAsia="MS Mincho" w:hAnsi="Book Antiqua"/>
          <w:sz w:val="24"/>
          <w:szCs w:val="24"/>
          <w:lang w:val="es-PR"/>
        </w:rPr>
        <w:t xml:space="preserve">del Trabajo y </w:t>
      </w:r>
      <w:r w:rsidR="00FA257A" w:rsidRPr="00586F92">
        <w:rPr>
          <w:rFonts w:ascii="Book Antiqua" w:eastAsia="MS Mincho" w:hAnsi="Book Antiqua"/>
          <w:sz w:val="24"/>
          <w:szCs w:val="24"/>
          <w:lang w:val="es-PR"/>
        </w:rPr>
        <w:t xml:space="preserve">Asuntos Laborales, </w:t>
      </w:r>
      <w:r w:rsidR="00777B1A" w:rsidRPr="00586F92">
        <w:rPr>
          <w:rFonts w:ascii="Book Antiqua" w:eastAsia="MS Mincho" w:hAnsi="Book Antiqua"/>
          <w:sz w:val="24"/>
          <w:szCs w:val="24"/>
          <w:lang w:val="es-PR"/>
        </w:rPr>
        <w:t>realizar una investigación</w:t>
      </w:r>
      <w:r w:rsidR="00A24BCC" w:rsidRPr="00586F92">
        <w:rPr>
          <w:rFonts w:ascii="Book Antiqua" w:eastAsia="MS Mincho" w:hAnsi="Book Antiqua"/>
          <w:sz w:val="24"/>
          <w:szCs w:val="24"/>
          <w:lang w:val="es-PR"/>
        </w:rPr>
        <w:t xml:space="preserve"> sobre</w:t>
      </w:r>
      <w:r w:rsidR="00777B1A" w:rsidRPr="00586F92">
        <w:rPr>
          <w:rFonts w:ascii="Book Antiqua" w:eastAsia="MS Mincho" w:hAnsi="Book Antiqua"/>
          <w:sz w:val="24"/>
          <w:szCs w:val="24"/>
          <w:lang w:val="es-PR"/>
        </w:rPr>
        <w:t xml:space="preserve"> </w:t>
      </w:r>
      <w:r w:rsidR="004349A5" w:rsidRPr="00586F92">
        <w:rPr>
          <w:rFonts w:ascii="Book Antiqua" w:eastAsia="MS Mincho" w:hAnsi="Book Antiqua"/>
          <w:sz w:val="24"/>
          <w:szCs w:val="24"/>
          <w:lang w:val="es-PR"/>
        </w:rPr>
        <w:t>el cumplimiento de la Ley Núm. 82 de 31 de mayo de 1972, según enmendada, conocida como Ley de la Junta Examinadora y del Colegio de Nutricionistas y Dietistas de Puerto Rico; la necesidad de revisar y actualizar las escalas salariales y retribuciones de los nutricionistas-dietistas que laboran en el gobierno; investigar otros asuntos relevantes de este grupo de profesionales</w:t>
      </w:r>
      <w:r w:rsidR="007933A5" w:rsidRPr="00586F92">
        <w:rPr>
          <w:rFonts w:ascii="Book Antiqua" w:eastAsia="MS Mincho" w:hAnsi="Book Antiqua"/>
          <w:sz w:val="24"/>
          <w:szCs w:val="24"/>
          <w:lang w:val="es-PR"/>
        </w:rPr>
        <w:t>; y para otros fines relacionados</w:t>
      </w:r>
      <w:r w:rsidRPr="00586F92">
        <w:rPr>
          <w:rFonts w:ascii="Book Antiqua" w:eastAsia="MS Mincho" w:hAnsi="Book Antiqua"/>
          <w:sz w:val="24"/>
          <w:szCs w:val="24"/>
          <w:lang w:val="es-PR"/>
        </w:rPr>
        <w:t>.</w:t>
      </w:r>
    </w:p>
    <w:p w14:paraId="528EA9F2" w14:textId="667566D9" w:rsidR="003E7820" w:rsidRPr="00586F92" w:rsidRDefault="003E7820" w:rsidP="004C7018">
      <w:pPr>
        <w:widowControl w:val="0"/>
        <w:spacing w:after="0" w:line="480" w:lineRule="auto"/>
        <w:ind w:firstLine="567"/>
        <w:jc w:val="both"/>
        <w:rPr>
          <w:rFonts w:ascii="Book Antiqua" w:eastAsia="MS Mincho" w:hAnsi="Book Antiqua"/>
          <w:sz w:val="24"/>
          <w:szCs w:val="24"/>
          <w:lang w:val="es-PR"/>
        </w:rPr>
      </w:pPr>
      <w:r w:rsidRPr="00586F92">
        <w:rPr>
          <w:rFonts w:ascii="Book Antiqua" w:eastAsia="MS Mincho" w:hAnsi="Book Antiqua"/>
          <w:sz w:val="24"/>
          <w:szCs w:val="24"/>
          <w:lang w:val="es-PR"/>
        </w:rPr>
        <w:t>Sección 2.-</w:t>
      </w:r>
      <w:r w:rsidR="00D87E01" w:rsidRPr="00586F92">
        <w:rPr>
          <w:rFonts w:ascii="Book Antiqua" w:hAnsi="Book Antiqua"/>
          <w:lang w:val="es-PR"/>
        </w:rPr>
        <w:t xml:space="preserve">Las Comisiones </w:t>
      </w:r>
      <w:r w:rsidR="00D87E01" w:rsidRPr="00586F92">
        <w:rPr>
          <w:rFonts w:ascii="Book Antiqua" w:hAnsi="Book Antiqua"/>
          <w:lang w:val="es-MX"/>
        </w:rPr>
        <w:t xml:space="preserve">rendirán a la Cámara de Representantes de Puerto Rico los informes parciales que estimen necesarios o convenientes en los que incluyan sus hallazgos, </w:t>
      </w:r>
      <w:r w:rsidR="00D87E01" w:rsidRPr="00586F92">
        <w:rPr>
          <w:rFonts w:ascii="Book Antiqua" w:hAnsi="Book Antiqua"/>
          <w:lang w:val="es-MX"/>
        </w:rPr>
        <w:lastRenderedPageBreak/>
        <w:t xml:space="preserve">conclusiones y recomendaciones; asimismo, someterán un informe final, antes de que finalice </w:t>
      </w:r>
      <w:r w:rsidR="00D87E01" w:rsidRPr="00586F92">
        <w:rPr>
          <w:rFonts w:ascii="Book Antiqua" w:hAnsi="Book Antiqua"/>
          <w:lang w:val="es-ES_tradnl"/>
        </w:rPr>
        <w:t>la Vigésima Asamblea Legislativa.</w:t>
      </w:r>
    </w:p>
    <w:p w14:paraId="714746C8" w14:textId="3615D1A8" w:rsidR="00D056D7" w:rsidRPr="00586F92" w:rsidRDefault="003E7820" w:rsidP="004C7018">
      <w:pPr>
        <w:widowControl w:val="0"/>
        <w:spacing w:after="0" w:line="480" w:lineRule="auto"/>
        <w:ind w:firstLine="567"/>
        <w:jc w:val="both"/>
        <w:rPr>
          <w:rFonts w:ascii="Book Antiqua" w:eastAsia="MS Mincho" w:hAnsi="Book Antiqua"/>
          <w:sz w:val="24"/>
          <w:szCs w:val="24"/>
          <w:lang w:val="es-ES_tradnl"/>
        </w:rPr>
      </w:pPr>
      <w:r w:rsidRPr="00586F92">
        <w:rPr>
          <w:rFonts w:ascii="Book Antiqua" w:eastAsia="MS Mincho" w:hAnsi="Book Antiqua"/>
          <w:sz w:val="24"/>
          <w:szCs w:val="24"/>
          <w:lang w:val="es-ES_tradnl"/>
        </w:rPr>
        <w:t>Sección 3.-Esta Resolución comenzará a regir inmediatamente después de su aprobación.</w:t>
      </w:r>
    </w:p>
    <w:sectPr w:rsidR="00D056D7" w:rsidRPr="00586F92" w:rsidSect="003E7820">
      <w:headerReference w:type="even" r:id="rId8"/>
      <w:headerReference w:type="default" r:id="rId9"/>
      <w:footnotePr>
        <w:numRestart w:val="eachPage"/>
      </w:footnotePr>
      <w:endnotePr>
        <w:numFmt w:val="decimal"/>
      </w:endnotePr>
      <w:type w:val="continuous"/>
      <w:pgSz w:w="12240" w:h="15840" w:code="1"/>
      <w:pgMar w:top="1440" w:right="1440" w:bottom="1440" w:left="1440" w:header="720" w:footer="720" w:gutter="0"/>
      <w:lnNumType w:countBy="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ECDA28" w14:textId="77777777" w:rsidR="00A6669A" w:rsidRDefault="00A6669A">
      <w:pPr>
        <w:spacing w:after="0" w:line="240" w:lineRule="auto"/>
      </w:pPr>
      <w:r>
        <w:separator/>
      </w:r>
    </w:p>
  </w:endnote>
  <w:endnote w:type="continuationSeparator" w:id="0">
    <w:p w14:paraId="71512025" w14:textId="77777777" w:rsidR="00A6669A" w:rsidRDefault="00A66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88C8C6" w14:textId="77777777" w:rsidR="00A6669A" w:rsidRDefault="00A6669A">
      <w:pPr>
        <w:spacing w:after="0" w:line="240" w:lineRule="auto"/>
      </w:pPr>
      <w:r>
        <w:separator/>
      </w:r>
    </w:p>
  </w:footnote>
  <w:footnote w:type="continuationSeparator" w:id="0">
    <w:p w14:paraId="02276E1A" w14:textId="77777777" w:rsidR="00A6669A" w:rsidRDefault="00A6669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03924"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D5CBB7F" w14:textId="77777777" w:rsidR="00002690" w:rsidRDefault="0000269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1C17B7" w14:textId="77777777" w:rsidR="00002690" w:rsidRDefault="00002690" w:rsidP="00D03BD5">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22C6AE82" w14:textId="77777777" w:rsidR="00002690" w:rsidRDefault="0000269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8FC759"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60DF59C0" w14:textId="77777777" w:rsidR="00002690" w:rsidRDefault="00002690">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635A31" w14:textId="77777777" w:rsidR="00002690" w:rsidRDefault="0000269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2C87C179" w14:textId="68CAA78D" w:rsidR="00002690" w:rsidRDefault="003E7820">
    <w:r>
      <w:rPr>
        <w:noProof/>
      </w:rPr>
      <mc:AlternateContent>
        <mc:Choice Requires="wps">
          <w:drawing>
            <wp:anchor distT="0" distB="0" distL="114300" distR="114300" simplePos="0" relativeHeight="251659264" behindDoc="0" locked="0" layoutInCell="0" allowOverlap="1" wp14:anchorId="0F7C6CE3" wp14:editId="590D282A">
              <wp:simplePos x="0" y="0"/>
              <wp:positionH relativeFrom="margin">
                <wp:posOffset>0</wp:posOffset>
              </wp:positionH>
              <wp:positionV relativeFrom="paragraph">
                <wp:posOffset>-914400</wp:posOffset>
              </wp:positionV>
              <wp:extent cx="5943600" cy="152400"/>
              <wp:effectExtent l="0" t="0" r="0" b="0"/>
              <wp:wrapNone/>
              <wp:docPr id="209714925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52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F7C6CE3" id="_x0000_t202" coordsize="21600,21600" o:spt="202" path="m,l,21600r21600,l21600,xe">
              <v:stroke joinstyle="miter"/>
              <v:path gradientshapeok="t" o:connecttype="rect"/>
            </v:shapetype>
            <v:shape id="Text Box 1" o:spid="_x0000_s1026" type="#_x0000_t202" style="position:absolute;margin-left:0;margin-top:-1in;width:468pt;height:12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" o:allowincell="f" stroked="f">
              <v:textbox>
                <w:txbxContent>
                  <w:p w14:paraId="3369FFC8" w14:textId="77777777" w:rsidR="00002690" w:rsidRDefault="00002690">
                    <w:pPr>
                      <w:rPr>
                        <w:sz w:val="24"/>
                      </w:rPr>
                    </w:pPr>
                  </w:p>
                  <w:p w14:paraId="048661CB" w14:textId="77777777" w:rsidR="00002690" w:rsidRDefault="00002690">
                    <w:pPr>
                      <w:tabs>
                        <w:tab w:val="left" w:pos="0"/>
                        <w:tab w:val="center" w:pos="4680"/>
                        <w:tab w:val="right" w:pos="9360"/>
                      </w:tabs>
                      <w:rPr>
                        <w:sz w:val="24"/>
                      </w:rPr>
                    </w:pPr>
                  </w:p>
                </w:txbxContent>
              </v:textbox>
              <w10:wrap anchorx="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FBC"/>
    <w:rsid w:val="00002690"/>
    <w:rsid w:val="00076278"/>
    <w:rsid w:val="000C3981"/>
    <w:rsid w:val="000C4C9A"/>
    <w:rsid w:val="00140BBA"/>
    <w:rsid w:val="002A4777"/>
    <w:rsid w:val="003010CE"/>
    <w:rsid w:val="003424F4"/>
    <w:rsid w:val="003759DE"/>
    <w:rsid w:val="003C65C8"/>
    <w:rsid w:val="003E7820"/>
    <w:rsid w:val="003F7F83"/>
    <w:rsid w:val="004349A5"/>
    <w:rsid w:val="00484FCA"/>
    <w:rsid w:val="00497C57"/>
    <w:rsid w:val="004C7018"/>
    <w:rsid w:val="00521E8B"/>
    <w:rsid w:val="005253C3"/>
    <w:rsid w:val="0055262D"/>
    <w:rsid w:val="0056259E"/>
    <w:rsid w:val="00586F92"/>
    <w:rsid w:val="00592027"/>
    <w:rsid w:val="005D6731"/>
    <w:rsid w:val="00654548"/>
    <w:rsid w:val="006D7F2B"/>
    <w:rsid w:val="00721FBC"/>
    <w:rsid w:val="007368A8"/>
    <w:rsid w:val="00777B1A"/>
    <w:rsid w:val="007933A5"/>
    <w:rsid w:val="007E4932"/>
    <w:rsid w:val="00834233"/>
    <w:rsid w:val="0090732C"/>
    <w:rsid w:val="00907DEC"/>
    <w:rsid w:val="00995861"/>
    <w:rsid w:val="00A24BCC"/>
    <w:rsid w:val="00A47AFF"/>
    <w:rsid w:val="00A6433F"/>
    <w:rsid w:val="00A6669A"/>
    <w:rsid w:val="00A92850"/>
    <w:rsid w:val="00A930E0"/>
    <w:rsid w:val="00B96B8F"/>
    <w:rsid w:val="00C55B2D"/>
    <w:rsid w:val="00C66EBE"/>
    <w:rsid w:val="00C912E5"/>
    <w:rsid w:val="00CD6646"/>
    <w:rsid w:val="00D056D7"/>
    <w:rsid w:val="00D07518"/>
    <w:rsid w:val="00D725BE"/>
    <w:rsid w:val="00D86389"/>
    <w:rsid w:val="00D87E01"/>
    <w:rsid w:val="00E60313"/>
    <w:rsid w:val="00E71D81"/>
    <w:rsid w:val="00E73A08"/>
    <w:rsid w:val="00EC61EE"/>
    <w:rsid w:val="00F25EF4"/>
    <w:rsid w:val="00FA25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11511BF"/>
  <w15:chartTrackingRefBased/>
  <w15:docId w15:val="{84AF0D26-0CD3-46A6-BD52-B463C2ED8B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7820"/>
    <w:rPr>
      <w:rFonts w:ascii="Calibri" w:eastAsia="Calibri" w:hAnsi="Calibri" w:cs="Times New Roman"/>
      <w:kern w:val="0"/>
      <w14:ligatures w14:val="none"/>
    </w:rPr>
  </w:style>
  <w:style w:type="paragraph" w:styleId="Heading1">
    <w:name w:val="heading 1"/>
    <w:basedOn w:val="Normal"/>
    <w:next w:val="Normal"/>
    <w:link w:val="Heading1Char"/>
    <w:uiPriority w:val="9"/>
    <w:qFormat/>
    <w:rsid w:val="00721F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21F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21F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21F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21F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21F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21F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21F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21F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21F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21F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21F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21F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21F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21F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21F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21F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21FBC"/>
    <w:rPr>
      <w:rFonts w:eastAsiaTheme="majorEastAsia" w:cstheme="majorBidi"/>
      <w:color w:val="272727" w:themeColor="text1" w:themeTint="D8"/>
    </w:rPr>
  </w:style>
  <w:style w:type="paragraph" w:styleId="Title">
    <w:name w:val="Title"/>
    <w:basedOn w:val="Normal"/>
    <w:next w:val="Normal"/>
    <w:link w:val="TitleChar"/>
    <w:uiPriority w:val="10"/>
    <w:qFormat/>
    <w:rsid w:val="00721F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21F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21FB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21F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21FBC"/>
    <w:pPr>
      <w:spacing w:before="160"/>
      <w:jc w:val="center"/>
    </w:pPr>
    <w:rPr>
      <w:i/>
      <w:iCs/>
      <w:color w:val="404040" w:themeColor="text1" w:themeTint="BF"/>
    </w:rPr>
  </w:style>
  <w:style w:type="character" w:customStyle="1" w:styleId="QuoteChar">
    <w:name w:val="Quote Char"/>
    <w:basedOn w:val="DefaultParagraphFont"/>
    <w:link w:val="Quote"/>
    <w:uiPriority w:val="29"/>
    <w:rsid w:val="00721FBC"/>
    <w:rPr>
      <w:i/>
      <w:iCs/>
      <w:color w:val="404040" w:themeColor="text1" w:themeTint="BF"/>
    </w:rPr>
  </w:style>
  <w:style w:type="paragraph" w:styleId="ListParagraph">
    <w:name w:val="List Paragraph"/>
    <w:basedOn w:val="Normal"/>
    <w:uiPriority w:val="34"/>
    <w:qFormat/>
    <w:rsid w:val="00721FBC"/>
    <w:pPr>
      <w:ind w:left="720"/>
      <w:contextualSpacing/>
    </w:pPr>
  </w:style>
  <w:style w:type="character" w:styleId="IntenseEmphasis">
    <w:name w:val="Intense Emphasis"/>
    <w:basedOn w:val="DefaultParagraphFont"/>
    <w:uiPriority w:val="21"/>
    <w:qFormat/>
    <w:rsid w:val="00721FBC"/>
    <w:rPr>
      <w:i/>
      <w:iCs/>
      <w:color w:val="0F4761" w:themeColor="accent1" w:themeShade="BF"/>
    </w:rPr>
  </w:style>
  <w:style w:type="paragraph" w:styleId="IntenseQuote">
    <w:name w:val="Intense Quote"/>
    <w:basedOn w:val="Normal"/>
    <w:next w:val="Normal"/>
    <w:link w:val="IntenseQuoteChar"/>
    <w:uiPriority w:val="30"/>
    <w:qFormat/>
    <w:rsid w:val="00721F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21FBC"/>
    <w:rPr>
      <w:i/>
      <w:iCs/>
      <w:color w:val="0F4761" w:themeColor="accent1" w:themeShade="BF"/>
    </w:rPr>
  </w:style>
  <w:style w:type="character" w:styleId="IntenseReference">
    <w:name w:val="Intense Reference"/>
    <w:basedOn w:val="DefaultParagraphFont"/>
    <w:uiPriority w:val="32"/>
    <w:qFormat/>
    <w:rsid w:val="00721FBC"/>
    <w:rPr>
      <w:b/>
      <w:bCs/>
      <w:smallCaps/>
      <w:color w:val="0F4761" w:themeColor="accent1" w:themeShade="BF"/>
      <w:spacing w:val="5"/>
    </w:rPr>
  </w:style>
  <w:style w:type="paragraph" w:styleId="Header">
    <w:name w:val="header"/>
    <w:basedOn w:val="Normal"/>
    <w:link w:val="HeaderChar"/>
    <w:uiPriority w:val="99"/>
    <w:unhideWhenUsed/>
    <w:rsid w:val="003E782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E7820"/>
    <w:rPr>
      <w:rFonts w:ascii="Calibri" w:eastAsia="Calibri" w:hAnsi="Calibri" w:cs="Times New Roman"/>
      <w:kern w:val="0"/>
      <w:lang w:val="en-US"/>
      <w14:ligatures w14:val="none"/>
    </w:rPr>
  </w:style>
  <w:style w:type="character" w:styleId="PageNumber">
    <w:name w:val="page number"/>
    <w:basedOn w:val="DefaultParagraphFont"/>
    <w:rsid w:val="003E7820"/>
  </w:style>
  <w:style w:type="paragraph" w:styleId="BodyTextIndent2">
    <w:name w:val="Body Text Indent 2"/>
    <w:basedOn w:val="Normal"/>
    <w:link w:val="BodyTextIndent2Char"/>
    <w:uiPriority w:val="99"/>
    <w:rsid w:val="003E7820"/>
    <w:pPr>
      <w:widowControl w:val="0"/>
      <w:spacing w:after="120" w:line="480" w:lineRule="auto"/>
      <w:ind w:left="360"/>
    </w:pPr>
    <w:rPr>
      <w:rFonts w:ascii="Times New Roman" w:eastAsia="MS Mincho" w:hAnsi="Times New Roman"/>
      <w:sz w:val="20"/>
      <w:szCs w:val="20"/>
    </w:rPr>
  </w:style>
  <w:style w:type="character" w:customStyle="1" w:styleId="BodyTextIndent2Char">
    <w:name w:val="Body Text Indent 2 Char"/>
    <w:basedOn w:val="DefaultParagraphFont"/>
    <w:link w:val="BodyTextIndent2"/>
    <w:uiPriority w:val="99"/>
    <w:rsid w:val="003E7820"/>
    <w:rPr>
      <w:rFonts w:ascii="Times New Roman" w:eastAsia="MS Mincho" w:hAnsi="Times New Roman" w:cs="Times New Roman"/>
      <w:kern w:val="0"/>
      <w:sz w:val="20"/>
      <w:szCs w:val="20"/>
      <w:lang w:val="en-US"/>
      <w14:ligatures w14:val="none"/>
    </w:rPr>
  </w:style>
  <w:style w:type="character" w:styleId="LineNumber">
    <w:name w:val="line number"/>
    <w:basedOn w:val="DefaultParagraphFont"/>
    <w:uiPriority w:val="99"/>
    <w:semiHidden/>
    <w:unhideWhenUsed/>
    <w:rsid w:val="003E7820"/>
  </w:style>
  <w:style w:type="paragraph" w:styleId="Footer">
    <w:name w:val="footer"/>
    <w:basedOn w:val="Normal"/>
    <w:link w:val="FooterChar"/>
    <w:uiPriority w:val="99"/>
    <w:unhideWhenUsed/>
    <w:rsid w:val="000C39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3981"/>
    <w:rPr>
      <w:rFonts w:ascii="Calibri" w:eastAsia="Calibri" w:hAnsi="Calibri"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eader" Target="head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1143</Words>
  <Characters>6516</Characters>
  <Application>Microsoft Office Word</Application>
  <DocSecurity>0</DocSecurity>
  <Lines>54</Lines>
  <Paragraphs>15</Paragraphs>
  <ScaleCrop>false</ScaleCrop>
  <Company/>
  <LinksUpToDate>false</LinksUpToDate>
  <CharactersWithSpaces>7644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LCDO JEZER MULERO</dc:creator>
  <cp:keywords/>
  <dc:description/>
  <cp:lastModifiedBy>Kristal Rivera Sanchez</cp:lastModifiedBy>
  <cp:revision>5</cp:revision>
  <dcterms:created xsi:type="dcterms:W3CDTF">2025-03-10T17:14:00Z</dcterms:created>
  <dcterms:modified xsi:type="dcterms:W3CDTF">2025-03-13T18:15:00Z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a227dc49de915c331059888da39a5fbb9b67f65eef6d7327ae78be6a28671bf3</vt:lpwstr>
  </property>
</Properties>
</file>