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2D693" w14:textId="6BF1003F" w:rsidR="003E7820" w:rsidRPr="003C2711" w:rsidRDefault="004C7018" w:rsidP="003E7820">
      <w:pPr>
        <w:spacing w:after="0" w:line="240" w:lineRule="auto"/>
        <w:jc w:val="center"/>
        <w:rPr>
          <w:rFonts w:ascii="Book Antiqua" w:eastAsia="Times New Roman" w:hAnsi="Book Antiqua"/>
          <w:sz w:val="28"/>
          <w:szCs w:val="20"/>
          <w:lang w:val="es-ES_tradnl"/>
        </w:rPr>
      </w:pPr>
      <w:r>
        <w:rPr>
          <w:rFonts w:ascii="Book Antiqua" w:eastAsia="Times New Roman" w:hAnsi="Book Antiqua"/>
          <w:sz w:val="28"/>
          <w:szCs w:val="20"/>
          <w:lang w:val="es-ES_tradnl"/>
        </w:rPr>
        <w:t>GOBIERNO DE PUERTO RICO</w:t>
      </w:r>
    </w:p>
    <w:p w14:paraId="08BEACE2" w14:textId="77777777" w:rsidR="003E7820" w:rsidRPr="00E967F4" w:rsidRDefault="003E7820" w:rsidP="003E7820">
      <w:pPr>
        <w:spacing w:after="0" w:line="240" w:lineRule="auto"/>
        <w:jc w:val="center"/>
        <w:rPr>
          <w:rFonts w:ascii="Book Antiqua" w:eastAsia="Times New Roman" w:hAnsi="Book Antiqua"/>
          <w:sz w:val="24"/>
          <w:szCs w:val="20"/>
          <w:lang w:val="es-ES_tradnl"/>
        </w:rPr>
      </w:pPr>
    </w:p>
    <w:p w14:paraId="15FB07A9" w14:textId="3957D9BD" w:rsidR="003E7820" w:rsidRPr="003C2711" w:rsidRDefault="00E60313" w:rsidP="003E7820">
      <w:pPr>
        <w:tabs>
          <w:tab w:val="left" w:pos="648"/>
          <w:tab w:val="right" w:pos="7776"/>
          <w:tab w:val="left" w:pos="7848"/>
        </w:tabs>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20m</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Asamblea</w:t>
      </w:r>
      <w:r w:rsidR="003E7820" w:rsidRPr="003C2711">
        <w:rPr>
          <w:rFonts w:ascii="Book Antiqua" w:eastAsia="Times New Roman" w:hAnsi="Book Antiqua"/>
          <w:sz w:val="24"/>
          <w:szCs w:val="20"/>
          <w:lang w:val="es-ES_tradnl"/>
        </w:rPr>
        <w:tab/>
      </w:r>
      <w:r>
        <w:rPr>
          <w:rFonts w:ascii="Book Antiqua" w:eastAsia="Times New Roman" w:hAnsi="Book Antiqua"/>
          <w:sz w:val="24"/>
          <w:szCs w:val="20"/>
          <w:lang w:val="es-ES_tradnl"/>
        </w:rPr>
        <w:t>1r</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Sesión</w:t>
      </w:r>
    </w:p>
    <w:p w14:paraId="5A61A2A7" w14:textId="77777777" w:rsidR="003E7820" w:rsidRPr="003C2711" w:rsidRDefault="003E7820" w:rsidP="003E7820">
      <w:pPr>
        <w:tabs>
          <w:tab w:val="left" w:pos="648"/>
          <w:tab w:val="right" w:pos="7776"/>
          <w:tab w:val="left" w:pos="7848"/>
        </w:tabs>
        <w:spacing w:after="0" w:line="240" w:lineRule="auto"/>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ab/>
        <w:t>Legislativa</w:t>
      </w:r>
      <w:r w:rsidRPr="003C2711">
        <w:rPr>
          <w:rFonts w:ascii="Book Antiqua" w:eastAsia="Times New Roman" w:hAnsi="Book Antiqua"/>
          <w:sz w:val="24"/>
          <w:szCs w:val="20"/>
          <w:lang w:val="es-ES_tradnl"/>
        </w:rPr>
        <w:tab/>
      </w:r>
      <w:r w:rsidRPr="003C2711">
        <w:rPr>
          <w:rFonts w:ascii="Book Antiqua" w:eastAsia="Times New Roman" w:hAnsi="Book Antiqua"/>
          <w:sz w:val="24"/>
          <w:szCs w:val="20"/>
          <w:lang w:val="es-ES_tradnl"/>
        </w:rPr>
        <w:tab/>
        <w:t>Ordinaria</w:t>
      </w:r>
    </w:p>
    <w:p w14:paraId="6EA9CCB6" w14:textId="77777777" w:rsidR="003E7820" w:rsidRPr="003C2711" w:rsidRDefault="003E7820" w:rsidP="003E7820">
      <w:pPr>
        <w:spacing w:after="0" w:line="240" w:lineRule="auto"/>
        <w:rPr>
          <w:rFonts w:ascii="Times New Roman" w:eastAsia="Times New Roman" w:hAnsi="Times New Roman"/>
          <w:sz w:val="24"/>
          <w:szCs w:val="20"/>
          <w:lang w:val="es-ES_tradnl"/>
        </w:rPr>
      </w:pPr>
    </w:p>
    <w:p w14:paraId="031F5F7A" w14:textId="77777777" w:rsidR="003E7820" w:rsidRDefault="003E7820" w:rsidP="003E7820">
      <w:pPr>
        <w:spacing w:after="0" w:line="240" w:lineRule="auto"/>
        <w:jc w:val="center"/>
        <w:rPr>
          <w:rFonts w:ascii="Book Antiqua" w:eastAsia="Times New Roman" w:hAnsi="Book Antiqua"/>
          <w:b/>
          <w:sz w:val="36"/>
          <w:szCs w:val="20"/>
          <w:lang w:val="es-ES_tradnl"/>
        </w:rPr>
      </w:pPr>
      <w:r w:rsidRPr="003C2711">
        <w:rPr>
          <w:rFonts w:ascii="Book Antiqua" w:eastAsia="Times New Roman" w:hAnsi="Book Antiqua"/>
          <w:b/>
          <w:sz w:val="36"/>
          <w:szCs w:val="20"/>
          <w:lang w:val="es-ES_tradnl"/>
        </w:rPr>
        <w:t>CÁMARA DE REPRESENTANTES</w:t>
      </w:r>
    </w:p>
    <w:p w14:paraId="659E7A73" w14:textId="77777777" w:rsidR="003E7820" w:rsidRPr="00E967F4" w:rsidRDefault="003E7820" w:rsidP="003E7820">
      <w:pPr>
        <w:spacing w:after="0" w:line="240" w:lineRule="auto"/>
        <w:jc w:val="center"/>
        <w:rPr>
          <w:rFonts w:ascii="Book Antiqua" w:eastAsia="Times New Roman" w:hAnsi="Book Antiqua"/>
          <w:b/>
          <w:sz w:val="24"/>
          <w:szCs w:val="24"/>
          <w:lang w:val="es-ES_tradnl"/>
        </w:rPr>
      </w:pPr>
    </w:p>
    <w:p w14:paraId="0BCC714A" w14:textId="0900066E" w:rsidR="003E7820" w:rsidRPr="003C2711" w:rsidRDefault="003E7820" w:rsidP="003E7820">
      <w:pPr>
        <w:spacing w:after="0" w:line="240" w:lineRule="auto"/>
        <w:jc w:val="center"/>
        <w:rPr>
          <w:rFonts w:ascii="Book Antiqua" w:eastAsia="Times New Roman" w:hAnsi="Book Antiqua"/>
          <w:b/>
          <w:sz w:val="24"/>
          <w:szCs w:val="20"/>
          <w:lang w:val="es-ES_tradnl"/>
        </w:rPr>
      </w:pPr>
      <w:r w:rsidRPr="003C2711">
        <w:rPr>
          <w:rFonts w:ascii="Book Antiqua" w:eastAsia="Times New Roman" w:hAnsi="Book Antiqua"/>
          <w:b/>
          <w:sz w:val="52"/>
          <w:szCs w:val="20"/>
          <w:lang w:val="es-ES_tradnl"/>
        </w:rPr>
        <w:t xml:space="preserve">R. de la C. </w:t>
      </w:r>
      <w:r w:rsidR="007368A8">
        <w:rPr>
          <w:rFonts w:ascii="Book Antiqua" w:eastAsia="Times New Roman" w:hAnsi="Book Antiqua"/>
          <w:b/>
          <w:sz w:val="52"/>
          <w:szCs w:val="20"/>
          <w:lang w:val="es-ES_tradnl"/>
        </w:rPr>
        <w:t>49</w:t>
      </w:r>
      <w:r w:rsidRPr="003C2711">
        <w:rPr>
          <w:rFonts w:ascii="Book Antiqua" w:eastAsia="Times New Roman" w:hAnsi="Book Antiqua"/>
          <w:b/>
          <w:sz w:val="52"/>
          <w:szCs w:val="20"/>
          <w:lang w:val="es-ES_tradnl"/>
        </w:rPr>
        <w:br/>
      </w:r>
    </w:p>
    <w:p w14:paraId="3D22D064" w14:textId="24B9D1A2" w:rsidR="003E7820" w:rsidRDefault="007368A8" w:rsidP="003E7820">
      <w:pPr>
        <w:spacing w:after="0" w:line="240" w:lineRule="auto"/>
        <w:jc w:val="center"/>
        <w:rPr>
          <w:rFonts w:ascii="Book Antiqua" w:eastAsia="Times New Roman" w:hAnsi="Book Antiqua"/>
          <w:sz w:val="24"/>
          <w:szCs w:val="20"/>
          <w:lang w:val="es-ES_tradnl"/>
        </w:rPr>
      </w:pPr>
      <w:r>
        <w:rPr>
          <w:rFonts w:ascii="Book Antiqua" w:eastAsia="Times New Roman" w:hAnsi="Book Antiqua"/>
          <w:sz w:val="24"/>
          <w:szCs w:val="20"/>
          <w:lang w:val="es-ES_tradnl"/>
        </w:rPr>
        <w:t xml:space="preserve">13 </w:t>
      </w:r>
      <w:r w:rsidR="003E7820" w:rsidRPr="003C2711">
        <w:rPr>
          <w:rFonts w:ascii="Book Antiqua" w:eastAsia="Times New Roman" w:hAnsi="Book Antiqua"/>
          <w:sz w:val="24"/>
          <w:szCs w:val="20"/>
          <w:lang w:val="es-ES_tradnl"/>
        </w:rPr>
        <w:t>DE</w:t>
      </w:r>
      <w:r w:rsidR="00E60313">
        <w:rPr>
          <w:rFonts w:ascii="Book Antiqua" w:eastAsia="Times New Roman" w:hAnsi="Book Antiqua"/>
          <w:sz w:val="24"/>
          <w:szCs w:val="20"/>
          <w:lang w:val="es-ES_tradnl"/>
        </w:rPr>
        <w:t xml:space="preserve"> ENERO</w:t>
      </w:r>
      <w:r w:rsidR="003E7820">
        <w:rPr>
          <w:rFonts w:ascii="Book Antiqua" w:eastAsia="Times New Roman" w:hAnsi="Book Antiqua"/>
          <w:sz w:val="24"/>
          <w:szCs w:val="20"/>
          <w:lang w:val="es-ES_tradnl"/>
        </w:rPr>
        <w:t xml:space="preserve"> </w:t>
      </w:r>
      <w:r w:rsidR="003E7820" w:rsidRPr="003C2711">
        <w:rPr>
          <w:rFonts w:ascii="Book Antiqua" w:eastAsia="Times New Roman" w:hAnsi="Book Antiqua"/>
          <w:sz w:val="24"/>
          <w:szCs w:val="20"/>
          <w:lang w:val="es-ES_tradnl"/>
        </w:rPr>
        <w:t>DE 202</w:t>
      </w:r>
      <w:r w:rsidR="00E60313">
        <w:rPr>
          <w:rFonts w:ascii="Book Antiqua" w:eastAsia="Times New Roman" w:hAnsi="Book Antiqua"/>
          <w:sz w:val="24"/>
          <w:szCs w:val="20"/>
          <w:lang w:val="es-ES_tradnl"/>
        </w:rPr>
        <w:t>5</w:t>
      </w:r>
    </w:p>
    <w:p w14:paraId="7BA1621E" w14:textId="77777777" w:rsidR="003E7820" w:rsidRPr="003C2711" w:rsidRDefault="003E7820" w:rsidP="003E7820">
      <w:pPr>
        <w:spacing w:after="0" w:line="240" w:lineRule="auto"/>
        <w:jc w:val="center"/>
        <w:rPr>
          <w:rFonts w:ascii="Book Antiqua" w:eastAsia="Times New Roman" w:hAnsi="Book Antiqua"/>
          <w:sz w:val="24"/>
          <w:szCs w:val="20"/>
          <w:lang w:val="es-ES_tradnl"/>
        </w:rPr>
      </w:pPr>
    </w:p>
    <w:p w14:paraId="793E1846" w14:textId="77777777" w:rsidR="003E7820" w:rsidRDefault="003E7820" w:rsidP="003E7820">
      <w:pPr>
        <w:spacing w:after="0" w:line="240" w:lineRule="auto"/>
        <w:jc w:val="center"/>
        <w:rPr>
          <w:rFonts w:ascii="Book Antiqua" w:eastAsia="Times New Roman" w:hAnsi="Book Antiqua"/>
          <w:i/>
          <w:sz w:val="24"/>
          <w:szCs w:val="20"/>
          <w:lang w:val="es-ES_tradnl"/>
        </w:rPr>
      </w:pPr>
      <w:r w:rsidRPr="003C2711">
        <w:rPr>
          <w:rFonts w:ascii="Book Antiqua" w:eastAsia="Times New Roman" w:hAnsi="Book Antiqua"/>
          <w:sz w:val="24"/>
          <w:szCs w:val="20"/>
          <w:lang w:val="es-ES_tradnl"/>
        </w:rPr>
        <w:t xml:space="preserve">Presentada por el representante </w:t>
      </w:r>
      <w:r>
        <w:rPr>
          <w:rFonts w:ascii="Book Antiqua" w:eastAsia="Times New Roman" w:hAnsi="Book Antiqua"/>
          <w:i/>
          <w:sz w:val="24"/>
          <w:szCs w:val="20"/>
          <w:lang w:val="es-ES_tradnl"/>
        </w:rPr>
        <w:t xml:space="preserve">Pérez Ortiz </w:t>
      </w:r>
    </w:p>
    <w:p w14:paraId="5E362D8A" w14:textId="77777777" w:rsidR="003E7820" w:rsidRPr="003C2711" w:rsidRDefault="003E7820" w:rsidP="003E7820">
      <w:pPr>
        <w:spacing w:after="0" w:line="240" w:lineRule="auto"/>
        <w:jc w:val="center"/>
        <w:rPr>
          <w:rFonts w:ascii="Book Antiqua" w:eastAsia="Times New Roman" w:hAnsi="Book Antiqua"/>
          <w:sz w:val="24"/>
          <w:szCs w:val="20"/>
          <w:lang w:val="es-ES_tradnl"/>
        </w:rPr>
      </w:pPr>
    </w:p>
    <w:p w14:paraId="5F7DE790" w14:textId="77777777" w:rsidR="003E7820" w:rsidRPr="00582258" w:rsidRDefault="003E7820" w:rsidP="003E7820">
      <w:pPr>
        <w:spacing w:after="0" w:line="240" w:lineRule="auto"/>
        <w:jc w:val="center"/>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 xml:space="preserve">Referida a la Comisión de </w:t>
      </w:r>
      <w:r>
        <w:rPr>
          <w:rFonts w:ascii="Book Antiqua" w:eastAsia="Times New Roman" w:hAnsi="Book Antiqua"/>
          <w:sz w:val="24"/>
          <w:szCs w:val="20"/>
          <w:lang w:val="es-ES_tradnl"/>
        </w:rPr>
        <w:t>Asuntos Internos</w:t>
      </w:r>
    </w:p>
    <w:p w14:paraId="7C2976BF" w14:textId="77777777" w:rsidR="003E7820" w:rsidRPr="00582258" w:rsidRDefault="003E7820" w:rsidP="003E7820">
      <w:pPr>
        <w:spacing w:after="0" w:line="240" w:lineRule="auto"/>
        <w:jc w:val="both"/>
        <w:rPr>
          <w:rFonts w:ascii="Book Antiqua" w:eastAsia="Times New Roman" w:hAnsi="Book Antiqua"/>
          <w:sz w:val="24"/>
          <w:szCs w:val="20"/>
          <w:lang w:val="es-ES_tradnl"/>
        </w:rPr>
      </w:pPr>
    </w:p>
    <w:p w14:paraId="5DBD6BC1" w14:textId="77777777" w:rsidR="003E7820" w:rsidRPr="00582258" w:rsidRDefault="003E7820" w:rsidP="003E7820">
      <w:pPr>
        <w:spacing w:after="0" w:line="240" w:lineRule="auto"/>
        <w:jc w:val="center"/>
        <w:rPr>
          <w:rFonts w:ascii="Book Antiqua" w:eastAsia="Times New Roman" w:hAnsi="Book Antiqua"/>
          <w:b/>
          <w:sz w:val="28"/>
          <w:szCs w:val="20"/>
          <w:lang w:val="es-ES_tradnl"/>
        </w:rPr>
      </w:pPr>
      <w:r w:rsidRPr="00582258">
        <w:rPr>
          <w:rFonts w:ascii="Book Antiqua" w:eastAsia="Times New Roman" w:hAnsi="Book Antiqua"/>
          <w:b/>
          <w:sz w:val="28"/>
          <w:szCs w:val="20"/>
          <w:lang w:val="es-ES_tradnl"/>
        </w:rPr>
        <w:t>RESOLUCIÓN</w:t>
      </w:r>
    </w:p>
    <w:p w14:paraId="46DBBA62" w14:textId="77777777" w:rsidR="003E7820" w:rsidRPr="00582258" w:rsidRDefault="003E7820" w:rsidP="003E7820">
      <w:pPr>
        <w:spacing w:after="0" w:line="240" w:lineRule="auto"/>
        <w:jc w:val="both"/>
        <w:rPr>
          <w:rFonts w:ascii="Book Antiqua" w:eastAsia="Times New Roman" w:hAnsi="Book Antiqua"/>
          <w:sz w:val="24"/>
          <w:szCs w:val="20"/>
          <w:lang w:val="es-ES_tradnl"/>
        </w:rPr>
      </w:pPr>
    </w:p>
    <w:p w14:paraId="768A1152" w14:textId="27F0F742" w:rsidR="003E7820" w:rsidRPr="00545A5E" w:rsidRDefault="003E7820" w:rsidP="004C7018">
      <w:pPr>
        <w:pStyle w:val="Sangra2detindependiente"/>
        <w:spacing w:after="0" w:line="240" w:lineRule="auto"/>
        <w:ind w:left="567" w:hanging="567"/>
        <w:jc w:val="both"/>
        <w:rPr>
          <w:rFonts w:ascii="Book Antiqua" w:hAnsi="Book Antiqua"/>
          <w:sz w:val="24"/>
          <w:szCs w:val="24"/>
          <w:lang w:val="es-PR"/>
        </w:rPr>
      </w:pPr>
      <w:bookmarkStart w:id="0" w:name="_Hlk94518690"/>
      <w:r w:rsidRPr="00545A5E">
        <w:rPr>
          <w:rFonts w:ascii="Book Antiqua" w:hAnsi="Book Antiqua"/>
          <w:sz w:val="24"/>
          <w:szCs w:val="24"/>
          <w:lang w:val="es-PR"/>
        </w:rPr>
        <w:t xml:space="preserve">Para ordenar a </w:t>
      </w:r>
      <w:bookmarkStart w:id="1" w:name="_Hlk141173215"/>
      <w:r w:rsidRPr="00545A5E">
        <w:rPr>
          <w:rFonts w:ascii="Book Antiqua" w:hAnsi="Book Antiqua"/>
          <w:sz w:val="24"/>
          <w:szCs w:val="24"/>
          <w:lang w:val="es-PR"/>
        </w:rPr>
        <w:t xml:space="preserve">la </w:t>
      </w:r>
      <w:bookmarkStart w:id="2" w:name="_Hlk141173232"/>
      <w:bookmarkStart w:id="3" w:name="_Hlk176937911"/>
      <w:r w:rsidRPr="00EA76D2">
        <w:rPr>
          <w:rFonts w:ascii="Book Antiqua" w:hAnsi="Book Antiqua"/>
          <w:sz w:val="24"/>
          <w:szCs w:val="24"/>
          <w:lang w:val="es-PR"/>
        </w:rPr>
        <w:t xml:space="preserve">Comisión de </w:t>
      </w:r>
      <w:bookmarkEnd w:id="1"/>
      <w:bookmarkEnd w:id="2"/>
      <w:r>
        <w:rPr>
          <w:rFonts w:ascii="Book Antiqua" w:hAnsi="Book Antiqua"/>
          <w:sz w:val="24"/>
          <w:szCs w:val="24"/>
          <w:lang w:val="es-PR"/>
        </w:rPr>
        <w:t xml:space="preserve">Salud y a la Comisión de </w:t>
      </w:r>
      <w:r w:rsidR="00FA257A">
        <w:rPr>
          <w:rFonts w:ascii="Book Antiqua" w:hAnsi="Book Antiqua"/>
          <w:sz w:val="24"/>
          <w:szCs w:val="24"/>
          <w:lang w:val="es-PR"/>
        </w:rPr>
        <w:t xml:space="preserve">Asuntos Laborales, </w:t>
      </w:r>
      <w:r w:rsidR="00FA257A" w:rsidRPr="00FA257A">
        <w:rPr>
          <w:rFonts w:ascii="Book Antiqua" w:hAnsi="Book Antiqua"/>
          <w:sz w:val="24"/>
          <w:szCs w:val="24"/>
          <w:lang w:val="es-PR"/>
        </w:rPr>
        <w:t>investig</w:t>
      </w:r>
      <w:r w:rsidR="00FA257A">
        <w:rPr>
          <w:rFonts w:ascii="Book Antiqua" w:hAnsi="Book Antiqua"/>
          <w:sz w:val="24"/>
          <w:szCs w:val="24"/>
          <w:lang w:val="es-PR"/>
        </w:rPr>
        <w:t>ar</w:t>
      </w:r>
      <w:r w:rsidR="00FA257A" w:rsidRPr="00FA257A">
        <w:rPr>
          <w:rFonts w:ascii="Book Antiqua" w:hAnsi="Book Antiqua"/>
          <w:sz w:val="24"/>
          <w:szCs w:val="24"/>
          <w:lang w:val="es-PR"/>
        </w:rPr>
        <w:t xml:space="preserve"> y </w:t>
      </w:r>
      <w:bookmarkStart w:id="4" w:name="_Hlk176938480"/>
      <w:r w:rsidR="00FA257A" w:rsidRPr="00FA257A">
        <w:rPr>
          <w:rFonts w:ascii="Book Antiqua" w:hAnsi="Book Antiqua"/>
          <w:sz w:val="24"/>
          <w:szCs w:val="24"/>
          <w:lang w:val="es-PR"/>
        </w:rPr>
        <w:t>eva</w:t>
      </w:r>
      <w:r w:rsidR="00FA257A">
        <w:rPr>
          <w:rFonts w:ascii="Book Antiqua" w:hAnsi="Book Antiqua"/>
          <w:sz w:val="24"/>
          <w:szCs w:val="24"/>
          <w:lang w:val="es-PR"/>
        </w:rPr>
        <w:t>luar</w:t>
      </w:r>
      <w:r w:rsidR="004349A5">
        <w:rPr>
          <w:rFonts w:ascii="Book Antiqua" w:hAnsi="Book Antiqua"/>
          <w:sz w:val="24"/>
          <w:szCs w:val="24"/>
          <w:lang w:val="es-PR"/>
        </w:rPr>
        <w:t xml:space="preserve">  el cumplimiento de la </w:t>
      </w:r>
      <w:r w:rsidR="004349A5" w:rsidRPr="004349A5">
        <w:rPr>
          <w:rFonts w:ascii="Book Antiqua" w:hAnsi="Book Antiqua"/>
          <w:sz w:val="24"/>
          <w:szCs w:val="24"/>
          <w:lang w:val="es-PR"/>
        </w:rPr>
        <w:t>Ley Núm. 82 de 31 de mayo de 1972, según enmendada</w:t>
      </w:r>
      <w:r w:rsidR="004349A5">
        <w:rPr>
          <w:rFonts w:ascii="Book Antiqua" w:hAnsi="Book Antiqua"/>
          <w:sz w:val="24"/>
          <w:szCs w:val="24"/>
          <w:lang w:val="es-PR"/>
        </w:rPr>
        <w:t xml:space="preserve">, conocida como </w:t>
      </w:r>
      <w:r w:rsidR="004349A5" w:rsidRPr="004349A5">
        <w:rPr>
          <w:rFonts w:ascii="Book Antiqua" w:hAnsi="Book Antiqua"/>
          <w:sz w:val="24"/>
          <w:szCs w:val="24"/>
          <w:lang w:val="es-PR"/>
        </w:rPr>
        <w:t>Ley de la Junta Examinadora y del Colegio de Nutricionistas y Dietistas de Puerto Rico</w:t>
      </w:r>
      <w:r w:rsidR="004349A5">
        <w:rPr>
          <w:rFonts w:ascii="Book Antiqua" w:hAnsi="Book Antiqua"/>
          <w:sz w:val="24"/>
          <w:szCs w:val="24"/>
          <w:lang w:val="es-PR"/>
        </w:rPr>
        <w:t>;</w:t>
      </w:r>
      <w:r w:rsidR="00FA257A" w:rsidRPr="00FA257A">
        <w:rPr>
          <w:rFonts w:ascii="Book Antiqua" w:hAnsi="Book Antiqua"/>
          <w:sz w:val="24"/>
          <w:szCs w:val="24"/>
          <w:lang w:val="es-PR"/>
        </w:rPr>
        <w:t xml:space="preserve"> la necesidad de revisar y actualizar las escalas salariales y retribuciones de los nutricionistas-dietistas que laboran en el gobierno</w:t>
      </w:r>
      <w:r w:rsidR="00FA257A">
        <w:rPr>
          <w:rFonts w:ascii="Book Antiqua" w:hAnsi="Book Antiqua"/>
          <w:sz w:val="24"/>
          <w:szCs w:val="24"/>
          <w:lang w:val="es-PR"/>
        </w:rPr>
        <w:t>; investigar otros</w:t>
      </w:r>
      <w:r w:rsidR="00FA257A" w:rsidRPr="00FA257A">
        <w:rPr>
          <w:rFonts w:ascii="Book Antiqua" w:hAnsi="Book Antiqua"/>
          <w:sz w:val="24"/>
          <w:szCs w:val="24"/>
          <w:lang w:val="es-PR"/>
        </w:rPr>
        <w:t xml:space="preserve"> </w:t>
      </w:r>
      <w:r>
        <w:rPr>
          <w:rFonts w:ascii="Book Antiqua" w:hAnsi="Book Antiqua"/>
          <w:sz w:val="24"/>
          <w:szCs w:val="24"/>
          <w:lang w:val="es-PR"/>
        </w:rPr>
        <w:t xml:space="preserve">asuntos relevantes de este grupo de </w:t>
      </w:r>
      <w:r w:rsidR="00FA257A">
        <w:rPr>
          <w:rFonts w:ascii="Book Antiqua" w:hAnsi="Book Antiqua"/>
          <w:sz w:val="24"/>
          <w:szCs w:val="24"/>
          <w:lang w:val="es-PR"/>
        </w:rPr>
        <w:t>profesionales</w:t>
      </w:r>
      <w:bookmarkEnd w:id="3"/>
      <w:bookmarkEnd w:id="4"/>
      <w:r w:rsidR="00FA257A">
        <w:rPr>
          <w:rFonts w:ascii="Book Antiqua" w:hAnsi="Book Antiqua"/>
          <w:sz w:val="24"/>
          <w:szCs w:val="24"/>
          <w:lang w:val="es-PR"/>
        </w:rPr>
        <w:t>;</w:t>
      </w:r>
      <w:r w:rsidR="00FA257A" w:rsidRPr="00CD19AE">
        <w:rPr>
          <w:rFonts w:ascii="Book Antiqua" w:hAnsi="Book Antiqua"/>
          <w:sz w:val="24"/>
          <w:szCs w:val="24"/>
          <w:lang w:val="es-PR"/>
        </w:rPr>
        <w:t xml:space="preserve"> </w:t>
      </w:r>
      <w:r w:rsidR="00FA257A">
        <w:rPr>
          <w:rFonts w:ascii="Book Antiqua" w:hAnsi="Book Antiqua"/>
          <w:sz w:val="24"/>
          <w:szCs w:val="24"/>
          <w:lang w:val="es-PR"/>
        </w:rPr>
        <w:t>y</w:t>
      </w:r>
      <w:r>
        <w:rPr>
          <w:rFonts w:ascii="Book Antiqua" w:hAnsi="Book Antiqua"/>
          <w:sz w:val="24"/>
          <w:szCs w:val="24"/>
          <w:lang w:val="es-PR"/>
        </w:rPr>
        <w:t xml:space="preserve"> </w:t>
      </w:r>
      <w:r w:rsidRPr="00545A5E">
        <w:rPr>
          <w:rFonts w:ascii="Book Antiqua" w:hAnsi="Book Antiqua"/>
          <w:sz w:val="24"/>
          <w:szCs w:val="24"/>
          <w:lang w:val="es-PR"/>
        </w:rPr>
        <w:t xml:space="preserve">para otros fines relacionados. </w:t>
      </w:r>
    </w:p>
    <w:bookmarkEnd w:id="0"/>
    <w:p w14:paraId="29C7812F" w14:textId="77777777" w:rsidR="003E7820" w:rsidRPr="00545A5E" w:rsidRDefault="003E7820" w:rsidP="003E7820">
      <w:pPr>
        <w:spacing w:after="0" w:line="240" w:lineRule="auto"/>
        <w:rPr>
          <w:rFonts w:ascii="Book Antiqua" w:eastAsia="Times New Roman" w:hAnsi="Book Antiqua"/>
          <w:sz w:val="24"/>
          <w:szCs w:val="20"/>
          <w:lang w:val="es-PR"/>
        </w:rPr>
      </w:pPr>
    </w:p>
    <w:p w14:paraId="65B3AE6E" w14:textId="77777777" w:rsidR="003E7820" w:rsidRDefault="003E7820" w:rsidP="003E7820">
      <w:pPr>
        <w:spacing w:after="0" w:line="240" w:lineRule="auto"/>
        <w:jc w:val="center"/>
        <w:rPr>
          <w:rFonts w:ascii="Book Antiqua" w:eastAsia="Times New Roman" w:hAnsi="Book Antiqua"/>
          <w:sz w:val="24"/>
          <w:szCs w:val="20"/>
          <w:lang w:val="es-PR"/>
        </w:rPr>
      </w:pPr>
      <w:r w:rsidRPr="00BC3615">
        <w:rPr>
          <w:rFonts w:ascii="Book Antiqua" w:eastAsia="Times New Roman" w:hAnsi="Book Antiqua"/>
          <w:sz w:val="24"/>
          <w:szCs w:val="20"/>
          <w:lang w:val="es-PR"/>
        </w:rPr>
        <w:t>EXPOSICIÓN DE MOTIVOS</w:t>
      </w:r>
    </w:p>
    <w:p w14:paraId="3937A14E" w14:textId="77777777" w:rsidR="003E7820" w:rsidRPr="00BC3615" w:rsidRDefault="003E7820" w:rsidP="003E7820">
      <w:pPr>
        <w:spacing w:after="0" w:line="240" w:lineRule="auto"/>
        <w:jc w:val="center"/>
        <w:rPr>
          <w:rFonts w:ascii="Book Antiqua" w:eastAsia="Times New Roman" w:hAnsi="Book Antiqua"/>
          <w:sz w:val="24"/>
          <w:szCs w:val="24"/>
          <w:lang w:val="es-ES_tradnl"/>
        </w:rPr>
      </w:pPr>
    </w:p>
    <w:p w14:paraId="0756C91E" w14:textId="77777777" w:rsidR="004349A5" w:rsidRPr="004349A5" w:rsidRDefault="004349A5" w:rsidP="004C7018">
      <w:pPr>
        <w:spacing w:after="0" w:line="240" w:lineRule="auto"/>
        <w:ind w:firstLine="567"/>
        <w:jc w:val="both"/>
        <w:rPr>
          <w:rFonts w:ascii="Book Antiqua" w:eastAsia="MS Mincho" w:hAnsi="Book Antiqua"/>
          <w:sz w:val="24"/>
          <w:szCs w:val="24"/>
          <w:lang w:val="es-ES_tradnl"/>
        </w:rPr>
      </w:pPr>
      <w:r w:rsidRPr="004349A5">
        <w:rPr>
          <w:rFonts w:ascii="Book Antiqua" w:eastAsia="MS Mincho" w:hAnsi="Book Antiqua"/>
          <w:sz w:val="24"/>
          <w:szCs w:val="24"/>
          <w:lang w:val="es-ES_tradnl"/>
        </w:rPr>
        <w:t>Los nutricionistas-dietistas en Puerto Rico son un pilar fundamental del sistema de salud pública, dedicados a mejorar la calidad de vida de los ciudadanos mediante la promoción de una nutrición adecuada, la prevención de enfermedades crónicas y la implementación de planes alimenticios personalizados. Con aproximadamente 2,000 profesionales licenciados en la isla, y con casi el 50% de ellos empleados en el sector gubernamental, estos especialistas están capacitados para abordar problemas complejos de salud que afectan a la población, como la malnutrición, diabetes, enfermedades cardiovasculares, entre otros. Su trabajo se extiende desde hospitales hasta programas comunitarios, donde brindan servicios vitales que promueven el bienestar de las familias puertorriqueñas.</w:t>
      </w:r>
    </w:p>
    <w:p w14:paraId="276E3BB9" w14:textId="77777777" w:rsidR="004349A5" w:rsidRPr="004349A5" w:rsidRDefault="004349A5" w:rsidP="004C7018">
      <w:pPr>
        <w:spacing w:after="0" w:line="240" w:lineRule="auto"/>
        <w:ind w:firstLine="567"/>
        <w:jc w:val="both"/>
        <w:rPr>
          <w:rFonts w:ascii="Book Antiqua" w:eastAsia="MS Mincho" w:hAnsi="Book Antiqua"/>
          <w:sz w:val="24"/>
          <w:szCs w:val="24"/>
          <w:lang w:val="es-ES_tradnl"/>
        </w:rPr>
      </w:pPr>
    </w:p>
    <w:p w14:paraId="4AF5E80C" w14:textId="77777777" w:rsidR="004349A5" w:rsidRPr="004349A5" w:rsidRDefault="004349A5" w:rsidP="004C7018">
      <w:pPr>
        <w:spacing w:after="0" w:line="240" w:lineRule="auto"/>
        <w:ind w:firstLine="567"/>
        <w:jc w:val="both"/>
        <w:rPr>
          <w:rFonts w:ascii="Book Antiqua" w:eastAsia="MS Mincho" w:hAnsi="Book Antiqua"/>
          <w:sz w:val="24"/>
          <w:szCs w:val="24"/>
          <w:lang w:val="es-ES_tradnl"/>
        </w:rPr>
      </w:pPr>
      <w:r w:rsidRPr="004349A5">
        <w:rPr>
          <w:rFonts w:ascii="Book Antiqua" w:eastAsia="MS Mincho" w:hAnsi="Book Antiqua"/>
          <w:sz w:val="24"/>
          <w:szCs w:val="24"/>
          <w:lang w:val="es-ES_tradnl"/>
        </w:rPr>
        <w:t xml:space="preserve">A pesar de la relevancia y especialización de sus funciones, los nutricionistas-dietistas que trabajan para el gobierno de Puerto Rico no han visto una actualización en sus escalas salariales desde el año 2008. Esto representa un estancamiento de catorce años, </w:t>
      </w:r>
      <w:r w:rsidRPr="004349A5">
        <w:rPr>
          <w:rFonts w:ascii="Book Antiqua" w:eastAsia="MS Mincho" w:hAnsi="Book Antiqua"/>
          <w:sz w:val="24"/>
          <w:szCs w:val="24"/>
          <w:lang w:val="es-ES_tradnl"/>
        </w:rPr>
        <w:lastRenderedPageBreak/>
        <w:t>durante los cuales no se ha revisado ni ajustado su compensación de acuerdo con la inflación, el costo de vida, ni la creciente demanda de sus servicios. Esta situación ha resultado en una clara injusticia salarial, ya que no refleja el valor y la responsabilidad del trabajo que realizan diariamente estos servidores públicos. El gobierno, como mayor empleador de nutricionistas-dietistas en la isla, tiene la obligación de reconocer la dedicación y el compromiso de estos profesionales, quienes son esenciales para la promoción de la salud pública.</w:t>
      </w:r>
    </w:p>
    <w:p w14:paraId="56D3E4E8" w14:textId="77777777" w:rsidR="004349A5" w:rsidRPr="004349A5" w:rsidRDefault="004349A5" w:rsidP="004C7018">
      <w:pPr>
        <w:spacing w:after="0" w:line="240" w:lineRule="auto"/>
        <w:ind w:firstLine="567"/>
        <w:jc w:val="both"/>
        <w:rPr>
          <w:rFonts w:ascii="Book Antiqua" w:eastAsia="MS Mincho" w:hAnsi="Book Antiqua"/>
          <w:sz w:val="24"/>
          <w:szCs w:val="24"/>
          <w:lang w:val="es-ES_tradnl"/>
        </w:rPr>
      </w:pPr>
    </w:p>
    <w:p w14:paraId="1A017C3D" w14:textId="77777777" w:rsidR="004349A5" w:rsidRPr="004349A5" w:rsidRDefault="004349A5" w:rsidP="004C7018">
      <w:pPr>
        <w:spacing w:after="0" w:line="240" w:lineRule="auto"/>
        <w:ind w:firstLine="567"/>
        <w:jc w:val="both"/>
        <w:rPr>
          <w:rFonts w:ascii="Book Antiqua" w:eastAsia="MS Mincho" w:hAnsi="Book Antiqua"/>
          <w:sz w:val="24"/>
          <w:szCs w:val="24"/>
          <w:lang w:val="es-ES_tradnl"/>
        </w:rPr>
      </w:pPr>
      <w:r w:rsidRPr="004349A5">
        <w:rPr>
          <w:rFonts w:ascii="Book Antiqua" w:eastAsia="MS Mincho" w:hAnsi="Book Antiqua"/>
          <w:sz w:val="24"/>
          <w:szCs w:val="24"/>
          <w:lang w:val="es-ES_tradnl"/>
        </w:rPr>
        <w:t>La Ley Núm. 82 de 31 de mayo de 1972, conocida como la Ley de la Junta Examinadora y del Colegio de Nutricionistas y Dietistas de Puerto Rico, establece el marco legal que regula la profesión de la nutrición y dietética en la isla (20 L.P.R.A. § 2181). Esta ley no solo crea la Junta Examinadora de Nutricionistas y Dietistas, sino que también establece las funciones y responsabilidades de estos profesionales. Según su Artículo 1, inciso C, un profesional de la nutrición y dietética debe contar con una preparación académica rigurosa que incluye un Bachillerato en Ciencias con concentración en Nutrición y Dietética, que los capacita para interpretar y aplicar conocimientos científicos en la planificación, organización, y dirección de programas de salud, así como en la prescripción de planes alimentarios específicos bajo ciertas condiciones. Además, están facultados para ofrecer orientación y consultoría en aspectos dietéticos preventivos y curativos, lo que subraya la importancia de su rol en la promoción de la salud pública y la prevención de enfermedades debilitantes. Esta base legal resalta la alta cualificación y responsabilidad de los nutricionistas-dietistas, justificando aún más la necesidad de una retribución justa y acorde con sus funciones.</w:t>
      </w:r>
    </w:p>
    <w:p w14:paraId="4607EF79" w14:textId="77777777" w:rsidR="004349A5" w:rsidRPr="004349A5" w:rsidRDefault="004349A5" w:rsidP="004C7018">
      <w:pPr>
        <w:spacing w:after="0" w:line="240" w:lineRule="auto"/>
        <w:ind w:firstLine="567"/>
        <w:jc w:val="both"/>
        <w:rPr>
          <w:rFonts w:ascii="Book Antiqua" w:eastAsia="MS Mincho" w:hAnsi="Book Antiqua"/>
          <w:sz w:val="24"/>
          <w:szCs w:val="24"/>
          <w:lang w:val="es-ES_tradnl"/>
        </w:rPr>
      </w:pPr>
    </w:p>
    <w:p w14:paraId="397AE174" w14:textId="77777777" w:rsidR="004349A5" w:rsidRPr="004349A5" w:rsidRDefault="004349A5" w:rsidP="004C7018">
      <w:pPr>
        <w:spacing w:after="0" w:line="240" w:lineRule="auto"/>
        <w:ind w:firstLine="567"/>
        <w:jc w:val="both"/>
        <w:rPr>
          <w:rFonts w:ascii="Book Antiqua" w:eastAsia="MS Mincho" w:hAnsi="Book Antiqua"/>
          <w:sz w:val="24"/>
          <w:szCs w:val="24"/>
          <w:lang w:val="es-ES_tradnl"/>
        </w:rPr>
      </w:pPr>
      <w:r w:rsidRPr="004349A5">
        <w:rPr>
          <w:rFonts w:ascii="Book Antiqua" w:eastAsia="MS Mincho" w:hAnsi="Book Antiqua"/>
          <w:sz w:val="24"/>
          <w:szCs w:val="24"/>
          <w:lang w:val="es-ES_tradnl"/>
        </w:rPr>
        <w:t>La falta de justicia salarial no solo afecta el bienestar económico de los nutricionistas-dietistas, sino que también tiene repercusiones significativas en el sistema de salud pública de Puerto Rico. Los profesionales jóvenes, viendo pocas oportunidades de crecimiento económico, optan por emigrar a los Estados Unidos u otros países donde las condiciones laborales y salariales son más favorables. Esta fuga de talento crea vacíos en los servicios de nutrición en la isla, aumentando la carga de trabajo de los que se quedan y comprometiendo la calidad de la atención y la intervención médico-nutricional. Estos profesionales, que trabajan en escenarios hospitalarios y comunitarios, son indispensables para manejar las necesidades alimentarias en todas las etapas del ciclo de vida, desde la infancia hasta la vejez, y para contribuir en la lucha contra las enfermedades crónicas que afectan a gran parte de la población.</w:t>
      </w:r>
    </w:p>
    <w:p w14:paraId="3A27F994" w14:textId="77777777" w:rsidR="004349A5" w:rsidRPr="004349A5" w:rsidRDefault="004349A5" w:rsidP="004C7018">
      <w:pPr>
        <w:spacing w:after="0" w:line="240" w:lineRule="auto"/>
        <w:ind w:firstLine="567"/>
        <w:jc w:val="both"/>
        <w:rPr>
          <w:rFonts w:ascii="Book Antiqua" w:eastAsia="MS Mincho" w:hAnsi="Book Antiqua"/>
          <w:sz w:val="24"/>
          <w:szCs w:val="24"/>
          <w:lang w:val="es-ES_tradnl"/>
        </w:rPr>
      </w:pPr>
    </w:p>
    <w:p w14:paraId="2A9E85D3" w14:textId="77777777" w:rsidR="004349A5" w:rsidRPr="004349A5" w:rsidRDefault="004349A5" w:rsidP="004C7018">
      <w:pPr>
        <w:spacing w:after="0" w:line="240" w:lineRule="auto"/>
        <w:ind w:firstLine="567"/>
        <w:jc w:val="both"/>
        <w:rPr>
          <w:rFonts w:ascii="Book Antiqua" w:eastAsia="MS Mincho" w:hAnsi="Book Antiqua"/>
          <w:sz w:val="24"/>
          <w:szCs w:val="24"/>
          <w:lang w:val="es-ES_tradnl"/>
        </w:rPr>
      </w:pPr>
      <w:r w:rsidRPr="004349A5">
        <w:rPr>
          <w:rFonts w:ascii="Book Antiqua" w:eastAsia="MS Mincho" w:hAnsi="Book Antiqua"/>
          <w:sz w:val="24"/>
          <w:szCs w:val="24"/>
          <w:lang w:val="es-ES_tradnl"/>
        </w:rPr>
        <w:t xml:space="preserve">El Colegio de Nutricionistas y Dietistas de Puerto Rico ha abogado por una revisión justa de las escalas salariales que se ajuste a la realidad económica y profesional de estos trabajadores de la salud. Proponen un aumento de $500 mensuales para los profesionales con grado de bachillerato y $800 para aquellos con grado de maestría. Estos incrementos salariales no solo permitirían un reconocimiento adecuado del trabajo especializado que realizan, sino que también ayudarían a alinear la compensación de estos profesionales con los estándares nacionales e internacionales. Una remuneración justa es fundamental </w:t>
      </w:r>
      <w:r w:rsidRPr="004349A5">
        <w:rPr>
          <w:rFonts w:ascii="Book Antiqua" w:eastAsia="MS Mincho" w:hAnsi="Book Antiqua"/>
          <w:sz w:val="24"/>
          <w:szCs w:val="24"/>
          <w:lang w:val="es-ES_tradnl"/>
        </w:rPr>
        <w:lastRenderedPageBreak/>
        <w:t>para motivar a los nutricionistas-dietistas a permanecer en Puerto Rico, contribuyendo con su experiencia y conocimiento al desarrollo del sistema de salud local.</w:t>
      </w:r>
    </w:p>
    <w:p w14:paraId="1E80A813" w14:textId="77777777" w:rsidR="004349A5" w:rsidRPr="004349A5" w:rsidRDefault="004349A5" w:rsidP="004C7018">
      <w:pPr>
        <w:spacing w:after="0" w:line="240" w:lineRule="auto"/>
        <w:ind w:firstLine="567"/>
        <w:jc w:val="both"/>
        <w:rPr>
          <w:rFonts w:ascii="Book Antiqua" w:eastAsia="MS Mincho" w:hAnsi="Book Antiqua"/>
          <w:sz w:val="24"/>
          <w:szCs w:val="24"/>
          <w:lang w:val="es-ES_tradnl"/>
        </w:rPr>
      </w:pPr>
    </w:p>
    <w:p w14:paraId="48BCB220" w14:textId="77777777" w:rsidR="004349A5" w:rsidRPr="004349A5" w:rsidRDefault="004349A5" w:rsidP="004C7018">
      <w:pPr>
        <w:spacing w:after="0" w:line="240" w:lineRule="auto"/>
        <w:ind w:firstLine="567"/>
        <w:jc w:val="both"/>
        <w:rPr>
          <w:rFonts w:ascii="Book Antiqua" w:eastAsia="MS Mincho" w:hAnsi="Book Antiqua"/>
          <w:sz w:val="24"/>
          <w:szCs w:val="24"/>
          <w:lang w:val="es-ES_tradnl"/>
        </w:rPr>
      </w:pPr>
      <w:r w:rsidRPr="004349A5">
        <w:rPr>
          <w:rFonts w:ascii="Book Antiqua" w:eastAsia="MS Mincho" w:hAnsi="Book Antiqua"/>
          <w:sz w:val="24"/>
          <w:szCs w:val="24"/>
          <w:lang w:val="es-ES_tradnl"/>
        </w:rPr>
        <w:t xml:space="preserve">Los beneficios de contar con nutricionistas-dietistas bien remunerados y motivados son múltiples y significativos. Al garantizar una intervención nutricional adecuada, se pueden prevenir complicaciones de salud que requieren tratamientos costosos, prolongadas estadías hospitalarias y mayores gastos en servicios de salud. La inversión en una remuneración justa para estos profesionales puede traducirse en una reducción del gasto público en salud, al mejorar la prevención y manejo de condiciones crónicas y agudas que afectan a la población. Además, su labor es esencial en programas como WIC, Head </w:t>
      </w:r>
      <w:proofErr w:type="spellStart"/>
      <w:r w:rsidRPr="004349A5">
        <w:rPr>
          <w:rFonts w:ascii="Book Antiqua" w:eastAsia="MS Mincho" w:hAnsi="Book Antiqua"/>
          <w:sz w:val="24"/>
          <w:szCs w:val="24"/>
          <w:lang w:val="es-ES_tradnl"/>
        </w:rPr>
        <w:t>Start</w:t>
      </w:r>
      <w:proofErr w:type="spellEnd"/>
      <w:r w:rsidRPr="004349A5">
        <w:rPr>
          <w:rFonts w:ascii="Book Antiqua" w:eastAsia="MS Mincho" w:hAnsi="Book Antiqua"/>
          <w:sz w:val="24"/>
          <w:szCs w:val="24"/>
          <w:lang w:val="es-ES_tradnl"/>
        </w:rPr>
        <w:t>, Comedores Escolares y otros programas de asistencia alimentaria, que son críticos para asegurar la seguridad alimentaria de los sectores más vulnerables de la sociedad.</w:t>
      </w:r>
    </w:p>
    <w:p w14:paraId="0A0A4B92" w14:textId="77777777" w:rsidR="004349A5" w:rsidRPr="004349A5" w:rsidRDefault="004349A5" w:rsidP="004C7018">
      <w:pPr>
        <w:spacing w:after="0" w:line="240" w:lineRule="auto"/>
        <w:ind w:firstLine="567"/>
        <w:jc w:val="both"/>
        <w:rPr>
          <w:rFonts w:ascii="Book Antiqua" w:eastAsia="MS Mincho" w:hAnsi="Book Antiqua"/>
          <w:sz w:val="24"/>
          <w:szCs w:val="24"/>
          <w:lang w:val="es-ES_tradnl"/>
        </w:rPr>
      </w:pPr>
    </w:p>
    <w:p w14:paraId="42C77E68" w14:textId="4801E0A1" w:rsidR="003E7820" w:rsidRDefault="004349A5" w:rsidP="004C7018">
      <w:pPr>
        <w:spacing w:after="0" w:line="240" w:lineRule="auto"/>
        <w:ind w:firstLine="567"/>
        <w:jc w:val="both"/>
        <w:rPr>
          <w:rFonts w:ascii="Book Antiqua" w:eastAsia="MS Mincho" w:hAnsi="Book Antiqua"/>
          <w:sz w:val="24"/>
          <w:szCs w:val="24"/>
          <w:lang w:val="es-ES_tradnl"/>
        </w:rPr>
      </w:pPr>
      <w:r w:rsidRPr="004349A5">
        <w:rPr>
          <w:rFonts w:ascii="Book Antiqua" w:eastAsia="MS Mincho" w:hAnsi="Book Antiqua"/>
          <w:sz w:val="24"/>
          <w:szCs w:val="24"/>
          <w:lang w:val="es-ES_tradnl"/>
        </w:rPr>
        <w:t>Por todo lo anterior, resulta imperativo que la Cámara de Representantes del Estado Libre Asociado de Puerto Rico tome medidas para investigar y evaluar las escalas salariales y las condiciones laborales de los nutricionistas-dietistas en el gobierno. Este esfuerzo no solo haría justicia a estos servidores públicos, reconociendo el valor de su trabajo, sino que también fortalecería el sistema de salud en Puerto Rico, beneficiando directamente a toda la comunidad.</w:t>
      </w:r>
    </w:p>
    <w:p w14:paraId="77FA68A1" w14:textId="77777777" w:rsidR="004349A5" w:rsidRDefault="004349A5" w:rsidP="004C7018">
      <w:pPr>
        <w:spacing w:after="0" w:line="240" w:lineRule="auto"/>
        <w:ind w:firstLine="567"/>
        <w:jc w:val="both"/>
        <w:rPr>
          <w:rFonts w:ascii="Book Antiqua" w:eastAsia="Times New Roman" w:hAnsi="Book Antiqua"/>
          <w:i/>
          <w:iCs/>
          <w:sz w:val="24"/>
          <w:szCs w:val="24"/>
          <w:lang w:val="es-ES_tradnl"/>
        </w:rPr>
      </w:pPr>
    </w:p>
    <w:p w14:paraId="7A49401B" w14:textId="77777777" w:rsidR="003E7820" w:rsidRPr="00683111" w:rsidRDefault="003E7820" w:rsidP="003E7820">
      <w:pPr>
        <w:spacing w:after="0" w:line="240" w:lineRule="auto"/>
        <w:jc w:val="both"/>
        <w:rPr>
          <w:rFonts w:ascii="Book Antiqua" w:eastAsia="Times New Roman" w:hAnsi="Book Antiqua"/>
          <w:i/>
          <w:sz w:val="24"/>
          <w:szCs w:val="24"/>
          <w:lang w:val="es-ES_tradnl"/>
        </w:rPr>
      </w:pPr>
      <w:r w:rsidRPr="00683111">
        <w:rPr>
          <w:rFonts w:ascii="Book Antiqua" w:eastAsia="Times New Roman" w:hAnsi="Book Antiqua"/>
          <w:i/>
          <w:iCs/>
          <w:sz w:val="24"/>
          <w:szCs w:val="24"/>
          <w:lang w:val="es-ES_tradnl"/>
        </w:rPr>
        <w:t xml:space="preserve">RESUÉLVESE POR LA </w:t>
      </w:r>
      <w:r>
        <w:rPr>
          <w:rFonts w:ascii="Book Antiqua" w:eastAsia="Times New Roman" w:hAnsi="Book Antiqua"/>
          <w:i/>
          <w:iCs/>
          <w:sz w:val="24"/>
          <w:szCs w:val="24"/>
          <w:lang w:val="es-ES_tradnl"/>
        </w:rPr>
        <w:t>CÁMARA DE REPRESENTANTES</w:t>
      </w:r>
      <w:r w:rsidRPr="00683111">
        <w:rPr>
          <w:rFonts w:ascii="Book Antiqua" w:eastAsia="Times New Roman" w:hAnsi="Book Antiqua"/>
          <w:i/>
          <w:iCs/>
          <w:sz w:val="24"/>
          <w:szCs w:val="24"/>
          <w:lang w:val="es-ES_tradnl"/>
        </w:rPr>
        <w:t xml:space="preserve"> DE PUERTO RICO:</w:t>
      </w:r>
      <w:r w:rsidRPr="00683111">
        <w:rPr>
          <w:rFonts w:ascii="Book Antiqua" w:eastAsia="Times New Roman" w:hAnsi="Book Antiqua"/>
          <w:i/>
          <w:sz w:val="24"/>
          <w:szCs w:val="24"/>
          <w:lang w:val="es-ES_tradnl"/>
        </w:rPr>
        <w:t xml:space="preserve"> </w:t>
      </w:r>
    </w:p>
    <w:p w14:paraId="672D5453" w14:textId="77777777" w:rsidR="003E7820" w:rsidRPr="00683111" w:rsidRDefault="003E7820" w:rsidP="003E7820">
      <w:pPr>
        <w:spacing w:after="0" w:line="240" w:lineRule="auto"/>
        <w:jc w:val="both"/>
        <w:rPr>
          <w:rFonts w:ascii="Book Antiqua" w:eastAsia="Times New Roman" w:hAnsi="Book Antiqua"/>
          <w:sz w:val="24"/>
          <w:szCs w:val="24"/>
          <w:lang w:val="es-ES_tradnl"/>
        </w:rPr>
      </w:pPr>
    </w:p>
    <w:p w14:paraId="5108F28E" w14:textId="77777777" w:rsidR="003E7820" w:rsidRPr="005A7AF4" w:rsidRDefault="003E7820" w:rsidP="003E7820">
      <w:pPr>
        <w:spacing w:after="0" w:line="240" w:lineRule="auto"/>
        <w:jc w:val="both"/>
        <w:rPr>
          <w:rFonts w:ascii="Book Antiqua" w:eastAsia="Times New Roman" w:hAnsi="Book Antiqua"/>
          <w:sz w:val="24"/>
          <w:szCs w:val="24"/>
          <w:highlight w:val="yellow"/>
          <w:lang w:val="es-ES_tradnl"/>
        </w:rPr>
        <w:sectPr w:rsidR="003E7820" w:rsidRPr="005A7AF4" w:rsidSect="003E7820">
          <w:headerReference w:type="even" r:id="rId6"/>
          <w:headerReference w:type="default" r:id="rId7"/>
          <w:pgSz w:w="12240" w:h="15840" w:code="1"/>
          <w:pgMar w:top="1440" w:right="1440" w:bottom="1440" w:left="1440" w:header="720" w:footer="720" w:gutter="0"/>
          <w:cols w:space="720"/>
          <w:titlePg/>
          <w:docGrid w:linePitch="360"/>
        </w:sectPr>
      </w:pPr>
    </w:p>
    <w:p w14:paraId="5F4E1BD5" w14:textId="688904AB" w:rsidR="003E7820" w:rsidRPr="003C2711" w:rsidRDefault="003E7820" w:rsidP="004C7018">
      <w:pPr>
        <w:widowControl w:val="0"/>
        <w:spacing w:after="0" w:line="480" w:lineRule="auto"/>
        <w:ind w:firstLine="567"/>
        <w:jc w:val="both"/>
        <w:rPr>
          <w:rFonts w:ascii="Book Antiqua" w:eastAsia="MS Mincho" w:hAnsi="Book Antiqua"/>
          <w:sz w:val="24"/>
          <w:szCs w:val="24"/>
          <w:lang w:val="es-PR"/>
        </w:rPr>
      </w:pPr>
      <w:r w:rsidRPr="003C2711">
        <w:rPr>
          <w:rFonts w:ascii="Book Antiqua" w:eastAsia="MS Mincho" w:hAnsi="Book Antiqua"/>
          <w:sz w:val="24"/>
          <w:szCs w:val="24"/>
          <w:lang w:val="es-PR"/>
        </w:rPr>
        <w:t xml:space="preserve">Sección 1.-Se ordena a la </w:t>
      </w:r>
      <w:r w:rsidR="00FA257A" w:rsidRPr="00FA257A">
        <w:rPr>
          <w:rFonts w:ascii="Book Antiqua" w:eastAsia="MS Mincho" w:hAnsi="Book Antiqua"/>
          <w:sz w:val="24"/>
          <w:szCs w:val="24"/>
          <w:lang w:val="es-PR"/>
        </w:rPr>
        <w:t xml:space="preserve">Comisión de Salud y a la Comisión de Asuntos Laborales, investigar y </w:t>
      </w:r>
      <w:r w:rsidR="004349A5" w:rsidRPr="004349A5">
        <w:rPr>
          <w:rFonts w:ascii="Book Antiqua" w:eastAsia="MS Mincho" w:hAnsi="Book Antiqua"/>
          <w:sz w:val="24"/>
          <w:szCs w:val="24"/>
          <w:lang w:val="es-PR"/>
        </w:rPr>
        <w:t>evaluar el cumplimiento de la Ley Núm. 82 de 31 de mayo de 1972, según enmendada, conocida como Ley de la Junta Examinadora y del Colegio de Nutricionistas y Dietistas de Puerto Rico; la necesidad de revisar y actualizar las escalas salariales y retribuciones de los nutricionistas-dietistas que laboran en el gobierno; investigar otros asuntos relevantes de este grupo de profesionales</w:t>
      </w:r>
      <w:r w:rsidRPr="003C2711">
        <w:rPr>
          <w:rFonts w:ascii="Book Antiqua" w:eastAsia="MS Mincho" w:hAnsi="Book Antiqua"/>
          <w:sz w:val="24"/>
          <w:szCs w:val="24"/>
          <w:lang w:val="es-PR"/>
        </w:rPr>
        <w:t>.</w:t>
      </w:r>
    </w:p>
    <w:p w14:paraId="528EA9F2" w14:textId="57085B59" w:rsidR="003E7820" w:rsidRPr="003C2711" w:rsidRDefault="003E7820" w:rsidP="004C7018">
      <w:pPr>
        <w:widowControl w:val="0"/>
        <w:spacing w:after="0" w:line="480" w:lineRule="auto"/>
        <w:ind w:firstLine="567"/>
        <w:jc w:val="both"/>
        <w:rPr>
          <w:rFonts w:ascii="Book Antiqua" w:eastAsia="MS Mincho" w:hAnsi="Book Antiqua"/>
          <w:sz w:val="24"/>
          <w:szCs w:val="24"/>
          <w:lang w:val="es-PR"/>
        </w:rPr>
      </w:pPr>
      <w:r w:rsidRPr="003C2711">
        <w:rPr>
          <w:rFonts w:ascii="Book Antiqua" w:eastAsia="MS Mincho" w:hAnsi="Book Antiqua"/>
          <w:sz w:val="24"/>
          <w:szCs w:val="24"/>
          <w:lang w:val="es-PR"/>
        </w:rPr>
        <w:t>Sección 2.-</w:t>
      </w:r>
      <w:r>
        <w:rPr>
          <w:rFonts w:ascii="Book Antiqua" w:eastAsia="MS Mincho" w:hAnsi="Book Antiqua"/>
          <w:sz w:val="24"/>
          <w:szCs w:val="24"/>
          <w:lang w:val="es-PR"/>
        </w:rPr>
        <w:t>La</w:t>
      </w:r>
      <w:r w:rsidRPr="007061CB">
        <w:rPr>
          <w:lang w:val="es-PR"/>
        </w:rPr>
        <w:t xml:space="preserve"> </w:t>
      </w:r>
      <w:r w:rsidRPr="00CD19AE">
        <w:rPr>
          <w:rFonts w:ascii="Book Antiqua" w:eastAsia="MS Mincho" w:hAnsi="Book Antiqua"/>
          <w:sz w:val="24"/>
          <w:szCs w:val="24"/>
          <w:lang w:val="es-PR"/>
        </w:rPr>
        <w:t xml:space="preserve">Comisión de Salud y la Comisión de </w:t>
      </w:r>
      <w:r w:rsidR="00FA257A">
        <w:rPr>
          <w:rFonts w:ascii="Book Antiqua" w:eastAsia="MS Mincho" w:hAnsi="Book Antiqua"/>
          <w:sz w:val="24"/>
          <w:szCs w:val="24"/>
          <w:lang w:val="es-PR"/>
        </w:rPr>
        <w:t>Asuntos Laborales</w:t>
      </w:r>
      <w:r w:rsidRPr="003C2711">
        <w:rPr>
          <w:rFonts w:ascii="Book Antiqua" w:eastAsia="MS Mincho" w:hAnsi="Book Antiqua"/>
          <w:sz w:val="24"/>
          <w:szCs w:val="24"/>
          <w:lang w:val="es-PR"/>
        </w:rPr>
        <w:t xml:space="preserve">, </w:t>
      </w:r>
      <w:r w:rsidR="00FA257A" w:rsidRPr="003C2711">
        <w:rPr>
          <w:rFonts w:ascii="Book Antiqua" w:eastAsia="MS Mincho" w:hAnsi="Book Antiqua"/>
          <w:sz w:val="24"/>
          <w:szCs w:val="24"/>
          <w:lang w:val="es-PR"/>
        </w:rPr>
        <w:t>someterá</w:t>
      </w:r>
      <w:r w:rsidR="00FA257A">
        <w:rPr>
          <w:rFonts w:ascii="Book Antiqua" w:eastAsia="MS Mincho" w:hAnsi="Book Antiqua"/>
          <w:sz w:val="24"/>
          <w:szCs w:val="24"/>
          <w:lang w:val="es-PR"/>
        </w:rPr>
        <w:t>n</w:t>
      </w:r>
      <w:r w:rsidRPr="003C2711">
        <w:rPr>
          <w:rFonts w:ascii="Book Antiqua" w:eastAsia="MS Mincho" w:hAnsi="Book Antiqua"/>
          <w:sz w:val="24"/>
          <w:szCs w:val="24"/>
          <w:lang w:val="es-PR"/>
        </w:rPr>
        <w:t xml:space="preserve"> la Cámara de Representantes un informe final conte</w:t>
      </w:r>
      <w:r>
        <w:rPr>
          <w:rFonts w:ascii="Book Antiqua" w:eastAsia="MS Mincho" w:hAnsi="Book Antiqua"/>
          <w:sz w:val="24"/>
          <w:szCs w:val="24"/>
          <w:lang w:val="es-PR"/>
        </w:rPr>
        <w:t>niendo</w:t>
      </w:r>
      <w:r w:rsidRPr="003C2711">
        <w:rPr>
          <w:rFonts w:ascii="Book Antiqua" w:eastAsia="MS Mincho" w:hAnsi="Book Antiqua"/>
          <w:sz w:val="24"/>
          <w:szCs w:val="24"/>
          <w:lang w:val="es-PR"/>
        </w:rPr>
        <w:t xml:space="preserve"> los hallazgos, conclusiones, y recomendaciones, que estime pertinentes, incluyendo las acciones legislativas y administrativas que deban adoptarse con relación al asunto objeto de este estudio, dentro </w:t>
      </w:r>
      <w:r w:rsidRPr="003C2711">
        <w:rPr>
          <w:rFonts w:ascii="Book Antiqua" w:eastAsia="MS Mincho" w:hAnsi="Book Antiqua"/>
          <w:sz w:val="24"/>
          <w:szCs w:val="24"/>
          <w:lang w:val="es-PR"/>
        </w:rPr>
        <w:lastRenderedPageBreak/>
        <w:t xml:space="preserve">del término de ciento </w:t>
      </w:r>
      <w:r>
        <w:rPr>
          <w:rFonts w:ascii="Book Antiqua" w:eastAsia="MS Mincho" w:hAnsi="Book Antiqua"/>
          <w:sz w:val="24"/>
          <w:szCs w:val="24"/>
          <w:lang w:val="es-PR"/>
        </w:rPr>
        <w:t xml:space="preserve">veinte </w:t>
      </w:r>
      <w:r w:rsidRPr="003C2711">
        <w:rPr>
          <w:rFonts w:ascii="Book Antiqua" w:eastAsia="MS Mincho" w:hAnsi="Book Antiqua"/>
          <w:sz w:val="24"/>
          <w:szCs w:val="24"/>
          <w:lang w:val="es-PR"/>
        </w:rPr>
        <w:t>(1</w:t>
      </w:r>
      <w:r>
        <w:rPr>
          <w:rFonts w:ascii="Book Antiqua" w:eastAsia="MS Mincho" w:hAnsi="Book Antiqua"/>
          <w:sz w:val="24"/>
          <w:szCs w:val="24"/>
          <w:lang w:val="es-PR"/>
        </w:rPr>
        <w:t>2</w:t>
      </w:r>
      <w:r w:rsidRPr="003C2711">
        <w:rPr>
          <w:rFonts w:ascii="Book Antiqua" w:eastAsia="MS Mincho" w:hAnsi="Book Antiqua"/>
          <w:sz w:val="24"/>
          <w:szCs w:val="24"/>
          <w:lang w:val="es-PR"/>
        </w:rPr>
        <w:t xml:space="preserve">0) días contados a partir de la aprobación de la presente medida. </w:t>
      </w:r>
    </w:p>
    <w:p w14:paraId="714746C8" w14:textId="3615D1A8" w:rsidR="00D056D7" w:rsidRPr="006D7F2B" w:rsidRDefault="003E7820" w:rsidP="004C7018">
      <w:pPr>
        <w:widowControl w:val="0"/>
        <w:spacing w:after="0" w:line="480" w:lineRule="auto"/>
        <w:ind w:firstLine="567"/>
        <w:jc w:val="both"/>
        <w:rPr>
          <w:rFonts w:ascii="Book Antiqua" w:eastAsia="MS Mincho" w:hAnsi="Book Antiqua"/>
          <w:sz w:val="24"/>
          <w:szCs w:val="24"/>
          <w:lang w:val="es-ES_tradnl"/>
        </w:rPr>
      </w:pPr>
      <w:r w:rsidRPr="003C2711">
        <w:rPr>
          <w:rFonts w:ascii="Book Antiqua" w:eastAsia="MS Mincho" w:hAnsi="Book Antiqua"/>
          <w:sz w:val="24"/>
          <w:szCs w:val="24"/>
          <w:lang w:val="es-ES_tradnl"/>
        </w:rPr>
        <w:t>Sección 3.-Esta Resolución comenzará a regir inmediatamente después de su aprobación.</w:t>
      </w:r>
    </w:p>
    <w:sectPr w:rsidR="00D056D7" w:rsidRPr="006D7F2B" w:rsidSect="003E7820">
      <w:headerReference w:type="even" r:id="rId8"/>
      <w:headerReference w:type="default" r:id="rId9"/>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8DA581" w14:textId="77777777" w:rsidR="00A47AFF" w:rsidRDefault="00A47AFF">
      <w:pPr>
        <w:spacing w:after="0" w:line="240" w:lineRule="auto"/>
      </w:pPr>
      <w:r>
        <w:separator/>
      </w:r>
    </w:p>
  </w:endnote>
  <w:endnote w:type="continuationSeparator" w:id="0">
    <w:p w14:paraId="61C753AE" w14:textId="77777777" w:rsidR="00A47AFF" w:rsidRDefault="00A47A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9D6BF1" w14:textId="77777777" w:rsidR="00A47AFF" w:rsidRDefault="00A47AFF">
      <w:pPr>
        <w:spacing w:after="0" w:line="240" w:lineRule="auto"/>
      </w:pPr>
      <w:r>
        <w:separator/>
      </w:r>
    </w:p>
  </w:footnote>
  <w:footnote w:type="continuationSeparator" w:id="0">
    <w:p w14:paraId="62977B72" w14:textId="77777777" w:rsidR="00A47AFF" w:rsidRDefault="00A47A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03924" w14:textId="77777777" w:rsidR="00002690" w:rsidRDefault="00002690" w:rsidP="00D03BD5">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5D5CBB7F" w14:textId="77777777" w:rsidR="00002690" w:rsidRDefault="0000269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C17B7" w14:textId="77777777" w:rsidR="00002690" w:rsidRDefault="00002690" w:rsidP="00D03BD5">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22C6AE82" w14:textId="77777777" w:rsidR="00002690" w:rsidRDefault="0000269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FC759" w14:textId="77777777" w:rsidR="00002690" w:rsidRDefault="00002690">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60DF59C0" w14:textId="77777777" w:rsidR="00002690" w:rsidRDefault="0000269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35A31" w14:textId="77777777" w:rsidR="00002690" w:rsidRDefault="00002690">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w:t>
    </w:r>
    <w:r>
      <w:rPr>
        <w:rStyle w:val="Nmerodepgina"/>
      </w:rPr>
      <w:fldChar w:fldCharType="end"/>
    </w:r>
  </w:p>
  <w:p w14:paraId="2C87C179" w14:textId="68CAA78D" w:rsidR="00002690" w:rsidRDefault="003E7820">
    <w:r>
      <w:rPr>
        <w:noProof/>
      </w:rPr>
      <mc:AlternateContent>
        <mc:Choice Requires="wps">
          <w:drawing>
            <wp:anchor distT="0" distB="0" distL="114300" distR="114300" simplePos="0" relativeHeight="251659264" behindDoc="0" locked="0" layoutInCell="0" allowOverlap="1" wp14:anchorId="0F7C6CE3" wp14:editId="590D282A">
              <wp:simplePos x="0" y="0"/>
              <wp:positionH relativeFrom="margin">
                <wp:posOffset>0</wp:posOffset>
              </wp:positionH>
              <wp:positionV relativeFrom="paragraph">
                <wp:posOffset>-914400</wp:posOffset>
              </wp:positionV>
              <wp:extent cx="5943600" cy="152400"/>
              <wp:effectExtent l="0" t="0" r="0" b="0"/>
              <wp:wrapNone/>
              <wp:docPr id="20971492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7C6CE3" id="_x0000_t202" coordsize="21600,21600" o:spt="202" path="m,l,21600r21600,l21600,xe">
              <v:stroke joinstyle="miter"/>
              <v:path gradientshapeok="t" o:connecttype="rect"/>
            </v:shapetype>
            <v:shape id="Text Box 1"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FBC"/>
    <w:rsid w:val="00002690"/>
    <w:rsid w:val="00140BBA"/>
    <w:rsid w:val="003C65C8"/>
    <w:rsid w:val="003E7820"/>
    <w:rsid w:val="004349A5"/>
    <w:rsid w:val="00497C57"/>
    <w:rsid w:val="004C7018"/>
    <w:rsid w:val="00521E8B"/>
    <w:rsid w:val="005253C3"/>
    <w:rsid w:val="0055262D"/>
    <w:rsid w:val="00592027"/>
    <w:rsid w:val="00654548"/>
    <w:rsid w:val="006D7F2B"/>
    <w:rsid w:val="00721FBC"/>
    <w:rsid w:val="007368A8"/>
    <w:rsid w:val="007E4932"/>
    <w:rsid w:val="0090732C"/>
    <w:rsid w:val="00907DEC"/>
    <w:rsid w:val="00995861"/>
    <w:rsid w:val="00A47AFF"/>
    <w:rsid w:val="00A6433F"/>
    <w:rsid w:val="00B96B8F"/>
    <w:rsid w:val="00C912E5"/>
    <w:rsid w:val="00CD6646"/>
    <w:rsid w:val="00D056D7"/>
    <w:rsid w:val="00E60313"/>
    <w:rsid w:val="00EC61EE"/>
    <w:rsid w:val="00F25EF4"/>
    <w:rsid w:val="00FA25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1511BF"/>
  <w15:chartTrackingRefBased/>
  <w15:docId w15:val="{84AF0D26-0CD3-46A6-BD52-B463C2ED8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820"/>
    <w:rPr>
      <w:rFonts w:ascii="Calibri" w:eastAsia="Calibri" w:hAnsi="Calibri" w:cs="Times New Roman"/>
      <w:kern w:val="0"/>
      <w14:ligatures w14:val="none"/>
    </w:rPr>
  </w:style>
  <w:style w:type="paragraph" w:styleId="Ttulo1">
    <w:name w:val="heading 1"/>
    <w:basedOn w:val="Normal"/>
    <w:next w:val="Normal"/>
    <w:link w:val="Ttulo1Car"/>
    <w:uiPriority w:val="9"/>
    <w:qFormat/>
    <w:rsid w:val="00721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21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21FB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21FB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21FB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21FB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21FB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21FB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21FB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21FB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21FB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21FB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21FB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21FB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21FB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21FB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21FB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21FBC"/>
    <w:rPr>
      <w:rFonts w:eastAsiaTheme="majorEastAsia" w:cstheme="majorBidi"/>
      <w:color w:val="272727" w:themeColor="text1" w:themeTint="D8"/>
    </w:rPr>
  </w:style>
  <w:style w:type="paragraph" w:styleId="Ttulo">
    <w:name w:val="Title"/>
    <w:basedOn w:val="Normal"/>
    <w:next w:val="Normal"/>
    <w:link w:val="TtuloCar"/>
    <w:uiPriority w:val="10"/>
    <w:qFormat/>
    <w:rsid w:val="00721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21FB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21FB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21FB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21FBC"/>
    <w:pPr>
      <w:spacing w:before="160"/>
      <w:jc w:val="center"/>
    </w:pPr>
    <w:rPr>
      <w:i/>
      <w:iCs/>
      <w:color w:val="404040" w:themeColor="text1" w:themeTint="BF"/>
    </w:rPr>
  </w:style>
  <w:style w:type="character" w:customStyle="1" w:styleId="CitaCar">
    <w:name w:val="Cita Car"/>
    <w:basedOn w:val="Fuentedeprrafopredeter"/>
    <w:link w:val="Cita"/>
    <w:uiPriority w:val="29"/>
    <w:rsid w:val="00721FBC"/>
    <w:rPr>
      <w:i/>
      <w:iCs/>
      <w:color w:val="404040" w:themeColor="text1" w:themeTint="BF"/>
    </w:rPr>
  </w:style>
  <w:style w:type="paragraph" w:styleId="Prrafodelista">
    <w:name w:val="List Paragraph"/>
    <w:basedOn w:val="Normal"/>
    <w:uiPriority w:val="34"/>
    <w:qFormat/>
    <w:rsid w:val="00721FBC"/>
    <w:pPr>
      <w:ind w:left="720"/>
      <w:contextualSpacing/>
    </w:pPr>
  </w:style>
  <w:style w:type="character" w:styleId="nfasisintenso">
    <w:name w:val="Intense Emphasis"/>
    <w:basedOn w:val="Fuentedeprrafopredeter"/>
    <w:uiPriority w:val="21"/>
    <w:qFormat/>
    <w:rsid w:val="00721FBC"/>
    <w:rPr>
      <w:i/>
      <w:iCs/>
      <w:color w:val="0F4761" w:themeColor="accent1" w:themeShade="BF"/>
    </w:rPr>
  </w:style>
  <w:style w:type="paragraph" w:styleId="Citadestacada">
    <w:name w:val="Intense Quote"/>
    <w:basedOn w:val="Normal"/>
    <w:next w:val="Normal"/>
    <w:link w:val="CitadestacadaCar"/>
    <w:uiPriority w:val="30"/>
    <w:qFormat/>
    <w:rsid w:val="00721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21FBC"/>
    <w:rPr>
      <w:i/>
      <w:iCs/>
      <w:color w:val="0F4761" w:themeColor="accent1" w:themeShade="BF"/>
    </w:rPr>
  </w:style>
  <w:style w:type="character" w:styleId="Referenciaintensa">
    <w:name w:val="Intense Reference"/>
    <w:basedOn w:val="Fuentedeprrafopredeter"/>
    <w:uiPriority w:val="32"/>
    <w:qFormat/>
    <w:rsid w:val="00721FBC"/>
    <w:rPr>
      <w:b/>
      <w:bCs/>
      <w:smallCaps/>
      <w:color w:val="0F4761" w:themeColor="accent1" w:themeShade="BF"/>
      <w:spacing w:val="5"/>
    </w:rPr>
  </w:style>
  <w:style w:type="paragraph" w:styleId="Encabezado">
    <w:name w:val="header"/>
    <w:basedOn w:val="Normal"/>
    <w:link w:val="EncabezadoCar"/>
    <w:uiPriority w:val="99"/>
    <w:semiHidden/>
    <w:unhideWhenUsed/>
    <w:rsid w:val="003E7820"/>
    <w:pPr>
      <w:tabs>
        <w:tab w:val="center" w:pos="4680"/>
        <w:tab w:val="right" w:pos="9360"/>
      </w:tabs>
      <w:spacing w:after="0" w:line="240" w:lineRule="auto"/>
    </w:pPr>
  </w:style>
  <w:style w:type="character" w:customStyle="1" w:styleId="EncabezadoCar">
    <w:name w:val="Encabezado Car"/>
    <w:basedOn w:val="Fuentedeprrafopredeter"/>
    <w:link w:val="Encabezado"/>
    <w:uiPriority w:val="99"/>
    <w:semiHidden/>
    <w:rsid w:val="003E7820"/>
    <w:rPr>
      <w:rFonts w:ascii="Calibri" w:eastAsia="Calibri" w:hAnsi="Calibri" w:cs="Times New Roman"/>
      <w:kern w:val="0"/>
      <w:lang w:val="en-US"/>
      <w14:ligatures w14:val="none"/>
    </w:rPr>
  </w:style>
  <w:style w:type="character" w:styleId="Nmerodepgina">
    <w:name w:val="page number"/>
    <w:basedOn w:val="Fuentedeprrafopredeter"/>
    <w:rsid w:val="003E7820"/>
  </w:style>
  <w:style w:type="paragraph" w:styleId="Sangra2detindependiente">
    <w:name w:val="Body Text Indent 2"/>
    <w:basedOn w:val="Normal"/>
    <w:link w:val="Sangra2detindependienteCar"/>
    <w:uiPriority w:val="99"/>
    <w:rsid w:val="003E7820"/>
    <w:pPr>
      <w:widowControl w:val="0"/>
      <w:spacing w:after="120" w:line="480" w:lineRule="auto"/>
      <w:ind w:left="360"/>
    </w:pPr>
    <w:rPr>
      <w:rFonts w:ascii="Times New Roman" w:eastAsia="MS Mincho" w:hAnsi="Times New Roman"/>
      <w:sz w:val="20"/>
      <w:szCs w:val="20"/>
    </w:rPr>
  </w:style>
  <w:style w:type="character" w:customStyle="1" w:styleId="Sangra2detindependienteCar">
    <w:name w:val="Sangría 2 de t. independiente Car"/>
    <w:basedOn w:val="Fuentedeprrafopredeter"/>
    <w:link w:val="Sangra2detindependiente"/>
    <w:uiPriority w:val="99"/>
    <w:rsid w:val="003E7820"/>
    <w:rPr>
      <w:rFonts w:ascii="Times New Roman" w:eastAsia="MS Mincho" w:hAnsi="Times New Roman" w:cs="Times New Roman"/>
      <w:kern w:val="0"/>
      <w:sz w:val="20"/>
      <w:szCs w:val="20"/>
      <w:lang w:val="en-US"/>
      <w14:ligatures w14:val="none"/>
    </w:rPr>
  </w:style>
  <w:style w:type="character" w:styleId="Nmerodelnea">
    <w:name w:val="line number"/>
    <w:basedOn w:val="Fuentedeprrafopredeter"/>
    <w:uiPriority w:val="99"/>
    <w:semiHidden/>
    <w:unhideWhenUsed/>
    <w:rsid w:val="003E78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1145</Words>
  <Characters>6507</Characters>
  <Application>Microsoft Office Word</Application>
  <DocSecurity>0</DocSecurity>
  <Lines>54</Lines>
  <Paragraphs>15</Paragraphs>
  <ScaleCrop>false</ScaleCrop>
  <Company/>
  <LinksUpToDate>false</LinksUpToDate>
  <CharactersWithSpaces>7637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JEZER MULERO</dc:creator>
  <cp:keywords/>
  <dc:description/>
  <cp:lastModifiedBy>Rocío Alayón Morell</cp:lastModifiedBy>
  <cp:revision>3</cp:revision>
  <dcterms:created xsi:type="dcterms:W3CDTF">2025-01-13T19:09:00Z</dcterms:created>
  <dcterms:modified xsi:type="dcterms:W3CDTF">2025-01-13T19:52:00Z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a227dc49de915c331059888da39a5fbb9b67f65eef6d7327ae78be6a28671bf3</vt:lpwstr>
  </property>
</Properties>
</file>