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47898FEF"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464E71">
        <w:rPr>
          <w:rFonts w:ascii="Book Antiqua" w:hAnsi="Book Antiqua"/>
          <w:lang w:val="es-ES_tradnl"/>
        </w:rPr>
        <w:t>3</w:t>
      </w:r>
      <w:r w:rsidR="001A4A89" w:rsidRPr="0049600B">
        <w:rPr>
          <w:rFonts w:ascii="Book Antiqua" w:hAnsi="Book Antiqua"/>
          <w:lang w:val="es-ES_tradnl"/>
        </w:rPr>
        <w:t xml:space="preserve"> </w:t>
      </w:r>
      <w:proofErr w:type="spellStart"/>
      <w:r w:rsidR="00464E71">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27897371"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6B68ED">
        <w:rPr>
          <w:rFonts w:ascii="Book Antiqua" w:hAnsi="Book Antiqua"/>
          <w:b/>
          <w:sz w:val="52"/>
          <w:lang w:val="es-ES_tradnl"/>
        </w:rPr>
        <w:t xml:space="preserve"> la C. 258</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6D18175A" w:rsidR="00D71003" w:rsidRPr="00160853" w:rsidRDefault="00C376F5"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21</w:t>
      </w:r>
      <w:r w:rsidR="00D71003" w:rsidRPr="00160853">
        <w:rPr>
          <w:rFonts w:ascii="Book Antiqua" w:hAnsi="Book Antiqua"/>
          <w:color w:val="000000" w:themeColor="text1"/>
          <w:sz w:val="22"/>
          <w:szCs w:val="18"/>
          <w:lang w:val="es-PR"/>
        </w:rPr>
        <w:t xml:space="preserve"> DE </w:t>
      </w:r>
      <w:r w:rsidR="007C296F">
        <w:rPr>
          <w:rFonts w:ascii="Book Antiqua" w:hAnsi="Book Antiqua"/>
          <w:color w:val="000000" w:themeColor="text1"/>
          <w:sz w:val="22"/>
          <w:szCs w:val="18"/>
          <w:lang w:val="es-PR"/>
        </w:rPr>
        <w:t>ABRIL</w:t>
      </w:r>
      <w:r w:rsidR="00D71003" w:rsidRPr="00160853">
        <w:rPr>
          <w:rFonts w:ascii="Book Antiqua" w:hAnsi="Book Antiqua"/>
          <w:color w:val="000000" w:themeColor="text1"/>
          <w:sz w:val="22"/>
          <w:szCs w:val="18"/>
          <w:lang w:val="es-PR"/>
        </w:rPr>
        <w:t xml:space="preserve"> DE 202</w:t>
      </w:r>
      <w:r w:rsidR="00464E71">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31DCE48F" w:rsidR="00FD6CB7" w:rsidRDefault="00091A87" w:rsidP="007C19B4">
      <w:pPr>
        <w:spacing w:before="100" w:beforeAutospacing="1" w:after="100" w:afterAutospacing="1"/>
        <w:ind w:firstLine="720"/>
        <w:jc w:val="both"/>
        <w:rPr>
          <w:rFonts w:ascii="Book Antiqua" w:hAnsi="Book Antiqua"/>
          <w:lang w:val="es-PR"/>
        </w:rPr>
      </w:pPr>
      <w:r w:rsidRPr="00FD6CB7">
        <w:rPr>
          <w:rFonts w:ascii="Book Antiqua" w:hAnsi="Book Antiqua"/>
          <w:lang w:val="es-PR"/>
        </w:rPr>
        <w:t>La Comisión de Educación</w:t>
      </w:r>
      <w:r w:rsidR="00EC294F">
        <w:rPr>
          <w:rFonts w:ascii="Book Antiqua" w:hAnsi="Book Antiqua"/>
          <w:lang w:val="es-PR"/>
        </w:rPr>
        <w:t xml:space="preserve"> de la Cámara de Representantes</w:t>
      </w:r>
      <w:r w:rsidRPr="00FD6CB7">
        <w:rPr>
          <w:rFonts w:ascii="Book Antiqua" w:hAnsi="Book Antiqua"/>
          <w:lang w:val="es-PR"/>
        </w:rPr>
        <w:t xml:space="preserve">,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w:t>
      </w:r>
      <w:r w:rsidR="002F74A5">
        <w:rPr>
          <w:rFonts w:ascii="Book Antiqua" w:hAnsi="Book Antiqua"/>
          <w:lang w:val="es-PR"/>
        </w:rPr>
        <w:t>de</w:t>
      </w:r>
      <w:r w:rsidR="006B68ED">
        <w:rPr>
          <w:rFonts w:ascii="Book Antiqua" w:hAnsi="Book Antiqua"/>
          <w:lang w:val="es-PR"/>
        </w:rPr>
        <w:t xml:space="preserve"> la Cámara </w:t>
      </w:r>
      <w:r w:rsidR="004E4E62">
        <w:rPr>
          <w:rFonts w:ascii="Book Antiqua" w:hAnsi="Book Antiqua"/>
          <w:lang w:val="es-PR"/>
        </w:rPr>
        <w:t>(en adelante, P. de</w:t>
      </w:r>
      <w:r w:rsidR="006B68ED">
        <w:rPr>
          <w:rFonts w:ascii="Book Antiqua" w:hAnsi="Book Antiqua"/>
          <w:lang w:val="es-PR"/>
        </w:rPr>
        <w:t xml:space="preserve"> la C</w:t>
      </w:r>
      <w:r w:rsidR="004E4E62">
        <w:rPr>
          <w:rFonts w:ascii="Book Antiqua" w:hAnsi="Book Antiqua"/>
          <w:lang w:val="es-PR"/>
        </w:rPr>
        <w:t xml:space="preserve">. </w:t>
      </w:r>
      <w:r w:rsidR="006B68ED">
        <w:rPr>
          <w:rFonts w:ascii="Book Antiqua" w:hAnsi="Book Antiqua"/>
          <w:lang w:val="es-PR"/>
        </w:rPr>
        <w:t>258</w:t>
      </w:r>
      <w:r w:rsidR="007C5056">
        <w:rPr>
          <w:rFonts w:ascii="Book Antiqua" w:hAnsi="Book Antiqua"/>
          <w:lang w:val="es-PR"/>
        </w:rPr>
        <w:t>)</w:t>
      </w:r>
      <w:r w:rsidR="004E4E62">
        <w:rPr>
          <w:rFonts w:ascii="Book Antiqua" w:hAnsi="Book Antiqua"/>
          <w:lang w:val="es-PR"/>
        </w:rPr>
        <w:t>,</w:t>
      </w:r>
      <w:r w:rsidR="003206CD">
        <w:rPr>
          <w:rFonts w:ascii="Book Antiqua" w:hAnsi="Book Antiqua"/>
          <w:lang w:val="es-PR"/>
        </w:rPr>
        <w:t xml:space="preserve"> mediante </w:t>
      </w:r>
      <w:r w:rsidR="003206CD" w:rsidRPr="00DA7979">
        <w:rPr>
          <w:rFonts w:ascii="Book Antiqua" w:hAnsi="Book Antiqua"/>
          <w:szCs w:val="24"/>
          <w:lang w:val="es-PR"/>
        </w:rPr>
        <w:t>el presente</w:t>
      </w:r>
      <w:r w:rsidR="003206CD">
        <w:rPr>
          <w:rFonts w:ascii="Book Antiqua" w:hAnsi="Book Antiqua"/>
          <w:lang w:val="es-PR"/>
        </w:rPr>
        <w:t xml:space="preserve"> Informe Positivo</w:t>
      </w:r>
      <w:r w:rsidR="00386ED5">
        <w:rPr>
          <w:rFonts w:ascii="Book Antiqua" w:hAnsi="Book Antiqua"/>
          <w:lang w:val="es-PR"/>
        </w:rPr>
        <w:t xml:space="preserve"> </w:t>
      </w:r>
      <w:r w:rsidR="00386ED5" w:rsidRPr="00716972">
        <w:rPr>
          <w:rFonts w:ascii="Book Antiqua" w:hAnsi="Book Antiqua"/>
          <w:lang w:val="es-PR"/>
        </w:rPr>
        <w:t xml:space="preserve">incorporando las enmiendas sugeridas al </w:t>
      </w:r>
      <w:r w:rsidR="00607EBD">
        <w:rPr>
          <w:rFonts w:ascii="Book Antiqua" w:hAnsi="Book Antiqua"/>
          <w:lang w:val="es-PR"/>
        </w:rPr>
        <w:t xml:space="preserve">título y </w:t>
      </w:r>
      <w:r w:rsidR="00386ED5" w:rsidRPr="00716972">
        <w:rPr>
          <w:rFonts w:ascii="Book Antiqua" w:hAnsi="Book Antiqua"/>
          <w:lang w:val="es-PR"/>
        </w:rPr>
        <w:t>contenido, que se detallan en el</w:t>
      </w:r>
      <w:r w:rsidR="00386ED5">
        <w:rPr>
          <w:rFonts w:ascii="Book Antiqua" w:hAnsi="Book Antiqua"/>
          <w:lang w:val="es-PR"/>
        </w:rPr>
        <w:t xml:space="preserve"> </w:t>
      </w:r>
      <w:proofErr w:type="spellStart"/>
      <w:r w:rsidR="00386ED5" w:rsidRPr="00716972">
        <w:rPr>
          <w:rFonts w:ascii="Book Antiqua" w:hAnsi="Book Antiqua"/>
          <w:lang w:val="es-PR"/>
        </w:rPr>
        <w:t>entirillado</w:t>
      </w:r>
      <w:proofErr w:type="spellEnd"/>
      <w:r w:rsidR="00386ED5" w:rsidRPr="00716972">
        <w:rPr>
          <w:rFonts w:ascii="Book Antiqua" w:hAnsi="Book Antiqua"/>
          <w:lang w:val="es-PR"/>
        </w:rPr>
        <w:t xml:space="preserve"> electrónico que se acompaña.</w:t>
      </w:r>
    </w:p>
    <w:p w14:paraId="49988954" w14:textId="5487E069" w:rsidR="00FD6CB7" w:rsidRPr="00817DB9" w:rsidRDefault="001A4A89" w:rsidP="004E4E62">
      <w:pPr>
        <w:spacing w:before="100" w:beforeAutospacing="1" w:after="100" w:afterAutospacing="1"/>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52C8227F" w14:textId="4452AC8B" w:rsidR="00A12741" w:rsidRPr="000040B1" w:rsidRDefault="004E4E62" w:rsidP="000040B1">
      <w:pPr>
        <w:widowControl w:val="0"/>
        <w:jc w:val="both"/>
        <w:rPr>
          <w:rFonts w:ascii="Book Antiqua" w:hAnsi="Book Antiqua"/>
          <w:lang w:val="es-ES"/>
        </w:rPr>
      </w:pPr>
      <w:r>
        <w:rPr>
          <w:rFonts w:ascii="Book Antiqua" w:hAnsi="Book Antiqua"/>
          <w:szCs w:val="24"/>
          <w:lang w:val="es-PR"/>
        </w:rPr>
        <w:t>E</w:t>
      </w:r>
      <w:r w:rsidRPr="004E4E62">
        <w:rPr>
          <w:rFonts w:ascii="Book Antiqua" w:hAnsi="Book Antiqua"/>
          <w:szCs w:val="24"/>
          <w:lang w:val="es-PR"/>
        </w:rPr>
        <w:t>l P. de</w:t>
      </w:r>
      <w:r w:rsidR="006B68ED">
        <w:rPr>
          <w:rFonts w:ascii="Book Antiqua" w:hAnsi="Book Antiqua"/>
          <w:szCs w:val="24"/>
          <w:lang w:val="es-PR"/>
        </w:rPr>
        <w:t xml:space="preserve"> la C. 258,</w:t>
      </w:r>
      <w:r w:rsidR="000040B1">
        <w:rPr>
          <w:rFonts w:ascii="Book Antiqua" w:hAnsi="Book Antiqua"/>
          <w:szCs w:val="24"/>
          <w:lang w:val="es-PR"/>
        </w:rPr>
        <w:t xml:space="preserve"> </w:t>
      </w:r>
      <w:r w:rsidR="002C1204">
        <w:rPr>
          <w:rFonts w:ascii="Book Antiqua" w:hAnsi="Book Antiqua"/>
          <w:szCs w:val="24"/>
          <w:lang w:val="es-PR"/>
        </w:rPr>
        <w:t>tiene como propósit</w:t>
      </w:r>
      <w:r w:rsidR="0068039B">
        <w:rPr>
          <w:rFonts w:ascii="Book Antiqua" w:hAnsi="Book Antiqua"/>
          <w:szCs w:val="24"/>
          <w:lang w:val="es-PR"/>
        </w:rPr>
        <w:t xml:space="preserve">o </w:t>
      </w:r>
      <w:r w:rsidR="006E2F5E" w:rsidRPr="006E2F5E">
        <w:rPr>
          <w:rFonts w:ascii="Book Antiqua" w:hAnsi="Book Antiqua"/>
          <w:szCs w:val="24"/>
          <w:lang w:val="es-PR"/>
        </w:rPr>
        <w:t xml:space="preserve">añadir un nuevo </w:t>
      </w:r>
      <w:proofErr w:type="spellStart"/>
      <w:r w:rsidR="006E2F5E" w:rsidRPr="006E2F5E">
        <w:rPr>
          <w:rFonts w:ascii="Book Antiqua" w:hAnsi="Book Antiqua"/>
          <w:szCs w:val="24"/>
          <w:lang w:val="es-PR"/>
        </w:rPr>
        <w:t>subinciso</w:t>
      </w:r>
      <w:proofErr w:type="spellEnd"/>
      <w:r w:rsidR="006E2F5E" w:rsidRPr="006E2F5E">
        <w:rPr>
          <w:rFonts w:ascii="Book Antiqua" w:hAnsi="Book Antiqua"/>
          <w:szCs w:val="24"/>
          <w:lang w:val="es-PR"/>
        </w:rPr>
        <w:t xml:space="preserve"> 69 al inciso (b) del Artículo 2.04 de la Ley 85-2018, según enmendada, conocida como “Ley de Reforma Educativa de Puerto Rico” con el fin de establecer un número máximo de quince (15) estudiantes por salón en las escuelas Sistema de Educación Pública; y para otros fines relacionado</w:t>
      </w:r>
    </w:p>
    <w:p w14:paraId="26C62843" w14:textId="62E04710"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76941D54" w14:textId="04222BBA" w:rsidR="00081017" w:rsidRPr="00081017" w:rsidRDefault="000A0316" w:rsidP="000040B1">
      <w:pPr>
        <w:spacing w:before="100" w:beforeAutospacing="1" w:after="100" w:afterAutospacing="1"/>
        <w:ind w:firstLine="720"/>
        <w:jc w:val="both"/>
        <w:rPr>
          <w:rFonts w:ascii="Book Antiqua" w:hAnsi="Book Antiqua"/>
          <w:szCs w:val="24"/>
          <w:lang w:val="es-PR"/>
        </w:rPr>
      </w:pPr>
      <w:r w:rsidRPr="000A0316">
        <w:rPr>
          <w:rFonts w:ascii="Book Antiqua" w:hAnsi="Book Antiqua"/>
          <w:szCs w:val="24"/>
          <w:lang w:val="es-PR"/>
        </w:rPr>
        <w:t xml:space="preserve">La Exposición de Motivos de la pieza legislativa </w:t>
      </w:r>
      <w:r w:rsidR="00081017">
        <w:rPr>
          <w:rFonts w:ascii="Book Antiqua" w:hAnsi="Book Antiqua"/>
          <w:szCs w:val="24"/>
          <w:lang w:val="es-PR"/>
        </w:rPr>
        <w:t>presenta</w:t>
      </w:r>
      <w:r w:rsidRPr="000A0316">
        <w:rPr>
          <w:rFonts w:ascii="Book Antiqua" w:hAnsi="Book Antiqua"/>
          <w:szCs w:val="24"/>
          <w:lang w:val="es-PR"/>
        </w:rPr>
        <w:t xml:space="preserve"> </w:t>
      </w:r>
      <w:r w:rsidR="00081017">
        <w:rPr>
          <w:rFonts w:ascii="Book Antiqua" w:hAnsi="Book Antiqua"/>
          <w:szCs w:val="24"/>
          <w:lang w:val="es-PR"/>
        </w:rPr>
        <w:t>e</w:t>
      </w:r>
      <w:r w:rsidR="00081017" w:rsidRPr="00081017">
        <w:rPr>
          <w:rFonts w:ascii="Book Antiqua" w:hAnsi="Book Antiqua"/>
          <w:szCs w:val="24"/>
          <w:lang w:val="es-PR"/>
        </w:rPr>
        <w:t>l reto de garantizar una educación de calidad e inclusiva, afectada por la alta cantidad de estudiantes por salón. La evidencia internacional, como la de los países escandinavos y el Proyecto STAR en Estados Unidos, demuestra que grupos de 13 a 15 estudiantes mejoran significativamente el rendimiento académico y reducen las brechas educativas.</w:t>
      </w:r>
    </w:p>
    <w:p w14:paraId="55F5CCF7" w14:textId="44DCFF03" w:rsidR="00081017" w:rsidRPr="00081017" w:rsidRDefault="00081017" w:rsidP="00081017">
      <w:pPr>
        <w:spacing w:before="100" w:beforeAutospacing="1" w:after="100" w:afterAutospacing="1"/>
        <w:ind w:firstLine="720"/>
        <w:jc w:val="both"/>
        <w:rPr>
          <w:rFonts w:ascii="Book Antiqua" w:hAnsi="Book Antiqua"/>
          <w:szCs w:val="24"/>
          <w:lang w:val="es-PR"/>
        </w:rPr>
      </w:pPr>
      <w:r w:rsidRPr="00081017">
        <w:rPr>
          <w:rFonts w:ascii="Book Antiqua" w:hAnsi="Book Antiqua"/>
          <w:szCs w:val="24"/>
          <w:lang w:val="es-PR"/>
        </w:rPr>
        <w:t>La disminución de la matrícula escolar</w:t>
      </w:r>
      <w:r w:rsidR="00C745B8">
        <w:rPr>
          <w:rFonts w:ascii="Book Antiqua" w:hAnsi="Book Antiqua"/>
          <w:szCs w:val="24"/>
          <w:lang w:val="es-PR"/>
        </w:rPr>
        <w:t xml:space="preserve"> </w:t>
      </w:r>
      <w:r w:rsidRPr="00081017">
        <w:rPr>
          <w:rFonts w:ascii="Book Antiqua" w:hAnsi="Book Antiqua"/>
          <w:szCs w:val="24"/>
          <w:lang w:val="es-PR"/>
        </w:rPr>
        <w:t>con una proyección actual de 222,023 estudiante</w:t>
      </w:r>
      <w:r w:rsidR="00C745B8">
        <w:rPr>
          <w:rFonts w:ascii="Book Antiqua" w:hAnsi="Book Antiqua"/>
          <w:szCs w:val="24"/>
          <w:lang w:val="es-PR"/>
        </w:rPr>
        <w:t>s</w:t>
      </w:r>
      <w:r w:rsidRPr="00081017">
        <w:rPr>
          <w:rFonts w:ascii="Book Antiqua" w:hAnsi="Book Antiqua"/>
          <w:szCs w:val="24"/>
          <w:lang w:val="es-PR"/>
        </w:rPr>
        <w:t xml:space="preserve"> permite rediseñar el sistema educativo e implementar un límite máximo de </w:t>
      </w:r>
      <w:r w:rsidRPr="00081017">
        <w:rPr>
          <w:rFonts w:ascii="Book Antiqua" w:hAnsi="Book Antiqua"/>
          <w:szCs w:val="24"/>
          <w:lang w:val="es-PR"/>
        </w:rPr>
        <w:lastRenderedPageBreak/>
        <w:t>15 alumnos por salón, fomentando una enseñanza más personalizada y equitativa. Esta medida beneficiará especialmente a la población del Programa de Educación Especial, que representa cerca del 40% del estudiantado, al permitir una atención más individualizada.</w:t>
      </w:r>
    </w:p>
    <w:p w14:paraId="62CF7318" w14:textId="202F99D2" w:rsidR="000A0316" w:rsidRPr="000A0316" w:rsidRDefault="00081017" w:rsidP="008E5204">
      <w:pPr>
        <w:spacing w:before="100" w:beforeAutospacing="1" w:after="100" w:afterAutospacing="1"/>
        <w:ind w:firstLine="720"/>
        <w:jc w:val="both"/>
        <w:rPr>
          <w:rFonts w:ascii="Book Antiqua" w:hAnsi="Book Antiqua"/>
          <w:szCs w:val="24"/>
          <w:lang w:val="es-PR"/>
        </w:rPr>
      </w:pPr>
      <w:r w:rsidRPr="00081017">
        <w:rPr>
          <w:rFonts w:ascii="Book Antiqua" w:hAnsi="Book Antiqua"/>
          <w:szCs w:val="24"/>
          <w:lang w:val="es-PR"/>
        </w:rPr>
        <w:t>Además, estudios de costo</w:t>
      </w:r>
      <w:r w:rsidR="00C745B8">
        <w:rPr>
          <w:rFonts w:ascii="Book Antiqua" w:hAnsi="Book Antiqua"/>
          <w:szCs w:val="24"/>
          <w:lang w:val="es-PR"/>
        </w:rPr>
        <w:t xml:space="preserve"> </w:t>
      </w:r>
      <w:r w:rsidRPr="00081017">
        <w:rPr>
          <w:rFonts w:ascii="Book Antiqua" w:hAnsi="Book Antiqua"/>
          <w:szCs w:val="24"/>
          <w:lang w:val="es-PR"/>
        </w:rPr>
        <w:t>beneficio evidencian que las clases pequeñas generan ahorros sustanciales en salud, justicia y bienestar social, y aumentan la productividad y estabilidad económica de los egresados. Por ello, la Asamblea Legislativa propone establecer por ley el límite de 15 estudiantes por salón en las escuelas públicas, alineando a Puerto Rico con las mejores prácticas internacionales y reafirmando el compromiso con la equidad, la calidad educativa y el desarrollo humano sostenible.</w:t>
      </w:r>
    </w:p>
    <w:p w14:paraId="590AF1E8" w14:textId="64A51312" w:rsidR="00FD7176" w:rsidRDefault="00B7320F" w:rsidP="00FD7176">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70EB46FE" w14:textId="77777777" w:rsidR="008E5204" w:rsidRDefault="004E4E62" w:rsidP="008E5204">
      <w:pPr>
        <w:spacing w:before="100" w:beforeAutospacing="1" w:after="100" w:afterAutospacing="1"/>
        <w:jc w:val="both"/>
        <w:rPr>
          <w:rFonts w:ascii="Book Antiqua" w:hAnsi="Book Antiqua"/>
          <w:lang w:val="es-PR"/>
        </w:rPr>
      </w:pPr>
      <w:r>
        <w:rPr>
          <w:rFonts w:ascii="Book Antiqua" w:hAnsi="Book Antiqua"/>
          <w:szCs w:val="24"/>
          <w:lang w:val="es-PR"/>
        </w:rPr>
        <w:t xml:space="preserve">       </w:t>
      </w:r>
      <w:r w:rsidR="00330D50">
        <w:rPr>
          <w:rFonts w:ascii="Book Antiqua" w:hAnsi="Book Antiqua"/>
          <w:szCs w:val="24"/>
          <w:lang w:val="es-PR"/>
        </w:rPr>
        <w:tab/>
      </w:r>
      <w:r w:rsidR="008E5204" w:rsidRPr="008E5204">
        <w:rPr>
          <w:rFonts w:ascii="Book Antiqua" w:hAnsi="Book Antiqua"/>
          <w:lang w:val="es-PR"/>
        </w:rPr>
        <w:t>Para la evaluación y análisis de la referida medida fueron solicitados y recibidos Memoriales Explicativos del Departamento de Educación de Puerto Rico, la Asociación de Maestros de Puerto Rico y Educadores Puertorriqueños en Acción, Inc. Además, fue recibida una carta del estudiante Michael Rodríguez.</w:t>
      </w:r>
    </w:p>
    <w:p w14:paraId="2963FB26" w14:textId="77777777" w:rsidR="008E5204" w:rsidRDefault="008E5204" w:rsidP="008E5204">
      <w:pPr>
        <w:spacing w:before="100" w:beforeAutospacing="1" w:after="100" w:afterAutospacing="1"/>
        <w:ind w:firstLine="720"/>
        <w:jc w:val="both"/>
        <w:rPr>
          <w:rFonts w:ascii="Book Antiqua" w:hAnsi="Book Antiqua"/>
          <w:lang w:val="es-PR"/>
        </w:rPr>
      </w:pPr>
      <w:r w:rsidRPr="008E5204">
        <w:rPr>
          <w:rFonts w:ascii="Book Antiqua" w:hAnsi="Book Antiqua"/>
          <w:szCs w:val="24"/>
          <w:lang w:val="es-PR"/>
        </w:rPr>
        <w:t>Asimismo, se solicitó un memorial a la Oficina de Gerencia y Presupuesto (OGP); sin embargo, dicha agencia no emitió respuesta dentro del término provisto, por lo que se entiende que no presenta objeción a la medida.</w:t>
      </w:r>
    </w:p>
    <w:p w14:paraId="1D494D85" w14:textId="77777777" w:rsidR="008E5204" w:rsidRDefault="008E5204" w:rsidP="008E5204">
      <w:pPr>
        <w:spacing w:before="100" w:beforeAutospacing="1" w:after="100" w:afterAutospacing="1"/>
        <w:ind w:firstLine="720"/>
        <w:jc w:val="both"/>
        <w:rPr>
          <w:rFonts w:ascii="Book Antiqua" w:hAnsi="Book Antiqua"/>
          <w:lang w:val="es-PR"/>
        </w:rPr>
      </w:pPr>
      <w:r w:rsidRPr="008E5204">
        <w:rPr>
          <w:rFonts w:ascii="Book Antiqua" w:hAnsi="Book Antiqua"/>
          <w:szCs w:val="24"/>
          <w:lang w:val="es-PR"/>
        </w:rPr>
        <w:t>En cumplimiento con nuestra responsabilidad legislativa, y con el propósito de obtener el insumo necesario para la evaluación adecuada de la pieza legislativa, todos los memoriales y comunicaciones recibidos fueron analizados detenidamente para propósitos de la redacción de este informe.</w:t>
      </w:r>
    </w:p>
    <w:p w14:paraId="5D57A7B9" w14:textId="457E672F" w:rsidR="008E5204" w:rsidRPr="008E5204" w:rsidRDefault="008E5204" w:rsidP="008E5204">
      <w:pPr>
        <w:spacing w:before="100" w:beforeAutospacing="1" w:after="100" w:afterAutospacing="1"/>
        <w:ind w:firstLine="720"/>
        <w:jc w:val="both"/>
        <w:rPr>
          <w:rFonts w:ascii="Book Antiqua" w:hAnsi="Book Antiqua"/>
          <w:lang w:val="es-PR"/>
        </w:rPr>
      </w:pPr>
      <w:r w:rsidRPr="008E5204">
        <w:rPr>
          <w:rFonts w:ascii="Book Antiqua" w:hAnsi="Book Antiqua"/>
          <w:szCs w:val="24"/>
          <w:lang w:val="es-PR"/>
        </w:rPr>
        <w:t>A continuación, se presenta un resumen detallado de los comentarios proporcionados por la carta del estudiante Michael Rodríguez y las entidades gubernamentales antes mencionadas:</w:t>
      </w:r>
    </w:p>
    <w:p w14:paraId="2D3A8719" w14:textId="06CA5BB9" w:rsidR="002E61B9" w:rsidRDefault="002E61B9" w:rsidP="008E5204">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DEPARTAMENTO DE EDUCACION DE PUERTO RICO</w:t>
      </w:r>
    </w:p>
    <w:p w14:paraId="378B5C52" w14:textId="77777777" w:rsidR="00FB1B9E" w:rsidRPr="00FB1B9E" w:rsidRDefault="00FB1B9E" w:rsidP="00FB1B9E">
      <w:pPr>
        <w:spacing w:before="100" w:beforeAutospacing="1" w:after="100" w:afterAutospacing="1"/>
        <w:ind w:firstLine="720"/>
        <w:jc w:val="both"/>
        <w:rPr>
          <w:rFonts w:ascii="Book Antiqua" w:hAnsi="Book Antiqua"/>
          <w:szCs w:val="24"/>
          <w:lang w:val="es-PR"/>
        </w:rPr>
      </w:pPr>
      <w:r w:rsidRPr="00FB1B9E">
        <w:rPr>
          <w:rFonts w:ascii="Book Antiqua" w:hAnsi="Book Antiqua"/>
          <w:szCs w:val="24"/>
          <w:lang w:val="es-PR"/>
        </w:rPr>
        <w:t xml:space="preserve">El Departamento de Educación de Puerto Rico (DEPR), representado por su </w:t>
      </w:r>
      <w:proofErr w:type="gramStart"/>
      <w:r w:rsidRPr="00FB1B9E">
        <w:rPr>
          <w:rFonts w:ascii="Book Antiqua" w:hAnsi="Book Antiqua"/>
          <w:szCs w:val="24"/>
          <w:lang w:val="es-PR"/>
        </w:rPr>
        <w:t>Secretario</w:t>
      </w:r>
      <w:proofErr w:type="gramEnd"/>
      <w:r w:rsidRPr="00FB1B9E">
        <w:rPr>
          <w:rFonts w:ascii="Book Antiqua" w:hAnsi="Book Antiqua"/>
          <w:szCs w:val="24"/>
          <w:lang w:val="es-PR"/>
        </w:rPr>
        <w:t>, Lcdo. Eliezer Ramos Parés, presentó su análisis oficial sobre el P. de la C. 258, mediante el cual se propone establecer un límite máximo de quince (15) estudiantes por salón en las escuelas del sistema público. El DEPR reconoció que esta iniciativa es cónsona con los principios de la Ley 85</w:t>
      </w:r>
      <w:r w:rsidRPr="00FB1B9E">
        <w:rPr>
          <w:rFonts w:ascii="Book Antiqua" w:hAnsi="Book Antiqua"/>
          <w:szCs w:val="24"/>
          <w:lang w:val="es-PR"/>
        </w:rPr>
        <w:noBreakHyphen/>
        <w:t>2018 y con evidencia internacional que respalda los beneficios de los grupos reducidos para mejorar la atención individualizada, el rendimiento académico y las destrezas socioemocionales.</w:t>
      </w:r>
    </w:p>
    <w:p w14:paraId="78618A74" w14:textId="761624DF" w:rsidR="00FB1B9E" w:rsidRPr="00FB1B9E" w:rsidRDefault="00FB1B9E" w:rsidP="00FB1B9E">
      <w:pPr>
        <w:spacing w:before="100" w:beforeAutospacing="1" w:after="100" w:afterAutospacing="1"/>
        <w:ind w:firstLine="720"/>
        <w:jc w:val="both"/>
        <w:rPr>
          <w:rFonts w:ascii="Book Antiqua" w:hAnsi="Book Antiqua"/>
          <w:szCs w:val="24"/>
          <w:lang w:val="es-PR"/>
        </w:rPr>
      </w:pPr>
      <w:r w:rsidRPr="00FB1B9E">
        <w:rPr>
          <w:rFonts w:ascii="Book Antiqua" w:hAnsi="Book Antiqua"/>
          <w:szCs w:val="24"/>
          <w:lang w:val="es-PR"/>
        </w:rPr>
        <w:t xml:space="preserve">La agencia subrayó, sin embargo, que la reducción del tamaño de los grupos no constituye por sí sola un factor determinante del aprendizaje. Elementos como la competencia del personal docente, el apoyo familiar, la motivación estudiantil y la disponibilidad de recursos son igualmente esenciales. Enfatizó, además, que la merma </w:t>
      </w:r>
      <w:r w:rsidRPr="00FB1B9E">
        <w:rPr>
          <w:rFonts w:ascii="Book Antiqua" w:hAnsi="Book Antiqua"/>
          <w:szCs w:val="24"/>
          <w:lang w:val="es-PR"/>
        </w:rPr>
        <w:lastRenderedPageBreak/>
        <w:t>sostenida en matrícula</w:t>
      </w:r>
      <w:r>
        <w:rPr>
          <w:rFonts w:ascii="Book Antiqua" w:hAnsi="Book Antiqua"/>
          <w:szCs w:val="24"/>
          <w:lang w:val="es-PR"/>
        </w:rPr>
        <w:t xml:space="preserve">, </w:t>
      </w:r>
      <w:r w:rsidRPr="00FB1B9E">
        <w:rPr>
          <w:rFonts w:ascii="Book Antiqua" w:hAnsi="Book Antiqua"/>
          <w:szCs w:val="24"/>
          <w:lang w:val="es-PR"/>
        </w:rPr>
        <w:t>aproximadamente 18,000 estudiantes menos en el último año escolar</w:t>
      </w:r>
      <w:r>
        <w:rPr>
          <w:rFonts w:ascii="Book Antiqua" w:hAnsi="Book Antiqua"/>
          <w:szCs w:val="24"/>
          <w:lang w:val="es-PR"/>
        </w:rPr>
        <w:t>,</w:t>
      </w:r>
      <w:r w:rsidRPr="00FB1B9E">
        <w:rPr>
          <w:rFonts w:ascii="Book Antiqua" w:hAnsi="Book Antiqua"/>
          <w:szCs w:val="24"/>
          <w:lang w:val="es-PR"/>
        </w:rPr>
        <w:t xml:space="preserve"> ya ha generado promedios de estudiantes por maestro cercanos al límite propuesto en varias modalidades, lo que evidencia una reorganización natural del sistema.</w:t>
      </w:r>
    </w:p>
    <w:p w14:paraId="51098E15" w14:textId="77777777" w:rsidR="00FB1B9E" w:rsidRPr="00FB1B9E" w:rsidRDefault="00FB1B9E" w:rsidP="00FB1B9E">
      <w:pPr>
        <w:spacing w:before="100" w:beforeAutospacing="1" w:after="100" w:afterAutospacing="1"/>
        <w:ind w:firstLine="720"/>
        <w:jc w:val="both"/>
        <w:rPr>
          <w:rFonts w:ascii="Book Antiqua" w:hAnsi="Book Antiqua"/>
          <w:szCs w:val="24"/>
          <w:lang w:val="es-PR"/>
        </w:rPr>
      </w:pPr>
      <w:r w:rsidRPr="00FB1B9E">
        <w:rPr>
          <w:rFonts w:ascii="Book Antiqua" w:hAnsi="Book Antiqua"/>
          <w:szCs w:val="24"/>
          <w:lang w:val="es-PR"/>
        </w:rPr>
        <w:t>No obstante, el DEPR advirtió que implantar uniformemente el límite de quince estudiantes implicaría retos fiscales, estructurales y operacionales significativos. Entre ellos, la posible contratación de personal adicional, la reasignación o adecuación de espacios escolares y, en algunos casos, la construcción de salones. Estas acciones requerirían una fuente de financiamiento recurrente y estable, especialmente ante la congelación de fondos federales de emergencia.</w:t>
      </w:r>
    </w:p>
    <w:p w14:paraId="769CA4E6" w14:textId="77777777" w:rsidR="00FB1B9E" w:rsidRPr="00FB1B9E" w:rsidRDefault="00FB1B9E" w:rsidP="00FB1B9E">
      <w:pPr>
        <w:spacing w:before="100" w:beforeAutospacing="1" w:after="100" w:afterAutospacing="1"/>
        <w:ind w:firstLine="720"/>
        <w:jc w:val="both"/>
        <w:rPr>
          <w:rFonts w:ascii="Book Antiqua" w:hAnsi="Book Antiqua"/>
          <w:szCs w:val="24"/>
          <w:lang w:val="es-PR"/>
        </w:rPr>
      </w:pPr>
      <w:r w:rsidRPr="00FB1B9E">
        <w:rPr>
          <w:rFonts w:ascii="Book Antiqua" w:hAnsi="Book Antiqua"/>
          <w:szCs w:val="24"/>
          <w:lang w:val="es-PR"/>
        </w:rPr>
        <w:t>Pese a estas limitaciones, la agencia reconoció el potencial transformador de la medida, recomendando que su implementación se dé de manera escalonada, comenzando por los niveles y regiones con mayor necesidad educativa. Reiteró su disposición para colaborar con esta Honorable Comisión en la implantación de políticas públicas conforme a derecho.</w:t>
      </w:r>
    </w:p>
    <w:p w14:paraId="2519E6B1" w14:textId="6AE0019A" w:rsidR="002E61B9" w:rsidRDefault="002E61B9" w:rsidP="00900985">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ASOCIACION DE MAESTROS DE PUERTO RICO</w:t>
      </w:r>
    </w:p>
    <w:p w14:paraId="5E329570" w14:textId="77777777" w:rsidR="00FB1B9E" w:rsidRPr="00FB1B9E" w:rsidRDefault="00FB1B9E" w:rsidP="00FB1B9E">
      <w:pPr>
        <w:spacing w:before="100" w:beforeAutospacing="1" w:after="100" w:afterAutospacing="1"/>
        <w:ind w:firstLine="720"/>
        <w:jc w:val="both"/>
        <w:rPr>
          <w:rFonts w:ascii="Book Antiqua" w:hAnsi="Book Antiqua"/>
          <w:szCs w:val="24"/>
          <w:lang w:val="es-PR"/>
        </w:rPr>
      </w:pPr>
      <w:r w:rsidRPr="00FB1B9E">
        <w:rPr>
          <w:rFonts w:ascii="Book Antiqua" w:hAnsi="Book Antiqua"/>
          <w:szCs w:val="24"/>
          <w:lang w:val="es-PR"/>
        </w:rPr>
        <w:t xml:space="preserve">La Asociación de Maestros de Puerto Rico (AMPR), representada por su </w:t>
      </w:r>
      <w:proofErr w:type="gramStart"/>
      <w:r w:rsidRPr="00FB1B9E">
        <w:rPr>
          <w:rFonts w:ascii="Book Antiqua" w:hAnsi="Book Antiqua"/>
          <w:szCs w:val="24"/>
          <w:lang w:val="es-PR"/>
        </w:rPr>
        <w:t>Presidente</w:t>
      </w:r>
      <w:proofErr w:type="gramEnd"/>
      <w:r w:rsidRPr="00FB1B9E">
        <w:rPr>
          <w:rFonts w:ascii="Book Antiqua" w:hAnsi="Book Antiqua"/>
          <w:szCs w:val="24"/>
          <w:lang w:val="es-PR"/>
        </w:rPr>
        <w:t>, Prof. Víctor M. Bonilla Sánchez, presentó una postura de apoyo firme y contundente al P. de la C. 258. La AMPR destacó que la propuesta de establecer un máximo de quince (15) estudiantes por salón responde a la obligación del Gobierno y del DEPR de garantizar ambientes seguros, adecuados y efectivos para la enseñanza y el aprendizaje.</w:t>
      </w:r>
    </w:p>
    <w:p w14:paraId="559BDAAE" w14:textId="0DDBA152" w:rsidR="00FB1B9E" w:rsidRPr="00FB1B9E" w:rsidRDefault="00FB1B9E" w:rsidP="00FB1B9E">
      <w:pPr>
        <w:spacing w:before="100" w:beforeAutospacing="1" w:after="100" w:afterAutospacing="1"/>
        <w:ind w:firstLine="720"/>
        <w:jc w:val="both"/>
        <w:rPr>
          <w:rFonts w:ascii="Book Antiqua" w:hAnsi="Book Antiqua"/>
          <w:szCs w:val="24"/>
          <w:lang w:val="es-PR"/>
        </w:rPr>
      </w:pPr>
      <w:r w:rsidRPr="00FB1B9E">
        <w:rPr>
          <w:rFonts w:ascii="Book Antiqua" w:hAnsi="Book Antiqua"/>
          <w:szCs w:val="24"/>
          <w:lang w:val="es-PR"/>
        </w:rPr>
        <w:t>La organización subrayó que los grupos pequeños son fundamentales para atender el rezago académico</w:t>
      </w:r>
      <w:r>
        <w:rPr>
          <w:rFonts w:ascii="Book Antiqua" w:hAnsi="Book Antiqua"/>
          <w:szCs w:val="24"/>
          <w:lang w:val="es-PR"/>
        </w:rPr>
        <w:t xml:space="preserve">, </w:t>
      </w:r>
      <w:r w:rsidRPr="00FB1B9E">
        <w:rPr>
          <w:rFonts w:ascii="Book Antiqua" w:hAnsi="Book Antiqua"/>
          <w:szCs w:val="24"/>
          <w:lang w:val="es-PR"/>
        </w:rPr>
        <w:t>particularmente aquel incrementado tras la pandemia</w:t>
      </w:r>
      <w:r>
        <w:rPr>
          <w:rFonts w:ascii="Book Antiqua" w:hAnsi="Book Antiqua"/>
          <w:szCs w:val="24"/>
          <w:lang w:val="es-PR"/>
        </w:rPr>
        <w:t>,</w:t>
      </w:r>
      <w:r w:rsidRPr="00FB1B9E">
        <w:rPr>
          <w:rFonts w:ascii="Book Antiqua" w:hAnsi="Book Antiqua"/>
          <w:szCs w:val="24"/>
          <w:lang w:val="es-PR"/>
        </w:rPr>
        <w:t xml:space="preserve"> y coincidió plenamente con la exposición de motivos del proyecto, que fundamenta la medida mediante ejemplos de otras jurisdicciones donde la reducción del tamaño de grupo ha demostrado beneficios significativos.</w:t>
      </w:r>
    </w:p>
    <w:p w14:paraId="57211BC1" w14:textId="77777777" w:rsidR="00FB1B9E" w:rsidRDefault="00FB1B9E" w:rsidP="00FB1B9E">
      <w:pPr>
        <w:spacing w:before="100" w:beforeAutospacing="1" w:after="100" w:afterAutospacing="1"/>
        <w:ind w:firstLine="720"/>
        <w:jc w:val="both"/>
        <w:rPr>
          <w:rFonts w:ascii="Book Antiqua" w:hAnsi="Book Antiqua"/>
          <w:szCs w:val="24"/>
          <w:lang w:val="es-PR"/>
        </w:rPr>
      </w:pPr>
      <w:r w:rsidRPr="00FB1B9E">
        <w:rPr>
          <w:rFonts w:ascii="Book Antiqua" w:hAnsi="Book Antiqua"/>
          <w:szCs w:val="24"/>
          <w:lang w:val="es-PR"/>
        </w:rPr>
        <w:t>La AMPR expresó que este proyecto constituye “el único camino responsable” para iniciar la reestructuración necesaria del Departamento de Educación, mejorar la enseñanza individualizada, evitar cierres de escuelas y abrir oportunidades para la contratación de maestros excedentes. Reiteró su apoyo absoluto al proyecto y manifestó su compromiso con toda medida que fortalezca la educación pública y el desarrollo integral del estudiantado y del magisterio.</w:t>
      </w:r>
    </w:p>
    <w:p w14:paraId="78826F5E" w14:textId="77777777" w:rsidR="00FB1B9E" w:rsidRPr="00FB1B9E" w:rsidRDefault="00FB1B9E" w:rsidP="00FB1B9E">
      <w:pPr>
        <w:spacing w:before="100" w:beforeAutospacing="1" w:after="100" w:afterAutospacing="1"/>
        <w:ind w:firstLine="720"/>
        <w:jc w:val="both"/>
        <w:rPr>
          <w:rFonts w:ascii="Book Antiqua" w:hAnsi="Book Antiqua"/>
          <w:szCs w:val="24"/>
          <w:lang w:val="es-PR"/>
        </w:rPr>
      </w:pPr>
    </w:p>
    <w:p w14:paraId="58C9D2E6" w14:textId="47B2A0FF" w:rsidR="002E61B9" w:rsidRDefault="00CD678A" w:rsidP="00900985">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MICHAEL RODRÍGUEZ,</w:t>
      </w:r>
      <w:r w:rsidR="002E61B9">
        <w:rPr>
          <w:rFonts w:ascii="Book Antiqua" w:hAnsi="Book Antiqua"/>
          <w:b/>
          <w:bCs/>
          <w:szCs w:val="24"/>
          <w:lang w:val="es-PR"/>
        </w:rPr>
        <w:t xml:space="preserve"> ESTUDIANTE</w:t>
      </w:r>
      <w:r>
        <w:rPr>
          <w:rFonts w:ascii="Book Antiqua" w:hAnsi="Book Antiqua"/>
          <w:b/>
          <w:bCs/>
          <w:szCs w:val="24"/>
          <w:lang w:val="es-PR"/>
        </w:rPr>
        <w:t xml:space="preserve"> DUODÉCIMO GRADO</w:t>
      </w:r>
    </w:p>
    <w:p w14:paraId="164C27D1" w14:textId="77777777" w:rsidR="006210DA" w:rsidRPr="006210DA" w:rsidRDefault="006210DA" w:rsidP="006210DA">
      <w:pPr>
        <w:spacing w:before="100" w:beforeAutospacing="1" w:after="100" w:afterAutospacing="1"/>
        <w:ind w:firstLine="720"/>
        <w:jc w:val="both"/>
        <w:rPr>
          <w:rFonts w:ascii="Book Antiqua" w:hAnsi="Book Antiqua"/>
          <w:szCs w:val="24"/>
          <w:lang w:val="es-PR"/>
        </w:rPr>
      </w:pPr>
      <w:r w:rsidRPr="006210DA">
        <w:rPr>
          <w:rFonts w:ascii="Book Antiqua" w:hAnsi="Book Antiqua"/>
          <w:szCs w:val="24"/>
          <w:lang w:val="es-PR"/>
        </w:rPr>
        <w:t xml:space="preserve">Michael Rodríguez, estudiante de duodécimo grado del sistema de educación pública y residente del municipio de Guánica, presentó comentarios en apoyo al P. de la </w:t>
      </w:r>
      <w:r w:rsidRPr="006210DA">
        <w:rPr>
          <w:rFonts w:ascii="Book Antiqua" w:hAnsi="Book Antiqua"/>
          <w:szCs w:val="24"/>
          <w:lang w:val="es-PR"/>
        </w:rPr>
        <w:lastRenderedPageBreak/>
        <w:t>C. 258, aportando una perspectiva directa desde el salón de clases. Señaló que la educación es un derecho fundamental y que los grupos pequeños son esenciales para un aprendizaje efectivo, especialmente para estudiantes del Programa de Educación Especial, quienes actualmente no reciben la atención individualizada que requieren debido a la sobrepoblación en las aulas.</w:t>
      </w:r>
    </w:p>
    <w:p w14:paraId="02A04A55" w14:textId="77777777" w:rsidR="006210DA" w:rsidRPr="006210DA" w:rsidRDefault="006210DA" w:rsidP="006210DA">
      <w:pPr>
        <w:spacing w:before="100" w:beforeAutospacing="1" w:after="100" w:afterAutospacing="1"/>
        <w:ind w:firstLine="720"/>
        <w:jc w:val="both"/>
        <w:rPr>
          <w:rFonts w:ascii="Book Antiqua" w:hAnsi="Book Antiqua"/>
          <w:szCs w:val="24"/>
          <w:lang w:val="es-PR"/>
        </w:rPr>
      </w:pPr>
      <w:r w:rsidRPr="006210DA">
        <w:rPr>
          <w:rFonts w:ascii="Book Antiqua" w:hAnsi="Book Antiqua"/>
          <w:szCs w:val="24"/>
          <w:lang w:val="es-PR"/>
        </w:rPr>
        <w:t>El estudiante destacó la creciente carga laboral que enfrentan los maestros, quienes deben asumir múltiples responsabilidades administrativas y operacionales sin el apoyo adecuado, lo cual afecta su bienestar y repercute directamente en el aprovechamiento académico. Además, expresó preocupación por los cierres de escuelas basados únicamente en la baja matrícula, señalando que estas decisiones no atienden las causas sociales subyacentes y, en cambio, provocan la concentración de más estudiantes en menos espacios.</w:t>
      </w:r>
    </w:p>
    <w:p w14:paraId="5A504457" w14:textId="77777777" w:rsidR="006210DA" w:rsidRPr="006210DA" w:rsidRDefault="006210DA" w:rsidP="006210DA">
      <w:pPr>
        <w:spacing w:before="100" w:beforeAutospacing="1" w:after="100" w:afterAutospacing="1"/>
        <w:ind w:firstLine="720"/>
        <w:jc w:val="both"/>
        <w:rPr>
          <w:rFonts w:ascii="Book Antiqua" w:hAnsi="Book Antiqua"/>
          <w:szCs w:val="24"/>
          <w:lang w:val="es-PR"/>
        </w:rPr>
      </w:pPr>
      <w:r w:rsidRPr="006210DA">
        <w:rPr>
          <w:rFonts w:ascii="Book Antiqua" w:hAnsi="Book Antiqua"/>
          <w:szCs w:val="24"/>
          <w:lang w:val="es-PR"/>
        </w:rPr>
        <w:t>Rodríguez exhortó a esta Honorable Comisión de Educación a escuchar no solo a las organizaciones magisteriales, sino también a las voces del estudiantado que vive diariamente las realidades del sistema. Solicitó que se priorice la formación, el bienestar y el futuro de la juventud puertorriqueña mediante políticas públicas responsables como la que propone el P. de la C. 258.</w:t>
      </w:r>
    </w:p>
    <w:p w14:paraId="3D29487C" w14:textId="3BB6BE06" w:rsidR="002E61B9" w:rsidRDefault="002E61B9" w:rsidP="00900985">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EDUCADORES PUETORRIQUEÑOS EN ACCION, INC.</w:t>
      </w:r>
    </w:p>
    <w:p w14:paraId="4B3171F9" w14:textId="77777777" w:rsidR="006210DA" w:rsidRPr="006210DA" w:rsidRDefault="006210DA" w:rsidP="006210DA">
      <w:pPr>
        <w:spacing w:before="100" w:beforeAutospacing="1" w:after="100" w:afterAutospacing="1"/>
        <w:ind w:firstLine="720"/>
        <w:jc w:val="both"/>
        <w:rPr>
          <w:rFonts w:ascii="Book Antiqua" w:hAnsi="Book Antiqua"/>
          <w:szCs w:val="24"/>
          <w:lang w:val="es-PR"/>
        </w:rPr>
      </w:pPr>
      <w:r w:rsidRPr="006210DA">
        <w:rPr>
          <w:rFonts w:ascii="Book Antiqua" w:hAnsi="Book Antiqua"/>
          <w:szCs w:val="24"/>
          <w:lang w:val="es-PR"/>
        </w:rPr>
        <w:t xml:space="preserve">La organización Educadores Puertorriqueños en Acción, Inc. (EPA), representada por su </w:t>
      </w:r>
      <w:proofErr w:type="gramStart"/>
      <w:r w:rsidRPr="006210DA">
        <w:rPr>
          <w:rFonts w:ascii="Book Antiqua" w:hAnsi="Book Antiqua"/>
          <w:szCs w:val="24"/>
          <w:lang w:val="es-PR"/>
        </w:rPr>
        <w:t>Director Ejecutivo</w:t>
      </w:r>
      <w:proofErr w:type="gramEnd"/>
      <w:r w:rsidRPr="006210DA">
        <w:rPr>
          <w:rFonts w:ascii="Book Antiqua" w:hAnsi="Book Antiqua"/>
          <w:szCs w:val="24"/>
          <w:lang w:val="es-PR"/>
        </w:rPr>
        <w:t>, Prof. Domingo Madera Ruiz, presentó su análisis sobre el P. de la C. 258. EPA reconoció que la matrícula del sistema público ha disminuido por factores como la baja natalidad, la migración y el establecimiento de Escuelas Alianza, las cuales, pese a recibir la mayor parte de los fondos públicos asignados a la educación, impactan la matrícula del sistema tradicional del Departamento de Educación.</w:t>
      </w:r>
    </w:p>
    <w:p w14:paraId="42EE4635" w14:textId="77777777" w:rsidR="006210DA" w:rsidRPr="006210DA" w:rsidRDefault="006210DA" w:rsidP="006210DA">
      <w:pPr>
        <w:spacing w:before="100" w:beforeAutospacing="1" w:after="100" w:afterAutospacing="1"/>
        <w:ind w:firstLine="720"/>
        <w:jc w:val="both"/>
        <w:rPr>
          <w:rFonts w:ascii="Book Antiqua" w:hAnsi="Book Antiqua"/>
          <w:szCs w:val="24"/>
          <w:lang w:val="es-PR"/>
        </w:rPr>
      </w:pPr>
      <w:r w:rsidRPr="006210DA">
        <w:rPr>
          <w:rFonts w:ascii="Book Antiqua" w:hAnsi="Book Antiqua"/>
          <w:szCs w:val="24"/>
          <w:lang w:val="es-PR"/>
        </w:rPr>
        <w:t>La organización coincidió en que los grupos reducidos benefician el proceso de enseñanza al facilitar una atención más individualizada. Sin embargo, advirtió que un límite estricto de quince (15) estudiantes podría generar problemas operacionales y presupuestarios. Señaló que situaciones como la llegada de dieciséis (16) estudiantes a un mismo grado obligarían a decidir entre crear un nuevo grupo con matrícula insuficiente, nombrar un maestro adicional o rechazar el ingreso de un estudiante, generando una carga adicional para los planteles.</w:t>
      </w:r>
    </w:p>
    <w:p w14:paraId="4A08368C" w14:textId="77777777" w:rsidR="006210DA" w:rsidRPr="006210DA" w:rsidRDefault="006210DA" w:rsidP="006210DA">
      <w:pPr>
        <w:spacing w:before="100" w:beforeAutospacing="1" w:after="100" w:afterAutospacing="1"/>
        <w:ind w:firstLine="720"/>
        <w:jc w:val="both"/>
        <w:rPr>
          <w:rFonts w:ascii="Book Antiqua" w:hAnsi="Book Antiqua"/>
          <w:szCs w:val="24"/>
          <w:lang w:val="es-PR"/>
        </w:rPr>
      </w:pPr>
      <w:r w:rsidRPr="006210DA">
        <w:rPr>
          <w:rFonts w:ascii="Book Antiqua" w:hAnsi="Book Antiqua"/>
          <w:szCs w:val="24"/>
          <w:lang w:val="es-PR"/>
        </w:rPr>
        <w:t>En virtud de estas consideraciones, EPA recomendó establecer un rango flexible de quince (15) a veinte (20) estudiantes por salón, afirmando que dicho margen refleja la realidad de los planteles y permitiría manejar con mayor eficacia las fluctuaciones de matrícula sin sacrificar la calidad de la enseñanza.</w:t>
      </w:r>
    </w:p>
    <w:p w14:paraId="382163CA" w14:textId="77777777" w:rsidR="006210DA" w:rsidRPr="006210DA" w:rsidRDefault="006210DA" w:rsidP="006210DA">
      <w:pPr>
        <w:spacing w:before="100" w:beforeAutospacing="1" w:after="100" w:afterAutospacing="1"/>
        <w:ind w:firstLine="720"/>
        <w:jc w:val="both"/>
        <w:rPr>
          <w:rFonts w:ascii="Book Antiqua" w:hAnsi="Book Antiqua"/>
          <w:szCs w:val="24"/>
          <w:lang w:val="es-PR"/>
        </w:rPr>
      </w:pPr>
      <w:r w:rsidRPr="006210DA">
        <w:rPr>
          <w:rFonts w:ascii="Book Antiqua" w:hAnsi="Book Antiqua"/>
          <w:szCs w:val="24"/>
          <w:lang w:val="es-PR"/>
        </w:rPr>
        <w:t>La organización reiteró su respeto y su disponibilidad para continuar colaborando con esta Comisión en el análisis e implantación de políticas que fortalezcan el sistema educativo del país.</w:t>
      </w:r>
    </w:p>
    <w:p w14:paraId="43B94DCF" w14:textId="77777777" w:rsidR="00900985" w:rsidRDefault="00900985" w:rsidP="00B127A7">
      <w:pPr>
        <w:spacing w:before="100" w:beforeAutospacing="1" w:after="100" w:afterAutospacing="1"/>
        <w:jc w:val="center"/>
        <w:rPr>
          <w:rFonts w:ascii="Book Antiqua" w:hAnsi="Book Antiqua"/>
          <w:b/>
          <w:bCs/>
          <w:szCs w:val="24"/>
          <w:lang w:val="es-PR"/>
        </w:rPr>
      </w:pPr>
    </w:p>
    <w:p w14:paraId="08C63446" w14:textId="317DD74C" w:rsidR="000871B0" w:rsidRPr="000871B0" w:rsidRDefault="000871B0" w:rsidP="00B127A7">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1A44C773" w14:textId="635ACCAA" w:rsidR="00C745B8" w:rsidRDefault="000871B0" w:rsidP="008D55E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961432">
        <w:rPr>
          <w:rFonts w:ascii="Book Antiqua" w:hAnsi="Book Antiqua"/>
          <w:szCs w:val="24"/>
          <w:lang w:val="es-PR"/>
        </w:rPr>
        <w:tab/>
      </w: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w:t>
      </w:r>
      <w:r w:rsidR="00CA5444">
        <w:rPr>
          <w:rFonts w:ascii="Book Antiqua" w:hAnsi="Book Antiqua"/>
          <w:szCs w:val="24"/>
          <w:lang w:val="es-PR"/>
        </w:rPr>
        <w:t xml:space="preserve"> </w:t>
      </w:r>
      <w:r w:rsidR="002239E3">
        <w:rPr>
          <w:rFonts w:ascii="Book Antiqua" w:hAnsi="Book Antiqua"/>
          <w:szCs w:val="24"/>
          <w:lang w:val="es-PR"/>
        </w:rPr>
        <w:t xml:space="preserve">no </w:t>
      </w:r>
      <w:r w:rsidRPr="000871B0">
        <w:rPr>
          <w:rFonts w:ascii="Book Antiqua" w:hAnsi="Book Antiqua"/>
          <w:szCs w:val="24"/>
          <w:lang w:val="es-PR"/>
        </w:rPr>
        <w:t xml:space="preserve">tendrá un impacto fiscal significativo en los presupuestos de las agencias, departamentos, organismos, instrumentalidades o corporaciones públicas </w:t>
      </w:r>
      <w:r w:rsidR="002239E3">
        <w:rPr>
          <w:rFonts w:ascii="Book Antiqua" w:hAnsi="Book Antiqua"/>
          <w:szCs w:val="24"/>
          <w:lang w:val="es-PR"/>
        </w:rPr>
        <w:t xml:space="preserve">que </w:t>
      </w:r>
      <w:r w:rsidR="008035D8">
        <w:rPr>
          <w:rFonts w:ascii="Book Antiqua" w:hAnsi="Book Antiqua"/>
          <w:szCs w:val="24"/>
          <w:lang w:val="es-PR"/>
        </w:rPr>
        <w:t>requier</w:t>
      </w:r>
      <w:r w:rsidR="002239E3">
        <w:rPr>
          <w:rFonts w:ascii="Book Antiqua" w:hAnsi="Book Antiqua"/>
          <w:szCs w:val="24"/>
          <w:lang w:val="es-PR"/>
        </w:rPr>
        <w:t>a</w:t>
      </w:r>
      <w:r w:rsidR="008035D8">
        <w:rPr>
          <w:rFonts w:ascii="Book Antiqua" w:hAnsi="Book Antiqua"/>
          <w:szCs w:val="24"/>
          <w:lang w:val="es-PR"/>
        </w:rPr>
        <w:t xml:space="preserve"> </w:t>
      </w:r>
      <w:r w:rsidRPr="000871B0">
        <w:rPr>
          <w:rFonts w:ascii="Book Antiqua" w:hAnsi="Book Antiqua"/>
          <w:szCs w:val="24"/>
          <w:lang w:val="es-PR"/>
        </w:rPr>
        <w:t>certificación de la Oficina de Gerencia y Presupuesto</w:t>
      </w:r>
      <w:r w:rsidR="00FB1B9E">
        <w:rPr>
          <w:rFonts w:ascii="Book Antiqua" w:hAnsi="Book Antiqua"/>
          <w:szCs w:val="24"/>
          <w:lang w:val="es-PR"/>
        </w:rPr>
        <w:t xml:space="preserve"> OGP)</w:t>
      </w:r>
      <w:r w:rsidRPr="000871B0">
        <w:rPr>
          <w:rFonts w:ascii="Book Antiqua" w:hAnsi="Book Antiqua"/>
          <w:szCs w:val="24"/>
          <w:lang w:val="es-PR"/>
        </w:rPr>
        <w:t>.</w:t>
      </w:r>
    </w:p>
    <w:p w14:paraId="76743C39" w14:textId="77777777" w:rsidR="00FB1B9E" w:rsidRPr="00FB1B9E" w:rsidRDefault="00FB1B9E" w:rsidP="00FB1B9E">
      <w:pPr>
        <w:spacing w:before="100" w:beforeAutospacing="1" w:after="100" w:afterAutospacing="1"/>
        <w:ind w:firstLine="720"/>
        <w:jc w:val="both"/>
        <w:rPr>
          <w:rFonts w:ascii="Book Antiqua" w:hAnsi="Book Antiqua"/>
          <w:szCs w:val="24"/>
          <w:lang w:val="es-PR"/>
        </w:rPr>
      </w:pPr>
      <w:r w:rsidRPr="00FB1B9E">
        <w:rPr>
          <w:rFonts w:ascii="Book Antiqua" w:hAnsi="Book Antiqua"/>
          <w:szCs w:val="24"/>
          <w:lang w:val="es-PR"/>
        </w:rPr>
        <w:t>Si bien el Departamento de Educación y algunas organizaciones resaltaron que la eventual implantación de un límite estricto de quince (15) estudiantes por salón podría conllevar ajustes operacionales, contratación de personal adicional o reorganización de instalaciones, dichas consideraciones están sujetas a fases ulteriores de planificación, reglamentación e implementación. No constituyen, por sí mismas, una erogación inmediata ni un efecto fiscal directo atribuible a la aprobación de esta medida legislativa.</w:t>
      </w:r>
    </w:p>
    <w:p w14:paraId="2A7CAB35" w14:textId="5FBA4478" w:rsidR="00FB1B9E" w:rsidRPr="008D55E0" w:rsidRDefault="00FB1B9E" w:rsidP="00FB1B9E">
      <w:pPr>
        <w:spacing w:before="100" w:beforeAutospacing="1" w:after="100" w:afterAutospacing="1"/>
        <w:ind w:firstLine="720"/>
        <w:jc w:val="both"/>
        <w:rPr>
          <w:rFonts w:ascii="Book Antiqua" w:hAnsi="Book Antiqua"/>
          <w:szCs w:val="24"/>
          <w:lang w:val="es-PR"/>
        </w:rPr>
      </w:pPr>
      <w:r w:rsidRPr="00FB1B9E">
        <w:rPr>
          <w:rFonts w:ascii="Book Antiqua" w:hAnsi="Book Antiqua"/>
          <w:szCs w:val="24"/>
          <w:lang w:val="es-PR"/>
        </w:rPr>
        <w:t>Además, se observa que la continua reducción en matrícula</w:t>
      </w:r>
      <w:r>
        <w:rPr>
          <w:rFonts w:ascii="Book Antiqua" w:hAnsi="Book Antiqua"/>
          <w:szCs w:val="24"/>
          <w:lang w:val="es-PR"/>
        </w:rPr>
        <w:t xml:space="preserve">, </w:t>
      </w:r>
      <w:r w:rsidRPr="00FB1B9E">
        <w:rPr>
          <w:rFonts w:ascii="Book Antiqua" w:hAnsi="Book Antiqua"/>
          <w:szCs w:val="24"/>
          <w:lang w:val="es-PR"/>
        </w:rPr>
        <w:t>documentada por el propio Departamento</w:t>
      </w:r>
      <w:r>
        <w:rPr>
          <w:rFonts w:ascii="Book Antiqua" w:hAnsi="Book Antiqua"/>
          <w:szCs w:val="24"/>
          <w:lang w:val="es-PR"/>
        </w:rPr>
        <w:t>,</w:t>
      </w:r>
      <w:r w:rsidRPr="00FB1B9E">
        <w:rPr>
          <w:rFonts w:ascii="Book Antiqua" w:hAnsi="Book Antiqua"/>
          <w:szCs w:val="24"/>
          <w:lang w:val="es-PR"/>
        </w:rPr>
        <w:t xml:space="preserve"> ha generado una disminución orgánica en la cantidad de estudiantes por salón, lo que mitigaría potenciales costos y facilitaría una implantación gradual. En consecuencia, esta Comisión concluye que el proyecto, en su forma aprobada, no implica una obligación fiscal inmediata que amerite certificación de impacto por parte de OGP.</w:t>
      </w:r>
    </w:p>
    <w:p w14:paraId="5A7F1EA8" w14:textId="3F256FF4" w:rsidR="0053167D" w:rsidRDefault="0076334C" w:rsidP="0053167D">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4AF23AB9" w14:textId="3CB0699C" w:rsidR="00FB1B9E" w:rsidRPr="00FB1B9E" w:rsidRDefault="00FB1B9E" w:rsidP="00FB1B9E">
      <w:pPr>
        <w:spacing w:before="100" w:beforeAutospacing="1" w:after="100" w:afterAutospacing="1"/>
        <w:ind w:firstLine="720"/>
        <w:jc w:val="both"/>
        <w:rPr>
          <w:rFonts w:ascii="Book Antiqua" w:hAnsi="Book Antiqua"/>
          <w:color w:val="000000" w:themeColor="text1"/>
          <w:lang w:val="es-PR"/>
        </w:rPr>
      </w:pPr>
      <w:r w:rsidRPr="00FB1B9E">
        <w:rPr>
          <w:rFonts w:ascii="Book Antiqua" w:hAnsi="Book Antiqua"/>
          <w:color w:val="000000" w:themeColor="text1"/>
          <w:lang w:val="es-PR"/>
        </w:rPr>
        <w:t>La Comisión de Educación</w:t>
      </w:r>
      <w:r>
        <w:rPr>
          <w:rFonts w:ascii="Book Antiqua" w:hAnsi="Book Antiqua"/>
          <w:color w:val="000000" w:themeColor="text1"/>
          <w:lang w:val="es-PR"/>
        </w:rPr>
        <w:t xml:space="preserve"> de la Cámara de Representantes</w:t>
      </w:r>
      <w:r w:rsidRPr="00FB1B9E">
        <w:rPr>
          <w:rFonts w:ascii="Book Antiqua" w:hAnsi="Book Antiqua"/>
          <w:color w:val="000000" w:themeColor="text1"/>
          <w:lang w:val="es-PR"/>
        </w:rPr>
        <w:t>, luego de evaluar íntegramente las comunicaciones recibidas, determina que existe consenso general sobre la importancia de reducir el tamaño de los grupos en los salones de clases como estrategia para fortalecer el proceso educativo, promover la atención individualizada y mejorar el aprovechamiento académico del estudiantado, particularmente de aquel que forma parte del Programa de Educación Especial.</w:t>
      </w:r>
    </w:p>
    <w:p w14:paraId="49C3B18F" w14:textId="77777777" w:rsidR="00FB1B9E" w:rsidRPr="00FB1B9E" w:rsidRDefault="00FB1B9E" w:rsidP="00FB1B9E">
      <w:pPr>
        <w:spacing w:before="100" w:beforeAutospacing="1" w:after="100" w:afterAutospacing="1"/>
        <w:ind w:firstLine="720"/>
        <w:jc w:val="both"/>
        <w:rPr>
          <w:rFonts w:ascii="Book Antiqua" w:hAnsi="Book Antiqua"/>
          <w:color w:val="000000" w:themeColor="text1"/>
          <w:lang w:val="es-PR"/>
        </w:rPr>
      </w:pPr>
      <w:r w:rsidRPr="00FB1B9E">
        <w:rPr>
          <w:rFonts w:ascii="Book Antiqua" w:hAnsi="Book Antiqua"/>
          <w:color w:val="000000" w:themeColor="text1"/>
          <w:lang w:val="es-PR"/>
        </w:rPr>
        <w:t>La Asociación de Maestros de Puerto Rico y el estudiante compareciente expresaron su apoyo firme y categórico a que se establezca un máximo de quince (15) estudiantes por salón, subrayando los beneficios pedagógicos, sociales y emocionales de este modelo y la necesidad de atender el rezago académico acumulado tras la pandemia. Ambas comparecencias resaltan, además, la importancia de garantizar condiciones adecuadas y seguras tanto para los estudiantes como para el personal docente.</w:t>
      </w:r>
    </w:p>
    <w:p w14:paraId="257750AD" w14:textId="77777777" w:rsidR="00900985" w:rsidRDefault="00FB1B9E" w:rsidP="00900985">
      <w:pPr>
        <w:spacing w:before="100" w:beforeAutospacing="1" w:after="100" w:afterAutospacing="1"/>
        <w:ind w:firstLine="720"/>
        <w:jc w:val="both"/>
        <w:rPr>
          <w:rFonts w:ascii="Book Antiqua" w:hAnsi="Book Antiqua"/>
          <w:color w:val="000000" w:themeColor="text1"/>
          <w:lang w:val="es-PR"/>
        </w:rPr>
      </w:pPr>
      <w:r w:rsidRPr="00FB1B9E">
        <w:rPr>
          <w:rFonts w:ascii="Book Antiqua" w:hAnsi="Book Antiqua"/>
          <w:color w:val="000000" w:themeColor="text1"/>
          <w:lang w:val="es-PR"/>
        </w:rPr>
        <w:t xml:space="preserve">Por su parte, el Departamento de Educación y la organización Educadores Puertorriqueños en Acción reconocen los méritos de la medida, al tiempo que señalan la existencia de limitaciones operacionales, fiscales y estructurales que deberán ser consideradas en el proceso de implantación. Ambas entidades recomiendan que la política pública se adopte de manera gradual, tomando en cuenta la infraestructura existente, la variabilidad de la matrícula y la necesidad de flexibilidad administrativa </w:t>
      </w:r>
      <w:r w:rsidRPr="00FB1B9E">
        <w:rPr>
          <w:rFonts w:ascii="Book Antiqua" w:hAnsi="Book Antiqua"/>
          <w:color w:val="000000" w:themeColor="text1"/>
          <w:lang w:val="es-PR"/>
        </w:rPr>
        <w:lastRenderedPageBreak/>
        <w:t>para evitar exclusiones involuntarias de estudiantes o duplicación innecesaria de recursos.</w:t>
      </w:r>
    </w:p>
    <w:p w14:paraId="0CC34599" w14:textId="77777777" w:rsidR="00900985" w:rsidRDefault="00FB1B9E" w:rsidP="00900985">
      <w:pPr>
        <w:spacing w:before="100" w:beforeAutospacing="1" w:after="100" w:afterAutospacing="1"/>
        <w:ind w:firstLine="720"/>
        <w:jc w:val="both"/>
        <w:rPr>
          <w:rFonts w:ascii="Book Antiqua" w:hAnsi="Book Antiqua"/>
          <w:color w:val="000000" w:themeColor="text1"/>
          <w:lang w:val="es-PR"/>
        </w:rPr>
      </w:pPr>
      <w:r w:rsidRPr="00FB1B9E">
        <w:rPr>
          <w:rFonts w:ascii="Book Antiqua" w:hAnsi="Book Antiqua"/>
          <w:color w:val="000000" w:themeColor="text1"/>
          <w:lang w:val="es-PR"/>
        </w:rPr>
        <w:t xml:space="preserve">En conjunto, las ponencias recibidas coinciden en que la reducción del tamaño de los salones constituye un paso afirmativo hacia la mejora del sistema educativo público. La divergencia radica únicamente en el diseño e implementación del mecanismo, aspectos que podrán atenderse mediante la reglamentación correspondiente y mediante una planificación </w:t>
      </w:r>
      <w:proofErr w:type="spellStart"/>
      <w:r w:rsidRPr="00FB1B9E">
        <w:rPr>
          <w:rFonts w:ascii="Book Antiqua" w:hAnsi="Book Antiqua"/>
          <w:color w:val="000000" w:themeColor="text1"/>
          <w:lang w:val="es-PR"/>
        </w:rPr>
        <w:t>interagencial</w:t>
      </w:r>
      <w:proofErr w:type="spellEnd"/>
      <w:r w:rsidRPr="00FB1B9E">
        <w:rPr>
          <w:rFonts w:ascii="Book Antiqua" w:hAnsi="Book Antiqua"/>
          <w:color w:val="000000" w:themeColor="text1"/>
          <w:lang w:val="es-PR"/>
        </w:rPr>
        <w:t xml:space="preserve"> responsable.</w:t>
      </w:r>
    </w:p>
    <w:p w14:paraId="5F9D26B2" w14:textId="29A839E9" w:rsidR="00FB1B9E" w:rsidRPr="00FB1B9E" w:rsidRDefault="00FB1B9E" w:rsidP="00900985">
      <w:pPr>
        <w:spacing w:before="100" w:beforeAutospacing="1" w:after="100" w:afterAutospacing="1"/>
        <w:ind w:firstLine="720"/>
        <w:jc w:val="both"/>
        <w:rPr>
          <w:rFonts w:ascii="Book Antiqua" w:hAnsi="Book Antiqua"/>
          <w:color w:val="000000" w:themeColor="text1"/>
          <w:lang w:val="es-PR"/>
        </w:rPr>
      </w:pPr>
      <w:r w:rsidRPr="00FB1B9E">
        <w:rPr>
          <w:rFonts w:ascii="Book Antiqua" w:hAnsi="Book Antiqua"/>
          <w:b/>
          <w:bCs/>
          <w:color w:val="000000" w:themeColor="text1"/>
          <w:lang w:val="es-PR"/>
        </w:rPr>
        <w:t>POR LO ANTES EXPUESTO</w:t>
      </w:r>
      <w:r w:rsidRPr="00FB1B9E">
        <w:rPr>
          <w:rFonts w:ascii="Book Antiqua" w:hAnsi="Book Antiqua"/>
          <w:color w:val="000000" w:themeColor="text1"/>
          <w:lang w:val="es-PR"/>
        </w:rPr>
        <w:t>, esta Comisión de Educación</w:t>
      </w:r>
      <w:r w:rsidR="00B427F3">
        <w:rPr>
          <w:rFonts w:ascii="Book Antiqua" w:hAnsi="Book Antiqua"/>
          <w:color w:val="000000" w:themeColor="text1"/>
          <w:lang w:val="es-PR"/>
        </w:rPr>
        <w:t xml:space="preserve"> de la Cámara de Representantes</w:t>
      </w:r>
      <w:r w:rsidRPr="00FB1B9E">
        <w:rPr>
          <w:rFonts w:ascii="Book Antiqua" w:hAnsi="Book Antiqua"/>
          <w:color w:val="000000" w:themeColor="text1"/>
          <w:lang w:val="es-PR"/>
        </w:rPr>
        <w:t xml:space="preserve"> recomienda la aprobación del P. de la C. 258, incorporando las enmiendas sugeridas </w:t>
      </w:r>
      <w:r w:rsidR="00607EBD">
        <w:rPr>
          <w:rFonts w:ascii="Book Antiqua" w:hAnsi="Book Antiqua"/>
          <w:color w:val="000000" w:themeColor="text1"/>
          <w:lang w:val="es-PR"/>
        </w:rPr>
        <w:t xml:space="preserve">al título y contenido </w:t>
      </w:r>
      <w:r w:rsidRPr="00FB1B9E">
        <w:rPr>
          <w:rFonts w:ascii="Book Antiqua" w:hAnsi="Book Antiqua"/>
          <w:color w:val="000000" w:themeColor="text1"/>
          <w:lang w:val="es-PR"/>
        </w:rPr>
        <w:t xml:space="preserve">en el </w:t>
      </w:r>
      <w:proofErr w:type="spellStart"/>
      <w:r w:rsidRPr="00FB1B9E">
        <w:rPr>
          <w:rFonts w:ascii="Book Antiqua" w:hAnsi="Book Antiqua"/>
          <w:color w:val="000000" w:themeColor="text1"/>
          <w:lang w:val="es-PR"/>
        </w:rPr>
        <w:t>entirillado</w:t>
      </w:r>
      <w:proofErr w:type="spellEnd"/>
      <w:r w:rsidRPr="00FB1B9E">
        <w:rPr>
          <w:rFonts w:ascii="Book Antiqua" w:hAnsi="Book Antiqua"/>
          <w:color w:val="000000" w:themeColor="text1"/>
          <w:lang w:val="es-PR"/>
        </w:rPr>
        <w:t xml:space="preserve"> electrónico que acompaña este Informe</w:t>
      </w:r>
      <w:r w:rsidR="00607EBD">
        <w:rPr>
          <w:rFonts w:ascii="Book Antiqua" w:hAnsi="Book Antiqua"/>
          <w:color w:val="000000" w:themeColor="text1"/>
          <w:lang w:val="es-PR"/>
        </w:rPr>
        <w:t xml:space="preserve"> Positivo</w:t>
      </w:r>
      <w:r w:rsidRPr="00FB1B9E">
        <w:rPr>
          <w:rFonts w:ascii="Book Antiqua" w:hAnsi="Book Antiqua"/>
          <w:color w:val="000000" w:themeColor="text1"/>
          <w:lang w:val="es-PR"/>
        </w:rPr>
        <w:t>. La Comisión destaca que, con una implantación adecuada y progresiva, esta medida contribuirá de manera significativa al fortalecimiento de la educación pública en Puerto Rico.</w:t>
      </w: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36B96" w14:textId="77777777" w:rsidR="000130AA" w:rsidRDefault="000130AA">
      <w:r>
        <w:separator/>
      </w:r>
    </w:p>
  </w:endnote>
  <w:endnote w:type="continuationSeparator" w:id="0">
    <w:p w14:paraId="78B738B9" w14:textId="77777777" w:rsidR="000130AA" w:rsidRDefault="00013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0B960" w14:textId="77777777" w:rsidR="000130AA" w:rsidRDefault="000130AA">
      <w:r>
        <w:separator/>
      </w:r>
    </w:p>
  </w:footnote>
  <w:footnote w:type="continuationSeparator" w:id="0">
    <w:p w14:paraId="215C4A10" w14:textId="77777777" w:rsidR="000130AA" w:rsidRDefault="00013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05F23" w14:textId="77777777" w:rsidR="00C422FB" w:rsidRPr="00C1650E" w:rsidRDefault="00C422FB" w:rsidP="00C422FB">
    <w:pPr>
      <w:pStyle w:val="Header"/>
      <w:rPr>
        <w:rStyle w:val="PageNumber"/>
        <w:lang w:val="es-PR"/>
      </w:rPr>
    </w:pPr>
    <w:r w:rsidRPr="00C1650E">
      <w:rPr>
        <w:rStyle w:val="PageNumber"/>
        <w:lang w:val="es-PR"/>
      </w:rPr>
      <w:t>Comisión de Educación</w:t>
    </w:r>
  </w:p>
  <w:p w14:paraId="36D58B22" w14:textId="5FDE7F81" w:rsidR="00F042CB" w:rsidRPr="00C422FB" w:rsidRDefault="00C422FB" w:rsidP="00C422FB">
    <w:pPr>
      <w:pStyle w:val="Header"/>
      <w:rPr>
        <w:lang w:val="es-PR"/>
      </w:rPr>
    </w:pPr>
    <w:r w:rsidRPr="00C1650E">
      <w:rPr>
        <w:rStyle w:val="PageNumber"/>
        <w:lang w:val="es-PR"/>
      </w:rPr>
      <w:t xml:space="preserve">Informe </w:t>
    </w:r>
    <w:r w:rsidR="00E505FA">
      <w:rPr>
        <w:rStyle w:val="PageNumber"/>
        <w:lang w:val="es-PR"/>
      </w:rPr>
      <w:t>Positivo</w:t>
    </w:r>
    <w:r w:rsidRPr="00C1650E">
      <w:rPr>
        <w:rStyle w:val="PageNumber"/>
        <w:lang w:val="es-PR"/>
      </w:rPr>
      <w:t xml:space="preserve"> sobre </w:t>
    </w:r>
    <w:r>
      <w:rPr>
        <w:rStyle w:val="PageNumber"/>
        <w:lang w:val="es-PR"/>
      </w:rPr>
      <w:t xml:space="preserve">el P. del C. </w:t>
    </w:r>
    <w:r w:rsidR="00E505FA">
      <w:rPr>
        <w:rStyle w:val="PageNumber"/>
        <w:lang w:val="es-PR"/>
      </w:rPr>
      <w:t>258</w:t>
    </w:r>
    <w:r>
      <w:rPr>
        <w:rStyle w:val="PageNumber"/>
        <w:lang w:val="es-PR"/>
      </w:rPr>
      <w:t xml:space="preserve"> </w:t>
    </w:r>
    <w:r>
      <w:rPr>
        <w:rStyle w:val="PageNumber"/>
        <w:lang w:val="es-PR"/>
      </w:rPr>
      <w:tab/>
    </w:r>
    <w:r>
      <w:rPr>
        <w:rStyle w:val="PageNumber"/>
        <w:lang w:val="es-PR"/>
      </w:rPr>
      <w:tab/>
    </w:r>
    <w:r w:rsidRPr="00C1650E">
      <w:rPr>
        <w:rStyle w:val="PageNumber"/>
        <w:lang w:val="es-PR"/>
      </w:rPr>
      <w:t xml:space="preserve">Página | </w:t>
    </w:r>
    <w:r w:rsidRPr="00C1650E">
      <w:rPr>
        <w:rStyle w:val="PageNumber"/>
      </w:rPr>
      <w:fldChar w:fldCharType="begin"/>
    </w:r>
    <w:r w:rsidRPr="00C1650E">
      <w:rPr>
        <w:rStyle w:val="PageNumber"/>
        <w:lang w:val="es-PR"/>
      </w:rPr>
      <w:instrText xml:space="preserve"> PAGE </w:instrText>
    </w:r>
    <w:r w:rsidRPr="00C1650E">
      <w:rPr>
        <w:rStyle w:val="PageNumber"/>
      </w:rPr>
      <w:fldChar w:fldCharType="separate"/>
    </w:r>
    <w:r w:rsidRPr="00C422FB">
      <w:rPr>
        <w:rStyle w:val="PageNumber"/>
        <w:lang w:val="es-PR"/>
      </w:rPr>
      <w:t>2</w:t>
    </w:r>
    <w:r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0B1"/>
    <w:rsid w:val="00004687"/>
    <w:rsid w:val="00004842"/>
    <w:rsid w:val="00005611"/>
    <w:rsid w:val="0000773E"/>
    <w:rsid w:val="0001109B"/>
    <w:rsid w:val="00013005"/>
    <w:rsid w:val="000130AA"/>
    <w:rsid w:val="000133D7"/>
    <w:rsid w:val="0001561B"/>
    <w:rsid w:val="00015DFB"/>
    <w:rsid w:val="000167BD"/>
    <w:rsid w:val="00020BBB"/>
    <w:rsid w:val="000216AA"/>
    <w:rsid w:val="000219E2"/>
    <w:rsid w:val="00027C86"/>
    <w:rsid w:val="00032078"/>
    <w:rsid w:val="00035EE0"/>
    <w:rsid w:val="00042340"/>
    <w:rsid w:val="00043DD0"/>
    <w:rsid w:val="000518F3"/>
    <w:rsid w:val="0005281A"/>
    <w:rsid w:val="00056024"/>
    <w:rsid w:val="00057683"/>
    <w:rsid w:val="00063D87"/>
    <w:rsid w:val="000710DD"/>
    <w:rsid w:val="00073275"/>
    <w:rsid w:val="00074D2C"/>
    <w:rsid w:val="00075BAB"/>
    <w:rsid w:val="00081017"/>
    <w:rsid w:val="000847D4"/>
    <w:rsid w:val="000871B0"/>
    <w:rsid w:val="00091A87"/>
    <w:rsid w:val="00091F2F"/>
    <w:rsid w:val="00095AE1"/>
    <w:rsid w:val="000A0316"/>
    <w:rsid w:val="000A6B6C"/>
    <w:rsid w:val="000B0DBB"/>
    <w:rsid w:val="000B108B"/>
    <w:rsid w:val="000C2850"/>
    <w:rsid w:val="000C2CBF"/>
    <w:rsid w:val="000D60DB"/>
    <w:rsid w:val="000E2586"/>
    <w:rsid w:val="000E3D6D"/>
    <w:rsid w:val="000E7D53"/>
    <w:rsid w:val="000E7F87"/>
    <w:rsid w:val="00111E71"/>
    <w:rsid w:val="001127B0"/>
    <w:rsid w:val="00114602"/>
    <w:rsid w:val="00120E4B"/>
    <w:rsid w:val="00125AE5"/>
    <w:rsid w:val="00127C6A"/>
    <w:rsid w:val="001363FE"/>
    <w:rsid w:val="001606CA"/>
    <w:rsid w:val="00166098"/>
    <w:rsid w:val="0017132B"/>
    <w:rsid w:val="00173F45"/>
    <w:rsid w:val="00187B2B"/>
    <w:rsid w:val="001911C9"/>
    <w:rsid w:val="001A062F"/>
    <w:rsid w:val="001A2E09"/>
    <w:rsid w:val="001A36DC"/>
    <w:rsid w:val="001A4A89"/>
    <w:rsid w:val="001A4DCF"/>
    <w:rsid w:val="001D15CB"/>
    <w:rsid w:val="001E15C2"/>
    <w:rsid w:val="001E211C"/>
    <w:rsid w:val="001F1883"/>
    <w:rsid w:val="001F4CA3"/>
    <w:rsid w:val="001F5064"/>
    <w:rsid w:val="001F5E88"/>
    <w:rsid w:val="001F612A"/>
    <w:rsid w:val="00211396"/>
    <w:rsid w:val="00212E98"/>
    <w:rsid w:val="00220B05"/>
    <w:rsid w:val="00222320"/>
    <w:rsid w:val="002239E3"/>
    <w:rsid w:val="00226AE6"/>
    <w:rsid w:val="00236AD7"/>
    <w:rsid w:val="00245B34"/>
    <w:rsid w:val="00251E4E"/>
    <w:rsid w:val="0026318A"/>
    <w:rsid w:val="00263355"/>
    <w:rsid w:val="00273792"/>
    <w:rsid w:val="00277962"/>
    <w:rsid w:val="00284E77"/>
    <w:rsid w:val="0029726D"/>
    <w:rsid w:val="002A73D5"/>
    <w:rsid w:val="002B4F94"/>
    <w:rsid w:val="002C1204"/>
    <w:rsid w:val="002C6295"/>
    <w:rsid w:val="002C7D68"/>
    <w:rsid w:val="002D48D6"/>
    <w:rsid w:val="002D4AC8"/>
    <w:rsid w:val="002E161E"/>
    <w:rsid w:val="002E479F"/>
    <w:rsid w:val="002E61B9"/>
    <w:rsid w:val="002E67CB"/>
    <w:rsid w:val="002F74A5"/>
    <w:rsid w:val="0030696B"/>
    <w:rsid w:val="00307183"/>
    <w:rsid w:val="003206CD"/>
    <w:rsid w:val="00320BDF"/>
    <w:rsid w:val="00320D78"/>
    <w:rsid w:val="00321C3D"/>
    <w:rsid w:val="00330D50"/>
    <w:rsid w:val="0034124E"/>
    <w:rsid w:val="00356A6F"/>
    <w:rsid w:val="00364902"/>
    <w:rsid w:val="00367993"/>
    <w:rsid w:val="00370734"/>
    <w:rsid w:val="00380FE5"/>
    <w:rsid w:val="00384455"/>
    <w:rsid w:val="003851A7"/>
    <w:rsid w:val="00386ED5"/>
    <w:rsid w:val="003924DD"/>
    <w:rsid w:val="00394FCB"/>
    <w:rsid w:val="003963BE"/>
    <w:rsid w:val="003963F4"/>
    <w:rsid w:val="003B021F"/>
    <w:rsid w:val="003B16E0"/>
    <w:rsid w:val="003B5160"/>
    <w:rsid w:val="003B5254"/>
    <w:rsid w:val="003B5A12"/>
    <w:rsid w:val="003B75A6"/>
    <w:rsid w:val="003C7E14"/>
    <w:rsid w:val="003D2C21"/>
    <w:rsid w:val="003E2658"/>
    <w:rsid w:val="003F05CE"/>
    <w:rsid w:val="003F0BE6"/>
    <w:rsid w:val="003F76A8"/>
    <w:rsid w:val="004061CA"/>
    <w:rsid w:val="00413299"/>
    <w:rsid w:val="00415689"/>
    <w:rsid w:val="00424D08"/>
    <w:rsid w:val="004440CB"/>
    <w:rsid w:val="0046340C"/>
    <w:rsid w:val="00464E71"/>
    <w:rsid w:val="00470828"/>
    <w:rsid w:val="00470AE4"/>
    <w:rsid w:val="004713D2"/>
    <w:rsid w:val="004731D3"/>
    <w:rsid w:val="00480699"/>
    <w:rsid w:val="00481EEE"/>
    <w:rsid w:val="004877B8"/>
    <w:rsid w:val="00491D4B"/>
    <w:rsid w:val="0049600B"/>
    <w:rsid w:val="004A7042"/>
    <w:rsid w:val="004B6E28"/>
    <w:rsid w:val="004B6F58"/>
    <w:rsid w:val="004B7486"/>
    <w:rsid w:val="004D7000"/>
    <w:rsid w:val="004E4E62"/>
    <w:rsid w:val="004E77BD"/>
    <w:rsid w:val="004F5525"/>
    <w:rsid w:val="004F6865"/>
    <w:rsid w:val="00502819"/>
    <w:rsid w:val="00521639"/>
    <w:rsid w:val="00525B72"/>
    <w:rsid w:val="0053167D"/>
    <w:rsid w:val="00532BB7"/>
    <w:rsid w:val="005332E4"/>
    <w:rsid w:val="0053550C"/>
    <w:rsid w:val="00536D92"/>
    <w:rsid w:val="00537AB4"/>
    <w:rsid w:val="005426E2"/>
    <w:rsid w:val="00551919"/>
    <w:rsid w:val="00555018"/>
    <w:rsid w:val="00561060"/>
    <w:rsid w:val="005723DC"/>
    <w:rsid w:val="00574A8A"/>
    <w:rsid w:val="00580214"/>
    <w:rsid w:val="00584305"/>
    <w:rsid w:val="005964F7"/>
    <w:rsid w:val="005B00A9"/>
    <w:rsid w:val="005B06BB"/>
    <w:rsid w:val="005C1565"/>
    <w:rsid w:val="005D64AD"/>
    <w:rsid w:val="005F0B0E"/>
    <w:rsid w:val="005F3881"/>
    <w:rsid w:val="00607EBD"/>
    <w:rsid w:val="006149B6"/>
    <w:rsid w:val="006210DA"/>
    <w:rsid w:val="006210DC"/>
    <w:rsid w:val="006263AB"/>
    <w:rsid w:val="00631D0C"/>
    <w:rsid w:val="0064349D"/>
    <w:rsid w:val="0064355F"/>
    <w:rsid w:val="00645825"/>
    <w:rsid w:val="00646973"/>
    <w:rsid w:val="00646A44"/>
    <w:rsid w:val="00653EED"/>
    <w:rsid w:val="006701AD"/>
    <w:rsid w:val="00672DCF"/>
    <w:rsid w:val="006732FD"/>
    <w:rsid w:val="00677B4B"/>
    <w:rsid w:val="0068039B"/>
    <w:rsid w:val="006832CB"/>
    <w:rsid w:val="00685131"/>
    <w:rsid w:val="00685549"/>
    <w:rsid w:val="00693449"/>
    <w:rsid w:val="006A1FD5"/>
    <w:rsid w:val="006A397E"/>
    <w:rsid w:val="006B0196"/>
    <w:rsid w:val="006B183E"/>
    <w:rsid w:val="006B2451"/>
    <w:rsid w:val="006B68ED"/>
    <w:rsid w:val="006B7365"/>
    <w:rsid w:val="006C1C9E"/>
    <w:rsid w:val="006C2D81"/>
    <w:rsid w:val="006C7DF8"/>
    <w:rsid w:val="006D0164"/>
    <w:rsid w:val="006D6856"/>
    <w:rsid w:val="006E28DB"/>
    <w:rsid w:val="006E2F5E"/>
    <w:rsid w:val="006E2F78"/>
    <w:rsid w:val="006E3523"/>
    <w:rsid w:val="006E49EF"/>
    <w:rsid w:val="006E67CA"/>
    <w:rsid w:val="006F3E81"/>
    <w:rsid w:val="006F40B9"/>
    <w:rsid w:val="0070273C"/>
    <w:rsid w:val="00710E35"/>
    <w:rsid w:val="0071440D"/>
    <w:rsid w:val="007154DC"/>
    <w:rsid w:val="00716972"/>
    <w:rsid w:val="00726638"/>
    <w:rsid w:val="00736244"/>
    <w:rsid w:val="00750FC8"/>
    <w:rsid w:val="007533D0"/>
    <w:rsid w:val="00753911"/>
    <w:rsid w:val="00755069"/>
    <w:rsid w:val="00762554"/>
    <w:rsid w:val="0076334C"/>
    <w:rsid w:val="0076543D"/>
    <w:rsid w:val="00774570"/>
    <w:rsid w:val="00776955"/>
    <w:rsid w:val="007A63F2"/>
    <w:rsid w:val="007B0660"/>
    <w:rsid w:val="007B27CE"/>
    <w:rsid w:val="007C19B4"/>
    <w:rsid w:val="007C296F"/>
    <w:rsid w:val="007C2BB1"/>
    <w:rsid w:val="007C4411"/>
    <w:rsid w:val="007C5056"/>
    <w:rsid w:val="007D4194"/>
    <w:rsid w:val="007D5D2C"/>
    <w:rsid w:val="007E3868"/>
    <w:rsid w:val="00800609"/>
    <w:rsid w:val="008035D8"/>
    <w:rsid w:val="00814263"/>
    <w:rsid w:val="00815082"/>
    <w:rsid w:val="00817DB9"/>
    <w:rsid w:val="00817EEB"/>
    <w:rsid w:val="00820C41"/>
    <w:rsid w:val="0082209E"/>
    <w:rsid w:val="00837443"/>
    <w:rsid w:val="0083786C"/>
    <w:rsid w:val="00846BDD"/>
    <w:rsid w:val="00850256"/>
    <w:rsid w:val="00855CE1"/>
    <w:rsid w:val="00860B5A"/>
    <w:rsid w:val="00867C71"/>
    <w:rsid w:val="00875D08"/>
    <w:rsid w:val="00883E61"/>
    <w:rsid w:val="00890582"/>
    <w:rsid w:val="00893C10"/>
    <w:rsid w:val="0089630F"/>
    <w:rsid w:val="008A27E1"/>
    <w:rsid w:val="008A6474"/>
    <w:rsid w:val="008C0763"/>
    <w:rsid w:val="008C1D6A"/>
    <w:rsid w:val="008D2C0D"/>
    <w:rsid w:val="008D55E0"/>
    <w:rsid w:val="008E186E"/>
    <w:rsid w:val="008E5204"/>
    <w:rsid w:val="00900985"/>
    <w:rsid w:val="00902E09"/>
    <w:rsid w:val="00917B47"/>
    <w:rsid w:val="00922DEA"/>
    <w:rsid w:val="00930A68"/>
    <w:rsid w:val="00935F80"/>
    <w:rsid w:val="0093686F"/>
    <w:rsid w:val="00942FD4"/>
    <w:rsid w:val="0094386D"/>
    <w:rsid w:val="00951997"/>
    <w:rsid w:val="00951D23"/>
    <w:rsid w:val="009573AB"/>
    <w:rsid w:val="00961432"/>
    <w:rsid w:val="00963DF1"/>
    <w:rsid w:val="0096764D"/>
    <w:rsid w:val="009750D1"/>
    <w:rsid w:val="00976222"/>
    <w:rsid w:val="00990352"/>
    <w:rsid w:val="00992017"/>
    <w:rsid w:val="009A0909"/>
    <w:rsid w:val="009B5F1F"/>
    <w:rsid w:val="009C35F8"/>
    <w:rsid w:val="009C5DAB"/>
    <w:rsid w:val="009C659D"/>
    <w:rsid w:val="009D09D7"/>
    <w:rsid w:val="009D12CD"/>
    <w:rsid w:val="009E6D56"/>
    <w:rsid w:val="009E798F"/>
    <w:rsid w:val="009F49A6"/>
    <w:rsid w:val="009F649F"/>
    <w:rsid w:val="00A03405"/>
    <w:rsid w:val="00A03BDA"/>
    <w:rsid w:val="00A05430"/>
    <w:rsid w:val="00A10113"/>
    <w:rsid w:val="00A12741"/>
    <w:rsid w:val="00A1528A"/>
    <w:rsid w:val="00A1595B"/>
    <w:rsid w:val="00A16CF7"/>
    <w:rsid w:val="00A33918"/>
    <w:rsid w:val="00A367D6"/>
    <w:rsid w:val="00A37E34"/>
    <w:rsid w:val="00A40714"/>
    <w:rsid w:val="00A61046"/>
    <w:rsid w:val="00A62E93"/>
    <w:rsid w:val="00A673DD"/>
    <w:rsid w:val="00A7014B"/>
    <w:rsid w:val="00A7629F"/>
    <w:rsid w:val="00A97113"/>
    <w:rsid w:val="00AA2C8E"/>
    <w:rsid w:val="00AA73E7"/>
    <w:rsid w:val="00AB2538"/>
    <w:rsid w:val="00AB3BB4"/>
    <w:rsid w:val="00AC171B"/>
    <w:rsid w:val="00AD0543"/>
    <w:rsid w:val="00AE193F"/>
    <w:rsid w:val="00AE26CF"/>
    <w:rsid w:val="00AF0CEE"/>
    <w:rsid w:val="00AF6E13"/>
    <w:rsid w:val="00B02DB9"/>
    <w:rsid w:val="00B116E9"/>
    <w:rsid w:val="00B127A7"/>
    <w:rsid w:val="00B14EE1"/>
    <w:rsid w:val="00B15D49"/>
    <w:rsid w:val="00B23E2A"/>
    <w:rsid w:val="00B31B02"/>
    <w:rsid w:val="00B41BE4"/>
    <w:rsid w:val="00B42703"/>
    <w:rsid w:val="00B427F3"/>
    <w:rsid w:val="00B434E4"/>
    <w:rsid w:val="00B64321"/>
    <w:rsid w:val="00B667AD"/>
    <w:rsid w:val="00B7320F"/>
    <w:rsid w:val="00B8023D"/>
    <w:rsid w:val="00B84C38"/>
    <w:rsid w:val="00B858B5"/>
    <w:rsid w:val="00B86C00"/>
    <w:rsid w:val="00B91B73"/>
    <w:rsid w:val="00B91D6A"/>
    <w:rsid w:val="00B947F6"/>
    <w:rsid w:val="00BA2D29"/>
    <w:rsid w:val="00BB49EC"/>
    <w:rsid w:val="00BB6890"/>
    <w:rsid w:val="00BB71A6"/>
    <w:rsid w:val="00BC0963"/>
    <w:rsid w:val="00BC15CD"/>
    <w:rsid w:val="00BC1C4E"/>
    <w:rsid w:val="00BD4378"/>
    <w:rsid w:val="00BE124B"/>
    <w:rsid w:val="00BF16AA"/>
    <w:rsid w:val="00BF2EBC"/>
    <w:rsid w:val="00BF526C"/>
    <w:rsid w:val="00C0414C"/>
    <w:rsid w:val="00C15F04"/>
    <w:rsid w:val="00C354B8"/>
    <w:rsid w:val="00C376F5"/>
    <w:rsid w:val="00C41592"/>
    <w:rsid w:val="00C422FB"/>
    <w:rsid w:val="00C46101"/>
    <w:rsid w:val="00C52517"/>
    <w:rsid w:val="00C5595F"/>
    <w:rsid w:val="00C60921"/>
    <w:rsid w:val="00C60F6E"/>
    <w:rsid w:val="00C62936"/>
    <w:rsid w:val="00C653F2"/>
    <w:rsid w:val="00C65D58"/>
    <w:rsid w:val="00C679E6"/>
    <w:rsid w:val="00C745B8"/>
    <w:rsid w:val="00C82C0E"/>
    <w:rsid w:val="00C908F9"/>
    <w:rsid w:val="00C93447"/>
    <w:rsid w:val="00C97ADB"/>
    <w:rsid w:val="00CA0917"/>
    <w:rsid w:val="00CA1099"/>
    <w:rsid w:val="00CA5444"/>
    <w:rsid w:val="00CA70B3"/>
    <w:rsid w:val="00CB434E"/>
    <w:rsid w:val="00CB4FC8"/>
    <w:rsid w:val="00CC1A00"/>
    <w:rsid w:val="00CC6CF5"/>
    <w:rsid w:val="00CD338B"/>
    <w:rsid w:val="00CD61C0"/>
    <w:rsid w:val="00CD678A"/>
    <w:rsid w:val="00CF3EBC"/>
    <w:rsid w:val="00CF752D"/>
    <w:rsid w:val="00CF797F"/>
    <w:rsid w:val="00D06339"/>
    <w:rsid w:val="00D133AC"/>
    <w:rsid w:val="00D13CDC"/>
    <w:rsid w:val="00D35941"/>
    <w:rsid w:val="00D417C2"/>
    <w:rsid w:val="00D422EF"/>
    <w:rsid w:val="00D54562"/>
    <w:rsid w:val="00D55185"/>
    <w:rsid w:val="00D60936"/>
    <w:rsid w:val="00D709EB"/>
    <w:rsid w:val="00D71003"/>
    <w:rsid w:val="00D74714"/>
    <w:rsid w:val="00D74C80"/>
    <w:rsid w:val="00D76F4D"/>
    <w:rsid w:val="00D82B43"/>
    <w:rsid w:val="00D82F3F"/>
    <w:rsid w:val="00D8669D"/>
    <w:rsid w:val="00D921C6"/>
    <w:rsid w:val="00D92384"/>
    <w:rsid w:val="00D958C2"/>
    <w:rsid w:val="00D95C3F"/>
    <w:rsid w:val="00DB06D1"/>
    <w:rsid w:val="00DD2FD5"/>
    <w:rsid w:val="00DE69F2"/>
    <w:rsid w:val="00DF41CD"/>
    <w:rsid w:val="00E04AB5"/>
    <w:rsid w:val="00E0548F"/>
    <w:rsid w:val="00E11E75"/>
    <w:rsid w:val="00E23ABC"/>
    <w:rsid w:val="00E505FA"/>
    <w:rsid w:val="00E50EEA"/>
    <w:rsid w:val="00E52F58"/>
    <w:rsid w:val="00E53469"/>
    <w:rsid w:val="00E54233"/>
    <w:rsid w:val="00E61403"/>
    <w:rsid w:val="00E65805"/>
    <w:rsid w:val="00E7187D"/>
    <w:rsid w:val="00E77E19"/>
    <w:rsid w:val="00E82311"/>
    <w:rsid w:val="00E8764A"/>
    <w:rsid w:val="00E92A64"/>
    <w:rsid w:val="00E954BA"/>
    <w:rsid w:val="00EA21D5"/>
    <w:rsid w:val="00EC0306"/>
    <w:rsid w:val="00EC1CEA"/>
    <w:rsid w:val="00EC26AA"/>
    <w:rsid w:val="00EC294F"/>
    <w:rsid w:val="00EC473E"/>
    <w:rsid w:val="00EC539E"/>
    <w:rsid w:val="00EC6018"/>
    <w:rsid w:val="00ED7A53"/>
    <w:rsid w:val="00EE4273"/>
    <w:rsid w:val="00EF300D"/>
    <w:rsid w:val="00F01013"/>
    <w:rsid w:val="00F02004"/>
    <w:rsid w:val="00F02E69"/>
    <w:rsid w:val="00F042CB"/>
    <w:rsid w:val="00F12D76"/>
    <w:rsid w:val="00F14A41"/>
    <w:rsid w:val="00F21BB4"/>
    <w:rsid w:val="00F357D8"/>
    <w:rsid w:val="00F371BF"/>
    <w:rsid w:val="00F60A20"/>
    <w:rsid w:val="00F65075"/>
    <w:rsid w:val="00F6609E"/>
    <w:rsid w:val="00F6633A"/>
    <w:rsid w:val="00F879F2"/>
    <w:rsid w:val="00F938A1"/>
    <w:rsid w:val="00F96885"/>
    <w:rsid w:val="00FB1B9E"/>
    <w:rsid w:val="00FC0A95"/>
    <w:rsid w:val="00FC2AE0"/>
    <w:rsid w:val="00FC319B"/>
    <w:rsid w:val="00FC3D9C"/>
    <w:rsid w:val="00FC579D"/>
    <w:rsid w:val="00FD3130"/>
    <w:rsid w:val="00FD3D12"/>
    <w:rsid w:val="00FD6563"/>
    <w:rsid w:val="00FD68A3"/>
    <w:rsid w:val="00FD6CB7"/>
    <w:rsid w:val="00FD7176"/>
    <w:rsid w:val="00FE14B5"/>
    <w:rsid w:val="00FE1BF8"/>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rsid w:val="00C422F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2016</Words>
  <Characters>11494</Characters>
  <Application>Microsoft Office Word</Application>
  <DocSecurity>4</DocSecurity>
  <Lines>95</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2025-10-21T16:21:00Z</cp:lastPrinted>
  <dcterms:created xsi:type="dcterms:W3CDTF">2026-04-21T14:58:00Z</dcterms:created>
  <dcterms:modified xsi:type="dcterms:W3CDTF">2026-04-21T14:58:00Z</dcterms:modified>
</cp:coreProperties>
</file>