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24591" w14:textId="48F99EFD" w:rsidR="000D7BD6" w:rsidRPr="000D7BD6" w:rsidRDefault="008A2744" w:rsidP="00D624C5">
      <w:pPr>
        <w:jc w:val="center"/>
        <w:rPr>
          <w:rFonts w:ascii="Book Antiqua" w:hAnsi="Book Antiqua"/>
          <w:sz w:val="28"/>
          <w:lang w:val="es-PR"/>
        </w:rPr>
      </w:pPr>
      <w:r>
        <w:rPr>
          <w:rFonts w:ascii="Book Antiqua" w:hAnsi="Book Antiqua"/>
          <w:sz w:val="28"/>
          <w:lang w:val="es-PR"/>
        </w:rPr>
        <w:t>GOBIERNO</w:t>
      </w:r>
      <w:r w:rsidR="000D7BD6" w:rsidRPr="000D7BD6">
        <w:rPr>
          <w:rFonts w:ascii="Book Antiqua" w:hAnsi="Book Antiqua"/>
          <w:sz w:val="28"/>
          <w:lang w:val="es-PR"/>
        </w:rPr>
        <w:t xml:space="preserve"> DE PUERTO RICO</w:t>
      </w:r>
    </w:p>
    <w:p w14:paraId="53176631" w14:textId="77777777" w:rsidR="00585EFC" w:rsidRPr="001B5432" w:rsidRDefault="00585EFC" w:rsidP="00D624C5">
      <w:pPr>
        <w:jc w:val="center"/>
        <w:rPr>
          <w:rFonts w:ascii="Book Antiqua" w:hAnsi="Book Antiqua"/>
          <w:szCs w:val="24"/>
          <w:lang w:val="es-PR"/>
        </w:rPr>
      </w:pPr>
    </w:p>
    <w:p w14:paraId="43B853B8" w14:textId="44C02B83" w:rsidR="00585EFC" w:rsidRDefault="008B32D3" w:rsidP="00D624C5">
      <w:pPr>
        <w:pStyle w:val="Title2"/>
        <w:rPr>
          <w:rFonts w:ascii="Book Antiqua" w:hAnsi="Book Antiqua"/>
          <w:lang w:val="es-ES_tradnl"/>
        </w:rPr>
      </w:pPr>
      <w:r>
        <w:rPr>
          <w:rFonts w:ascii="Book Antiqua" w:hAnsi="Book Antiqua"/>
          <w:lang w:val="es-ES_tradnl"/>
        </w:rPr>
        <w:t>20</w:t>
      </w:r>
      <w:r w:rsidR="00585EFC">
        <w:rPr>
          <w:rFonts w:ascii="Book Antiqua" w:hAnsi="Book Antiqua"/>
          <w:lang w:val="es-ES_tradnl"/>
        </w:rPr>
        <w:t xml:space="preserve"> </w:t>
      </w:r>
      <w:r>
        <w:rPr>
          <w:rFonts w:ascii="Book Antiqua" w:hAnsi="Book Antiqua"/>
          <w:vertAlign w:val="superscript"/>
          <w:lang w:val="es-ES_tradnl"/>
        </w:rPr>
        <w:t>m</w:t>
      </w:r>
      <w:r w:rsidR="00585EFC">
        <w:rPr>
          <w:rFonts w:ascii="Book Antiqua" w:hAnsi="Book Antiqua"/>
          <w:vertAlign w:val="superscript"/>
          <w:lang w:val="es-ES_tradnl"/>
        </w:rPr>
        <w:t>a</w:t>
      </w:r>
      <w:r w:rsidR="00585EFC">
        <w:rPr>
          <w:rFonts w:ascii="Book Antiqua" w:hAnsi="Book Antiqua"/>
          <w:lang w:val="es-ES_tradnl"/>
        </w:rPr>
        <w:tab/>
        <w:t>Asamblea</w:t>
      </w:r>
      <w:r w:rsidR="00585EFC">
        <w:rPr>
          <w:rFonts w:ascii="Book Antiqua" w:hAnsi="Book Antiqua"/>
          <w:lang w:val="es-ES_tradnl"/>
        </w:rPr>
        <w:tab/>
        <w:t xml:space="preserve">1 </w:t>
      </w:r>
      <w:r w:rsidR="00585EFC">
        <w:rPr>
          <w:rFonts w:ascii="Book Antiqua" w:hAnsi="Book Antiqua"/>
          <w:vertAlign w:val="superscript"/>
          <w:lang w:val="es-ES_tradnl"/>
        </w:rPr>
        <w:t>ra</w:t>
      </w:r>
      <w:r w:rsidR="00585EFC">
        <w:rPr>
          <w:rFonts w:ascii="Book Antiqua" w:hAnsi="Book Antiqua"/>
          <w:lang w:val="es-ES_tradnl"/>
        </w:rPr>
        <w:tab/>
        <w:t>Sesión</w:t>
      </w:r>
    </w:p>
    <w:p w14:paraId="1170A598" w14:textId="77777777" w:rsidR="00585EFC" w:rsidRDefault="00585EFC" w:rsidP="00D624C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8D7357" w14:textId="77777777" w:rsidR="00585EFC" w:rsidRDefault="00585EFC" w:rsidP="00D624C5">
      <w:pPr>
        <w:rPr>
          <w:lang w:val="es-ES_tradnl"/>
        </w:rPr>
      </w:pPr>
    </w:p>
    <w:p w14:paraId="328E9025" w14:textId="77777777" w:rsidR="00585EFC" w:rsidRDefault="00585EFC" w:rsidP="00D624C5">
      <w:pPr>
        <w:jc w:val="center"/>
        <w:rPr>
          <w:rFonts w:ascii="Book Antiqua" w:hAnsi="Book Antiqua"/>
          <w:b/>
          <w:sz w:val="36"/>
          <w:lang w:val="es-ES_tradnl"/>
        </w:rPr>
      </w:pPr>
      <w:r>
        <w:rPr>
          <w:rFonts w:ascii="Book Antiqua" w:hAnsi="Book Antiqua"/>
          <w:b/>
          <w:sz w:val="36"/>
          <w:lang w:val="es-ES_tradnl"/>
        </w:rPr>
        <w:t>CÁMARA DE REPRESENTANTES</w:t>
      </w:r>
    </w:p>
    <w:p w14:paraId="015434EA" w14:textId="77777777" w:rsidR="001B5432" w:rsidRPr="001B5432" w:rsidRDefault="001B5432" w:rsidP="00D624C5">
      <w:pPr>
        <w:jc w:val="center"/>
        <w:rPr>
          <w:rFonts w:ascii="Book Antiqua" w:hAnsi="Book Antiqua"/>
          <w:b/>
          <w:szCs w:val="24"/>
          <w:lang w:val="es-ES_tradnl"/>
        </w:rPr>
      </w:pPr>
    </w:p>
    <w:p w14:paraId="223CB67B" w14:textId="77574862" w:rsidR="00585EFC" w:rsidRDefault="00585EFC" w:rsidP="00D624C5">
      <w:pPr>
        <w:jc w:val="center"/>
        <w:rPr>
          <w:rFonts w:ascii="Book Antiqua" w:hAnsi="Book Antiqua"/>
          <w:b/>
          <w:sz w:val="52"/>
          <w:lang w:val="es-ES_tradnl"/>
        </w:rPr>
      </w:pPr>
      <w:r>
        <w:rPr>
          <w:rFonts w:ascii="Book Antiqua" w:hAnsi="Book Antiqua"/>
          <w:b/>
          <w:sz w:val="52"/>
          <w:lang w:val="es-ES_tradnl"/>
        </w:rPr>
        <w:t xml:space="preserve">P. de la C. </w:t>
      </w:r>
      <w:r w:rsidR="00880033">
        <w:rPr>
          <w:rFonts w:ascii="Book Antiqua" w:hAnsi="Book Antiqua"/>
          <w:b/>
          <w:sz w:val="52"/>
          <w:lang w:val="es-ES_tradnl"/>
        </w:rPr>
        <w:t>258</w:t>
      </w:r>
    </w:p>
    <w:p w14:paraId="4D935B07" w14:textId="77777777" w:rsidR="001B5432" w:rsidRPr="001B5432" w:rsidRDefault="001B5432" w:rsidP="00D624C5">
      <w:pPr>
        <w:jc w:val="center"/>
        <w:rPr>
          <w:rFonts w:ascii="Book Antiqua" w:hAnsi="Book Antiqua"/>
          <w:b/>
          <w:szCs w:val="24"/>
          <w:lang w:val="es-ES_tradnl"/>
        </w:rPr>
      </w:pPr>
    </w:p>
    <w:p w14:paraId="47141F25" w14:textId="59416F91" w:rsidR="00A65BF4" w:rsidRDefault="005075AF" w:rsidP="00D624C5">
      <w:pPr>
        <w:jc w:val="center"/>
        <w:rPr>
          <w:rFonts w:ascii="Book Antiqua" w:hAnsi="Book Antiqua"/>
          <w:lang w:val="es-ES_tradnl"/>
        </w:rPr>
      </w:pPr>
      <w:r>
        <w:rPr>
          <w:rFonts w:ascii="Book Antiqua" w:hAnsi="Book Antiqua"/>
          <w:lang w:val="es-ES_tradnl"/>
        </w:rPr>
        <w:t xml:space="preserve">22 </w:t>
      </w:r>
      <w:r w:rsidR="00585EFC">
        <w:rPr>
          <w:rFonts w:ascii="Book Antiqua" w:hAnsi="Book Antiqua"/>
          <w:lang w:val="es-ES_tradnl"/>
        </w:rPr>
        <w:t>DE ENERO DE 202</w:t>
      </w:r>
      <w:r w:rsidR="008B32D3">
        <w:rPr>
          <w:rFonts w:ascii="Book Antiqua" w:hAnsi="Book Antiqua"/>
          <w:lang w:val="es-ES_tradnl"/>
        </w:rPr>
        <w:t>5</w:t>
      </w:r>
    </w:p>
    <w:p w14:paraId="4E5B75BA" w14:textId="77777777" w:rsidR="009304D2" w:rsidRDefault="009304D2" w:rsidP="00D624C5">
      <w:pPr>
        <w:jc w:val="center"/>
        <w:rPr>
          <w:rFonts w:ascii="Book Antiqua" w:hAnsi="Book Antiqua"/>
          <w:lang w:val="es-ES_tradnl"/>
        </w:rPr>
      </w:pPr>
    </w:p>
    <w:p w14:paraId="5FC0E00B" w14:textId="77777777" w:rsidR="00A953F0" w:rsidRPr="00A953F0" w:rsidRDefault="00F03C88" w:rsidP="00A953F0">
      <w:pPr>
        <w:widowControl w:val="0"/>
        <w:ind w:left="450" w:hanging="450"/>
        <w:jc w:val="both"/>
        <w:rPr>
          <w:rFonts w:ascii="Book Antiqua" w:hAnsi="Book Antiqua"/>
          <w:i/>
          <w:iCs/>
          <w:lang w:val="es-ES"/>
        </w:rPr>
      </w:pPr>
      <w:r>
        <w:rPr>
          <w:rFonts w:ascii="Book Antiqua" w:hAnsi="Book Antiqua"/>
          <w:szCs w:val="24"/>
          <w:lang w:val="es-ES"/>
        </w:rPr>
        <w:t xml:space="preserve">Presentado </w:t>
      </w:r>
      <w:r w:rsidR="00A953F0" w:rsidRPr="00A953F0">
        <w:rPr>
          <w:rFonts w:ascii="Book Antiqua" w:hAnsi="Book Antiqua"/>
          <w:lang w:val="es-ES_tradnl"/>
        </w:rPr>
        <w:t>p</w:t>
      </w:r>
      <w:r w:rsidR="00A953F0" w:rsidRPr="00A953F0">
        <w:rPr>
          <w:rFonts w:ascii="Book Antiqua" w:hAnsi="Book Antiqua"/>
          <w:lang w:val="es-ES"/>
        </w:rPr>
        <w:t xml:space="preserve">or los representantes </w:t>
      </w:r>
      <w:r w:rsidR="00A953F0" w:rsidRPr="00A953F0">
        <w:rPr>
          <w:rFonts w:ascii="Book Antiqua" w:hAnsi="Book Antiqua"/>
          <w:i/>
          <w:iCs/>
          <w:lang w:val="es-ES"/>
        </w:rPr>
        <w:t xml:space="preserve">Ferrer Santiago, Torres García, Feliciano Sánchez, Figueroa Acevedo, Fourquet Cordero; </w:t>
      </w:r>
      <w:r w:rsidR="00A953F0" w:rsidRPr="00A953F0">
        <w:rPr>
          <w:rFonts w:ascii="Book Antiqua" w:hAnsi="Book Antiqua"/>
          <w:lang w:val="es-ES"/>
        </w:rPr>
        <w:t>las representantes</w:t>
      </w:r>
      <w:r w:rsidR="00A953F0" w:rsidRPr="00A953F0">
        <w:rPr>
          <w:rFonts w:ascii="Book Antiqua" w:hAnsi="Book Antiqua"/>
          <w:i/>
          <w:iCs/>
          <w:lang w:val="es-ES"/>
        </w:rPr>
        <w:t xml:space="preserve"> Hau, Higgins Cuadrado, Martínez Soto; </w:t>
      </w:r>
      <w:r w:rsidR="00A953F0" w:rsidRPr="00A953F0">
        <w:rPr>
          <w:rFonts w:ascii="Book Antiqua" w:hAnsi="Book Antiqua"/>
          <w:lang w:val="es-ES"/>
        </w:rPr>
        <w:t>el representante</w:t>
      </w:r>
      <w:r w:rsidR="00A953F0" w:rsidRPr="00A953F0">
        <w:rPr>
          <w:rFonts w:ascii="Book Antiqua" w:hAnsi="Book Antiqua"/>
          <w:i/>
          <w:iCs/>
          <w:lang w:val="es-ES"/>
        </w:rPr>
        <w:t xml:space="preserve"> Rivera Ruiz de Porras; </w:t>
      </w:r>
      <w:r w:rsidR="00A953F0" w:rsidRPr="00A953F0">
        <w:rPr>
          <w:rFonts w:ascii="Book Antiqua" w:hAnsi="Book Antiqua"/>
          <w:lang w:val="es-ES"/>
        </w:rPr>
        <w:t xml:space="preserve">la representante </w:t>
      </w:r>
      <w:r w:rsidR="00A953F0" w:rsidRPr="00A953F0">
        <w:rPr>
          <w:rFonts w:ascii="Book Antiqua" w:hAnsi="Book Antiqua"/>
          <w:i/>
          <w:iCs/>
          <w:lang w:val="es-ES"/>
        </w:rPr>
        <w:t xml:space="preserve">Rosas Vargas; </w:t>
      </w:r>
      <w:r w:rsidR="00A953F0" w:rsidRPr="00A953F0">
        <w:rPr>
          <w:rFonts w:ascii="Book Antiqua" w:hAnsi="Book Antiqua"/>
          <w:lang w:val="es-ES"/>
        </w:rPr>
        <w:t>los representantes</w:t>
      </w:r>
      <w:r w:rsidR="00A953F0" w:rsidRPr="00A953F0">
        <w:rPr>
          <w:rFonts w:ascii="Book Antiqua" w:hAnsi="Book Antiqua"/>
          <w:i/>
          <w:iCs/>
          <w:lang w:val="es-ES"/>
        </w:rPr>
        <w:t xml:space="preserve"> Torres Cruz, Varela Fernández </w:t>
      </w:r>
      <w:r w:rsidR="00A953F0" w:rsidRPr="00A953F0">
        <w:rPr>
          <w:rFonts w:ascii="Book Antiqua" w:hAnsi="Book Antiqua"/>
          <w:lang w:val="es-ES"/>
        </w:rPr>
        <w:t>y la representante</w:t>
      </w:r>
      <w:r w:rsidR="00A953F0" w:rsidRPr="00A953F0">
        <w:rPr>
          <w:rFonts w:ascii="Book Antiqua" w:hAnsi="Book Antiqua"/>
          <w:i/>
          <w:iCs/>
          <w:lang w:val="es-ES"/>
        </w:rPr>
        <w:t xml:space="preserve"> Vargas Laureano</w:t>
      </w:r>
    </w:p>
    <w:p w14:paraId="5BEFF795" w14:textId="055FF4AB" w:rsidR="009304D2" w:rsidRPr="0003460D" w:rsidRDefault="009304D2" w:rsidP="00D624C5">
      <w:pPr>
        <w:ind w:left="720" w:hanging="720"/>
        <w:jc w:val="both"/>
        <w:rPr>
          <w:rFonts w:ascii="Book Antiqua" w:hAnsi="Book Antiqua"/>
          <w:i/>
          <w:iCs/>
          <w:szCs w:val="24"/>
          <w:lang w:val="es-ES"/>
        </w:rPr>
      </w:pPr>
    </w:p>
    <w:p w14:paraId="6E1A0940" w14:textId="034E65AB" w:rsidR="00585EFC" w:rsidRDefault="00585EFC" w:rsidP="00D624C5">
      <w:pPr>
        <w:jc w:val="center"/>
        <w:rPr>
          <w:rFonts w:ascii="Book Antiqua" w:hAnsi="Book Antiqua"/>
          <w:lang w:val="es-ES_tradnl"/>
        </w:rPr>
      </w:pPr>
      <w:r>
        <w:rPr>
          <w:rFonts w:ascii="Book Antiqua" w:hAnsi="Book Antiqua"/>
          <w:lang w:val="es-ES_tradnl"/>
        </w:rPr>
        <w:t xml:space="preserve">Referido a </w:t>
      </w:r>
      <w:r w:rsidR="005C36A9">
        <w:rPr>
          <w:rFonts w:ascii="Book Antiqua" w:hAnsi="Book Antiqua"/>
          <w:lang w:val="es-ES_tradnl"/>
        </w:rPr>
        <w:t>la Comisión de Educación</w:t>
      </w:r>
    </w:p>
    <w:p w14:paraId="77E1BC61" w14:textId="77777777" w:rsidR="00585EFC" w:rsidRDefault="00585EFC" w:rsidP="00D624C5">
      <w:pPr>
        <w:jc w:val="both"/>
        <w:rPr>
          <w:rFonts w:ascii="Book Antiqua" w:hAnsi="Book Antiqua"/>
          <w:lang w:val="es-ES_tradnl"/>
        </w:rPr>
      </w:pPr>
    </w:p>
    <w:p w14:paraId="2A04D73E" w14:textId="77777777" w:rsidR="00585EFC" w:rsidRDefault="00585EFC" w:rsidP="00D624C5">
      <w:pPr>
        <w:jc w:val="center"/>
        <w:rPr>
          <w:rFonts w:ascii="Book Antiqua" w:hAnsi="Book Antiqua"/>
          <w:b/>
          <w:sz w:val="28"/>
          <w:lang w:val="es-ES_tradnl"/>
        </w:rPr>
      </w:pPr>
      <w:r>
        <w:rPr>
          <w:rFonts w:ascii="Book Antiqua" w:hAnsi="Book Antiqua"/>
          <w:b/>
          <w:sz w:val="28"/>
          <w:lang w:val="es-ES_tradnl"/>
        </w:rPr>
        <w:t>LEY</w:t>
      </w:r>
    </w:p>
    <w:p w14:paraId="16C21EB2" w14:textId="77777777" w:rsidR="00585EFC" w:rsidRDefault="00585EFC" w:rsidP="00D624C5">
      <w:pPr>
        <w:jc w:val="both"/>
        <w:rPr>
          <w:rFonts w:ascii="Book Antiqua" w:hAnsi="Book Antiqua"/>
          <w:lang w:val="es-ES_tradnl"/>
        </w:rPr>
      </w:pPr>
    </w:p>
    <w:p w14:paraId="30205CD8" w14:textId="215C0C71" w:rsidR="00585EFC" w:rsidRDefault="00585EFC" w:rsidP="00D624C5">
      <w:pPr>
        <w:ind w:left="720" w:hanging="720"/>
        <w:jc w:val="both"/>
        <w:rPr>
          <w:rFonts w:ascii="Book Antiqua" w:hAnsi="Book Antiqua"/>
          <w:lang w:val="es-ES_tradnl"/>
        </w:rPr>
      </w:pPr>
      <w:r>
        <w:rPr>
          <w:rFonts w:ascii="Book Antiqua" w:hAnsi="Book Antiqua"/>
          <w:lang w:val="es-ES_tradnl"/>
        </w:rPr>
        <w:t xml:space="preserve">Para </w:t>
      </w:r>
      <w:r w:rsidR="009739C0" w:rsidRPr="00E24C92">
        <w:rPr>
          <w:rFonts w:ascii="Book Antiqua" w:hAnsi="Book Antiqua"/>
          <w:lang w:val="es-ES_tradnl"/>
        </w:rPr>
        <w:t>añad</w:t>
      </w:r>
      <w:r w:rsidR="009739C0">
        <w:rPr>
          <w:rFonts w:ascii="Book Antiqua" w:hAnsi="Book Antiqua"/>
          <w:lang w:val="es-ES_tradnl"/>
        </w:rPr>
        <w:t>ir</w:t>
      </w:r>
      <w:r w:rsidR="009739C0" w:rsidRPr="00E24C92">
        <w:rPr>
          <w:rFonts w:ascii="Book Antiqua" w:hAnsi="Book Antiqua"/>
          <w:lang w:val="es-ES_tradnl"/>
        </w:rPr>
        <w:t xml:space="preserve"> un nuevo subinciso 69 al inciso (b) del Artículo 2.04 de la Ley 85-2018</w:t>
      </w:r>
      <w:r w:rsidR="009739C0">
        <w:rPr>
          <w:rFonts w:ascii="Book Antiqua" w:hAnsi="Book Antiqua"/>
          <w:lang w:val="es-ES_tradnl"/>
        </w:rPr>
        <w:t xml:space="preserve">, según enmendada, conocida como </w:t>
      </w:r>
      <w:r w:rsidR="009739C0" w:rsidRPr="00A23C07">
        <w:rPr>
          <w:rFonts w:ascii="Book Antiqua" w:hAnsi="Book Antiqua"/>
          <w:lang w:val="es-ES_tradnl"/>
        </w:rPr>
        <w:t>“Ley de Reforma Educativa de Puerto Rico”</w:t>
      </w:r>
      <w:r w:rsidR="009739C0" w:rsidRPr="00E24C92">
        <w:rPr>
          <w:rFonts w:ascii="Book Antiqua" w:hAnsi="Book Antiqua"/>
          <w:lang w:val="es-ES_tradnl"/>
        </w:rPr>
        <w:t xml:space="preserve"> </w:t>
      </w:r>
      <w:r w:rsidR="009739C0">
        <w:rPr>
          <w:rFonts w:ascii="Book Antiqua" w:hAnsi="Book Antiqua"/>
          <w:lang w:val="es-ES_tradnl"/>
        </w:rPr>
        <w:t xml:space="preserve">con el fin de </w:t>
      </w:r>
      <w:r w:rsidRPr="00585EFC">
        <w:rPr>
          <w:rFonts w:ascii="Book Antiqua" w:hAnsi="Book Antiqua"/>
          <w:lang w:val="es-ES_tradnl"/>
        </w:rPr>
        <w:t xml:space="preserve">establecer un número máximo de </w:t>
      </w:r>
      <w:r w:rsidR="008B32D3">
        <w:rPr>
          <w:rFonts w:ascii="Book Antiqua" w:hAnsi="Book Antiqua"/>
          <w:lang w:val="es-ES_tradnl"/>
        </w:rPr>
        <w:t xml:space="preserve">quince (15) </w:t>
      </w:r>
      <w:r w:rsidRPr="00585EFC">
        <w:rPr>
          <w:rFonts w:ascii="Book Antiqua" w:hAnsi="Book Antiqua"/>
          <w:lang w:val="es-ES_tradnl"/>
        </w:rPr>
        <w:t xml:space="preserve">estudiantes por salón en las escuelas </w:t>
      </w:r>
      <w:r w:rsidR="009739C0" w:rsidRPr="009739C0">
        <w:rPr>
          <w:rFonts w:ascii="Book Antiqua" w:hAnsi="Book Antiqua"/>
          <w:lang w:val="es-ES_tradnl"/>
        </w:rPr>
        <w:t>Sistema de Educación Pública</w:t>
      </w:r>
      <w:r w:rsidR="008B32D3">
        <w:rPr>
          <w:rFonts w:ascii="Book Antiqua" w:hAnsi="Book Antiqua"/>
          <w:lang w:val="es-ES_tradnl"/>
        </w:rPr>
        <w:t xml:space="preserve">; </w:t>
      </w:r>
      <w:r w:rsidRPr="00585EFC">
        <w:rPr>
          <w:rFonts w:ascii="Book Antiqua" w:hAnsi="Book Antiqua"/>
          <w:lang w:val="es-ES_tradnl"/>
        </w:rPr>
        <w:t xml:space="preserve">y </w:t>
      </w:r>
      <w:r w:rsidR="008B32D3">
        <w:rPr>
          <w:rFonts w:ascii="Book Antiqua" w:hAnsi="Book Antiqua"/>
          <w:lang w:val="es-ES_tradnl"/>
        </w:rPr>
        <w:t>para otros fines relacionados</w:t>
      </w:r>
      <w:r w:rsidRPr="00585EFC">
        <w:rPr>
          <w:rFonts w:ascii="Book Antiqua" w:hAnsi="Book Antiqua"/>
          <w:lang w:val="es-ES_tradnl"/>
        </w:rPr>
        <w:t>.</w:t>
      </w:r>
    </w:p>
    <w:p w14:paraId="64969D90" w14:textId="77777777" w:rsidR="00585EFC" w:rsidRDefault="00585EFC" w:rsidP="00144AE4">
      <w:pPr>
        <w:jc w:val="both"/>
        <w:rPr>
          <w:rFonts w:ascii="Book Antiqua" w:hAnsi="Book Antiqua"/>
          <w:lang w:val="es-ES_tradnl"/>
        </w:rPr>
      </w:pPr>
    </w:p>
    <w:p w14:paraId="01278804" w14:textId="77777777" w:rsidR="00585EFC" w:rsidRDefault="00585EFC" w:rsidP="00144AE4">
      <w:pPr>
        <w:jc w:val="center"/>
        <w:rPr>
          <w:rFonts w:ascii="Book Antiqua" w:hAnsi="Book Antiqua"/>
          <w:lang w:val="es-ES_tradnl"/>
        </w:rPr>
      </w:pPr>
      <w:r w:rsidRPr="00A23C07">
        <w:rPr>
          <w:rFonts w:ascii="Book Antiqua" w:hAnsi="Book Antiqua"/>
          <w:lang w:val="es-ES_tradnl"/>
        </w:rPr>
        <w:t>EXPOSICIÓN DE MOTIVOS</w:t>
      </w:r>
    </w:p>
    <w:p w14:paraId="3AB42A6E" w14:textId="77777777" w:rsidR="001B5432" w:rsidRPr="00A23C07" w:rsidRDefault="001B5432" w:rsidP="00144AE4">
      <w:pPr>
        <w:jc w:val="center"/>
        <w:rPr>
          <w:rFonts w:ascii="Book Antiqua" w:hAnsi="Book Antiqua"/>
          <w:lang w:val="es-ES_tradnl"/>
        </w:rPr>
      </w:pPr>
    </w:p>
    <w:p w14:paraId="68670226" w14:textId="77777777" w:rsidR="00A23C07" w:rsidRDefault="00A23C07" w:rsidP="00144AE4">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El sistema educativo en Puerto Rico enfrenta retos históricos que demandan una transformación profunda y estructural para garantizar una educación de calidad, inclusiva y equitativa. Entre estos desafíos, la cantidad elevada de estudiantes por salón de clases continúa siendo un obstáculo significativo para alcanzar los objetivos de aprendizaje y desarrollo estudiantil.</w:t>
      </w:r>
    </w:p>
    <w:p w14:paraId="3D088641"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52CA5CA5" w14:textId="77777777"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La evidencia internacional respalda una tendencia clara hacia la reducción del tamaño de los grupos escolares como mecanismo para mejorar los resultados educativos. En sistemas educativos destacados, como los de países escandinavos, donde los salones de clases suelen tener entre 13 y 15 estudiantes, se han logrado consistentemente mejores resultados en áreas clave como lectura, matemáticas y pensamiento crítico</w:t>
      </w:r>
      <w:r w:rsidRPr="000D7BD6">
        <w:rPr>
          <w:color w:val="000000"/>
          <w:lang w:val="es-PR"/>
        </w:rPr>
        <w:t>​​</w:t>
      </w:r>
      <w:r w:rsidRPr="000D7BD6">
        <w:rPr>
          <w:rFonts w:ascii="Book Antiqua" w:hAnsi="Book Antiqua"/>
          <w:color w:val="000000"/>
          <w:lang w:val="es-PR"/>
        </w:rPr>
        <w:t xml:space="preserve">. Asimismo, en varios estados de los Estados Unidos, el límite promedio implementado para garantizar una enseñanza personalizada se encuentra en el rango de 15 estudiantes por salón de </w:t>
      </w:r>
      <w:r w:rsidRPr="000D7BD6">
        <w:rPr>
          <w:rFonts w:ascii="Book Antiqua" w:hAnsi="Book Antiqua"/>
          <w:color w:val="000000"/>
          <w:lang w:val="es-PR"/>
        </w:rPr>
        <w:lastRenderedPageBreak/>
        <w:t>clases, siendo este estándar una referencia para alcanzar una educación efectiva y equitativa</w:t>
      </w:r>
      <w:r w:rsidRPr="000D7BD6">
        <w:rPr>
          <w:color w:val="000000"/>
          <w:lang w:val="es-PR"/>
        </w:rPr>
        <w:t>​</w:t>
      </w:r>
      <w:r w:rsidRPr="000D7BD6">
        <w:rPr>
          <w:rFonts w:ascii="Book Antiqua" w:hAnsi="Book Antiqua"/>
          <w:color w:val="000000"/>
          <w:lang w:val="es-PR"/>
        </w:rPr>
        <w:t>.</w:t>
      </w:r>
    </w:p>
    <w:p w14:paraId="13A417B1" w14:textId="77777777" w:rsidR="005C36A9" w:rsidRDefault="005C36A9" w:rsidP="001B5432">
      <w:pPr>
        <w:pStyle w:val="NormalWeb"/>
        <w:spacing w:before="0" w:beforeAutospacing="0" w:after="0" w:afterAutospacing="0"/>
        <w:ind w:firstLine="360"/>
        <w:jc w:val="both"/>
        <w:rPr>
          <w:rFonts w:ascii="Book Antiqua" w:hAnsi="Book Antiqua"/>
          <w:color w:val="000000"/>
          <w:lang w:val="es-PR"/>
        </w:rPr>
      </w:pPr>
    </w:p>
    <w:p w14:paraId="385114E9" w14:textId="77777777"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En Puerto Rico, la matrícula total del Departamento de Educación ha tenido una merma significativa en los últimos años, con una reducción de más de 18,000 estudiantes solo en el último ciclo escolar, proyectándose en 222,023 estudiantes para el presente año</w:t>
      </w:r>
      <w:r w:rsidRPr="000D7BD6">
        <w:rPr>
          <w:color w:val="000000"/>
          <w:lang w:val="es-PR"/>
        </w:rPr>
        <w:t>​</w:t>
      </w:r>
      <w:r w:rsidRPr="000D7BD6">
        <w:rPr>
          <w:rFonts w:ascii="Book Antiqua" w:hAnsi="Book Antiqua"/>
          <w:color w:val="000000"/>
          <w:lang w:val="es-PR"/>
        </w:rPr>
        <w:t>. Esta realidad plantea una oportunidad única para rediseñar el sistema educativo hacia modelos más efectivos, comenzando con la implementación de un límite de 15 estudiantes por salón de clases. Esta medida permitirá individualizar la enseñanza, atender con mayor efectividad a los estudiantes y evitar el cierre de escuelas, abriendo además oportunidades para la contratación de maestros excedentes</w:t>
      </w:r>
      <w:r w:rsidRPr="000D7BD6">
        <w:rPr>
          <w:color w:val="000000"/>
          <w:lang w:val="es-PR"/>
        </w:rPr>
        <w:t>​</w:t>
      </w:r>
      <w:r w:rsidRPr="000D7BD6">
        <w:rPr>
          <w:rFonts w:ascii="Book Antiqua" w:hAnsi="Book Antiqua"/>
          <w:color w:val="000000"/>
          <w:lang w:val="es-PR"/>
        </w:rPr>
        <w:t>.</w:t>
      </w:r>
    </w:p>
    <w:p w14:paraId="451A619F"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199C08DC" w14:textId="77777777"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El impacto positivo de los grupos reducidos en el aprendizaje está ampliamente documentado en investigaciones internacionales de alto impacto. Según un análisis del Proyecto STAR (Student Teacher Achievement Ratio), un estudio longitudinal realizado en los Estados Unidos, los salones de clases con entre 13 y 15 estudiantes incrementaron significativamente el dominio en lectura y matemáticas, y los estudiantes en estos grupos pequeños tuvieron un 11% más de probabilidades de graduarse de la escuela secundaria en comparación con aquellos en grupos más grandes</w:t>
      </w:r>
      <w:r w:rsidRPr="000D7BD6">
        <w:rPr>
          <w:color w:val="000000"/>
          <w:lang w:val="es-PR"/>
        </w:rPr>
        <w:t>​</w:t>
      </w:r>
      <w:r w:rsidRPr="000D7BD6">
        <w:rPr>
          <w:rFonts w:ascii="Book Antiqua" w:hAnsi="Book Antiqua"/>
          <w:color w:val="000000"/>
          <w:lang w:val="es-PR"/>
        </w:rPr>
        <w:t>. Estos hallazgos subrayan la importancia de implementar este tipo de medidas para reducir las brechas educativas y fomentar la equidad social.</w:t>
      </w:r>
    </w:p>
    <w:p w14:paraId="024CF512"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120CAE13" w14:textId="121155EA"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En Puerto Rico, casi un 40% de la matrícula pertenece al Programa de Educación Especial, un segmento que se beneficiaría enormemente de esta medida. Los estudiantes de este programa requieren atención individualizada para alcanzar su máximo potencial, lo que solo es viable en salones de clases con menos de 15 estudiantes, donde los recursos pueden enfocarse de manera más efectiva en las necesidades específicas de cada alumno.</w:t>
      </w:r>
    </w:p>
    <w:p w14:paraId="2E0BD4DA"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0B7ED3B1" w14:textId="77777777"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Desde una perspectiva económica y social, la reducción del tamaño de los grupos en los salones de clases genera beneficios tangibles a largo plazo. Estudios internacionales han demostrado que las clases pequeñas, con un máximo de 15 estudiantes, no solo mejoran los logros académicos, sino que también aportan beneficios económicos sustanciales. Por ejemplo, un análisis de costo-beneficio realizado en sistemas escolares de los Estados Unidos concluyó que cada estudiante adicional que se gradúa tras haber estudiado en un entorno de grupos pequeños aporta un ahorro neto de $168,000 en costos relacionados con la salud, justicia y bienestar social. Además, en el caso de estudiantes de bajos ingresos, este ahorro puede alcanzar los $196,000 por graduado, gracias al incremento en ingresos futuros, mayor estabilidad laboral y acceso a mejores condiciones de vida</w:t>
      </w:r>
      <w:r w:rsidRPr="000D7BD6">
        <w:rPr>
          <w:color w:val="000000"/>
          <w:lang w:val="es-PR"/>
        </w:rPr>
        <w:t>​​</w:t>
      </w:r>
      <w:r w:rsidRPr="000D7BD6">
        <w:rPr>
          <w:rFonts w:ascii="Book Antiqua" w:hAnsi="Book Antiqua"/>
          <w:color w:val="000000"/>
          <w:lang w:val="es-PR"/>
        </w:rPr>
        <w:t>. Estos datos subrayan que las políticas educativas que priorizan la calidad por encima de la cantidad son una inversión social y económica sostenible.</w:t>
      </w:r>
    </w:p>
    <w:p w14:paraId="4B84AB8B"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1B8BD70A" w14:textId="77777777"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 xml:space="preserve">Ante este panorama, esta Asamblea Legislativa adopta esta medida con el propósito de establecer un límite máximo de 15 estudiantes por salón de clases en las escuelas </w:t>
      </w:r>
      <w:r w:rsidRPr="000D7BD6">
        <w:rPr>
          <w:rFonts w:ascii="Book Antiqua" w:hAnsi="Book Antiqua"/>
          <w:color w:val="000000"/>
          <w:lang w:val="es-PR"/>
        </w:rPr>
        <w:lastRenderedPageBreak/>
        <w:t>públicas del país. Esta política pública no solo busca garantizar la calidad en los servicios educativos, sino también fomentar el desarrollo académico y emocional de los estudiantes, y propiciar entornos de aprendizaje seguros y sostenibles.</w:t>
      </w:r>
    </w:p>
    <w:p w14:paraId="4C298C82" w14:textId="77777777" w:rsidR="005C36A9" w:rsidRDefault="005C36A9" w:rsidP="001B5432">
      <w:pPr>
        <w:pStyle w:val="NormalWeb"/>
        <w:spacing w:before="0" w:beforeAutospacing="0" w:after="0" w:afterAutospacing="0"/>
        <w:ind w:firstLine="360"/>
        <w:jc w:val="both"/>
        <w:rPr>
          <w:rFonts w:ascii="Book Antiqua" w:hAnsi="Book Antiqua"/>
          <w:color w:val="000000"/>
          <w:lang w:val="es-PR"/>
        </w:rPr>
      </w:pPr>
    </w:p>
    <w:p w14:paraId="50F2DB0D" w14:textId="5E7BADE7" w:rsidR="0010293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Reducir el tamaño de los salones de clases representa un compromiso con la equidad educativa y el desarrollo humano, alineando a Puerto Rico con las mejores prácticas internacionales y marcando un paso decisivo hacia un sistema educativo que priorice la calidad sobre la cantidad.</w:t>
      </w:r>
    </w:p>
    <w:p w14:paraId="41B70A75"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3F6992BF" w14:textId="11338797" w:rsidR="00585EFC" w:rsidRDefault="00585EFC" w:rsidP="00144AE4">
      <w:pPr>
        <w:spacing w:line="480" w:lineRule="auto"/>
        <w:rPr>
          <w:rFonts w:ascii="Book Antiqua" w:hAnsi="Book Antiqua"/>
          <w:lang w:val="es-ES_tradnl"/>
        </w:rPr>
      </w:pPr>
      <w:r w:rsidRPr="00E24C92">
        <w:rPr>
          <w:rFonts w:ascii="Book Antiqua" w:hAnsi="Book Antiqua"/>
          <w:i/>
          <w:lang w:val="es-ES_tradnl"/>
        </w:rPr>
        <w:t>DECRÉTASE POR LA ASAMBLEA LEGISLATIVA DE PUERTO RICO:</w:t>
      </w:r>
    </w:p>
    <w:p w14:paraId="6159AFC2" w14:textId="77777777" w:rsidR="001B5432" w:rsidRPr="00E24C92" w:rsidRDefault="001B5432" w:rsidP="001B5432">
      <w:pPr>
        <w:jc w:val="both"/>
        <w:rPr>
          <w:rFonts w:ascii="Book Antiqua" w:hAnsi="Book Antiqua"/>
          <w:lang w:val="es-ES_tradnl"/>
        </w:rPr>
        <w:sectPr w:rsidR="001B5432" w:rsidRPr="00E24C92">
          <w:headerReference w:type="default" r:id="rId8"/>
          <w:type w:val="continuous"/>
          <w:pgSz w:w="12240" w:h="15840" w:code="1"/>
          <w:pgMar w:top="1440" w:right="1440" w:bottom="1440" w:left="1440" w:header="720" w:footer="720" w:gutter="0"/>
          <w:cols w:space="720"/>
          <w:titlePg/>
        </w:sectPr>
      </w:pPr>
    </w:p>
    <w:p w14:paraId="48B89126" w14:textId="5607F083" w:rsidR="00585EFC" w:rsidRPr="00E24C92" w:rsidRDefault="00585EFC" w:rsidP="00585EFC">
      <w:pPr>
        <w:spacing w:line="480" w:lineRule="auto"/>
        <w:ind w:firstLine="360"/>
        <w:jc w:val="both"/>
        <w:rPr>
          <w:rFonts w:ascii="Book Antiqua" w:hAnsi="Book Antiqua"/>
          <w:lang w:val="es-ES_tradnl"/>
        </w:rPr>
      </w:pPr>
      <w:r w:rsidRPr="00E24C92">
        <w:rPr>
          <w:rFonts w:ascii="Book Antiqua" w:hAnsi="Book Antiqua"/>
          <w:lang w:val="es-ES_tradnl"/>
        </w:rPr>
        <w:t>Artículo 1. –</w:t>
      </w:r>
      <w:r w:rsidR="00264997" w:rsidRPr="00880033">
        <w:rPr>
          <w:lang w:val="es-PR"/>
        </w:rPr>
        <w:t xml:space="preserve"> </w:t>
      </w:r>
      <w:r w:rsidR="00264997" w:rsidRPr="00E24C92">
        <w:rPr>
          <w:rFonts w:ascii="Book Antiqua" w:hAnsi="Book Antiqua"/>
          <w:lang w:val="es-ES_tradnl"/>
        </w:rPr>
        <w:t>Se añade un nuevo subinciso 69 al inciso (b) del Artículo 2.04 de la Ley 85-2018</w:t>
      </w:r>
      <w:r w:rsidR="00A23C07">
        <w:rPr>
          <w:rFonts w:ascii="Book Antiqua" w:hAnsi="Book Antiqua"/>
          <w:lang w:val="es-ES_tradnl"/>
        </w:rPr>
        <w:t xml:space="preserve">, según enmendada, conocida como </w:t>
      </w:r>
      <w:r w:rsidR="00A23C07" w:rsidRPr="00A23C07">
        <w:rPr>
          <w:rFonts w:ascii="Book Antiqua" w:hAnsi="Book Antiqua"/>
          <w:lang w:val="es-ES_tradnl"/>
        </w:rPr>
        <w:t>“Ley de Reforma Educativa de Puerto Rico”</w:t>
      </w:r>
      <w:r w:rsidR="00264997" w:rsidRPr="00E24C92">
        <w:rPr>
          <w:rFonts w:ascii="Book Antiqua" w:hAnsi="Book Antiqua"/>
          <w:lang w:val="es-ES_tradnl"/>
        </w:rPr>
        <w:t xml:space="preserve"> para que lean como sigue:</w:t>
      </w:r>
    </w:p>
    <w:p w14:paraId="418020A0" w14:textId="5F767290" w:rsidR="00264997" w:rsidRPr="00E24C92" w:rsidRDefault="00A506DE" w:rsidP="00A506DE">
      <w:pPr>
        <w:pStyle w:val="ListParagraph"/>
        <w:spacing w:line="480" w:lineRule="auto"/>
        <w:ind w:left="1080"/>
        <w:jc w:val="both"/>
        <w:rPr>
          <w:rFonts w:ascii="Book Antiqua" w:hAnsi="Book Antiqua"/>
          <w:lang w:val="es-ES_tradnl"/>
        </w:rPr>
      </w:pPr>
      <w:r w:rsidRPr="00E24C92">
        <w:rPr>
          <w:rFonts w:ascii="Book Antiqua" w:hAnsi="Book Antiqua"/>
          <w:lang w:val="es-ES_tradnl"/>
        </w:rPr>
        <w:t xml:space="preserve">“(a) </w:t>
      </w:r>
      <w:r w:rsidR="00264997" w:rsidRPr="00E24C92">
        <w:rPr>
          <w:rFonts w:ascii="Book Antiqua" w:hAnsi="Book Antiqua"/>
          <w:lang w:val="es-ES_tradnl"/>
        </w:rPr>
        <w:t>…</w:t>
      </w:r>
    </w:p>
    <w:p w14:paraId="2B45352B" w14:textId="38649B72" w:rsidR="00264997" w:rsidRPr="00E24C92" w:rsidRDefault="00A506DE" w:rsidP="00A506DE">
      <w:pPr>
        <w:pStyle w:val="ListParagraph"/>
        <w:spacing w:line="480" w:lineRule="auto"/>
        <w:ind w:left="1080"/>
        <w:jc w:val="both"/>
        <w:rPr>
          <w:rFonts w:ascii="Book Antiqua" w:hAnsi="Book Antiqua"/>
          <w:lang w:val="es-ES_tradnl"/>
        </w:rPr>
      </w:pPr>
      <w:r w:rsidRPr="00E24C92">
        <w:rPr>
          <w:rFonts w:ascii="Book Antiqua" w:hAnsi="Book Antiqua"/>
          <w:lang w:val="es-ES_tradnl"/>
        </w:rPr>
        <w:t xml:space="preserve">  (b) </w:t>
      </w:r>
      <w:r w:rsidR="00264997" w:rsidRPr="00E24C92">
        <w:rPr>
          <w:rFonts w:ascii="Book Antiqua" w:hAnsi="Book Antiqua"/>
          <w:lang w:val="es-ES_tradnl"/>
        </w:rPr>
        <w:t>El Secretario deberá:</w:t>
      </w:r>
    </w:p>
    <w:p w14:paraId="6399CA50" w14:textId="5D8DEB22" w:rsidR="00264997" w:rsidRPr="00E24C92" w:rsidRDefault="00264997" w:rsidP="00264997">
      <w:pPr>
        <w:pStyle w:val="ListParagraph"/>
        <w:numPr>
          <w:ilvl w:val="0"/>
          <w:numId w:val="2"/>
        </w:numPr>
        <w:spacing w:line="480" w:lineRule="auto"/>
        <w:jc w:val="both"/>
        <w:rPr>
          <w:rFonts w:ascii="Book Antiqua" w:hAnsi="Book Antiqua"/>
          <w:lang w:val="es-ES_tradnl"/>
        </w:rPr>
      </w:pPr>
      <w:r w:rsidRPr="00E24C92">
        <w:rPr>
          <w:rFonts w:ascii="Book Antiqua" w:hAnsi="Book Antiqua"/>
          <w:lang w:val="es-ES_tradnl"/>
        </w:rPr>
        <w:t>…</w:t>
      </w:r>
    </w:p>
    <w:p w14:paraId="17580786" w14:textId="316FCECA" w:rsidR="00264997" w:rsidRPr="00E24C92" w:rsidRDefault="00264997" w:rsidP="00264997">
      <w:pPr>
        <w:pStyle w:val="ListParagraph"/>
        <w:numPr>
          <w:ilvl w:val="0"/>
          <w:numId w:val="2"/>
        </w:numPr>
        <w:spacing w:line="480" w:lineRule="auto"/>
        <w:jc w:val="both"/>
        <w:rPr>
          <w:rFonts w:ascii="Book Antiqua" w:hAnsi="Book Antiqua"/>
          <w:lang w:val="es-ES_tradnl"/>
        </w:rPr>
      </w:pPr>
      <w:r w:rsidRPr="00E24C92">
        <w:rPr>
          <w:rFonts w:ascii="Book Antiqua" w:hAnsi="Book Antiqua"/>
          <w:lang w:val="es-ES_tradnl"/>
        </w:rPr>
        <w:t>…</w:t>
      </w:r>
    </w:p>
    <w:p w14:paraId="43A0E378" w14:textId="1D20321D" w:rsidR="00264997" w:rsidRPr="00E24C92" w:rsidRDefault="00264997" w:rsidP="00A506DE">
      <w:pPr>
        <w:spacing w:line="480" w:lineRule="auto"/>
        <w:ind w:left="1080" w:firstLine="360"/>
        <w:jc w:val="both"/>
        <w:rPr>
          <w:rFonts w:ascii="Book Antiqua" w:hAnsi="Book Antiqua"/>
          <w:lang w:val="es-ES_tradnl"/>
        </w:rPr>
      </w:pPr>
      <w:r w:rsidRPr="00E24C92">
        <w:rPr>
          <w:rFonts w:ascii="Book Antiqua" w:hAnsi="Book Antiqua"/>
          <w:lang w:val="es-ES_tradnl"/>
        </w:rPr>
        <w:t>…</w:t>
      </w:r>
    </w:p>
    <w:p w14:paraId="1593D2EE" w14:textId="6D811D59" w:rsidR="00264997" w:rsidRPr="00A506DE" w:rsidRDefault="00264997" w:rsidP="00A506DE">
      <w:pPr>
        <w:spacing w:line="480" w:lineRule="auto"/>
        <w:ind w:left="1843" w:hanging="403"/>
        <w:jc w:val="both"/>
        <w:rPr>
          <w:rFonts w:ascii="Book Antiqua" w:hAnsi="Book Antiqua"/>
          <w:lang w:val="es-ES_tradnl"/>
        </w:rPr>
      </w:pPr>
      <w:r w:rsidRPr="00E24C92">
        <w:rPr>
          <w:rFonts w:ascii="Book Antiqua" w:hAnsi="Book Antiqua"/>
          <w:lang w:val="es-ES_tradnl"/>
        </w:rPr>
        <w:t>69. Establecer, implementar y supervisar el límite máximo de estudiantes por salón en las escuelas públicas del Sistema de Educación Pública, conforme a las necesidades</w:t>
      </w:r>
      <w:r w:rsidRPr="00264997">
        <w:rPr>
          <w:rFonts w:ascii="Book Antiqua" w:hAnsi="Book Antiqua"/>
          <w:lang w:val="es-ES_tradnl"/>
        </w:rPr>
        <w:t xml:space="preserve"> pedagógicas y al bienestar estudiantil. Este límite deberá </w:t>
      </w:r>
      <w:r w:rsidR="00A506DE">
        <w:rPr>
          <w:rFonts w:ascii="Book Antiqua" w:hAnsi="Book Antiqua"/>
          <w:lang w:val="es-ES_tradnl"/>
        </w:rPr>
        <w:t>obedecer a los mejores</w:t>
      </w:r>
      <w:r w:rsidRPr="00264997">
        <w:rPr>
          <w:rFonts w:ascii="Book Antiqua" w:hAnsi="Book Antiqua"/>
          <w:lang w:val="es-ES_tradnl"/>
        </w:rPr>
        <w:t xml:space="preserve"> estándares de calidad educativa</w:t>
      </w:r>
      <w:r w:rsidR="00A506DE">
        <w:rPr>
          <w:rFonts w:ascii="Book Antiqua" w:hAnsi="Book Antiqua"/>
          <w:lang w:val="es-ES_tradnl"/>
        </w:rPr>
        <w:t xml:space="preserve"> pero nunca </w:t>
      </w:r>
      <w:r w:rsidR="00A506DE" w:rsidRPr="00A506DE">
        <w:rPr>
          <w:rFonts w:ascii="Book Antiqua" w:hAnsi="Book Antiqua"/>
          <w:lang w:val="es-ES_tradnl"/>
        </w:rPr>
        <w:t>podrá sobrepasar los quince (15) estudiantes</w:t>
      </w:r>
      <w:r w:rsidR="00A506DE">
        <w:rPr>
          <w:rFonts w:ascii="Book Antiqua" w:hAnsi="Book Antiqua"/>
          <w:lang w:val="es-ES_tradnl"/>
        </w:rPr>
        <w:t xml:space="preserve"> por salón. Deberá establecer límites adecuados correspondientes al nivel </w:t>
      </w:r>
      <w:r w:rsidRPr="00264997">
        <w:rPr>
          <w:rFonts w:ascii="Book Antiqua" w:hAnsi="Book Antiqua"/>
          <w:lang w:val="es-ES_tradnl"/>
        </w:rPr>
        <w:t xml:space="preserve">escolar: </w:t>
      </w:r>
      <w:r w:rsidR="00A506DE" w:rsidRPr="00A506DE">
        <w:rPr>
          <w:rFonts w:ascii="Book Antiqua" w:hAnsi="Book Antiqua"/>
          <w:lang w:val="es-ES_tradnl"/>
        </w:rPr>
        <w:t>en los grados de Pre-Kindergarten a Tercero</w:t>
      </w:r>
      <w:r w:rsidR="00A506DE">
        <w:rPr>
          <w:rFonts w:ascii="Book Antiqua" w:hAnsi="Book Antiqua"/>
          <w:lang w:val="es-ES_tradnl"/>
        </w:rPr>
        <w:t xml:space="preserve">, </w:t>
      </w:r>
      <w:r w:rsidR="00A506DE" w:rsidRPr="00A506DE">
        <w:rPr>
          <w:rFonts w:ascii="Book Antiqua" w:hAnsi="Book Antiqua"/>
          <w:lang w:val="es-ES_tradnl"/>
        </w:rPr>
        <w:t>de Cuarto a Sexto</w:t>
      </w:r>
      <w:r w:rsidR="00A506DE">
        <w:rPr>
          <w:rFonts w:ascii="Book Antiqua" w:hAnsi="Book Antiqua"/>
          <w:lang w:val="es-ES_tradnl"/>
        </w:rPr>
        <w:t xml:space="preserve">, </w:t>
      </w:r>
      <w:r w:rsidR="00A506DE" w:rsidRPr="00A506DE">
        <w:rPr>
          <w:rFonts w:ascii="Book Antiqua" w:hAnsi="Book Antiqua"/>
          <w:lang w:val="es-ES_tradnl"/>
        </w:rPr>
        <w:t>de Séptimo a Noveno</w:t>
      </w:r>
      <w:r w:rsidR="00A506DE">
        <w:rPr>
          <w:rFonts w:ascii="Book Antiqua" w:hAnsi="Book Antiqua"/>
          <w:lang w:val="es-ES_tradnl"/>
        </w:rPr>
        <w:t xml:space="preserve"> y </w:t>
      </w:r>
      <w:r w:rsidR="00A506DE" w:rsidRPr="00A506DE">
        <w:rPr>
          <w:rFonts w:ascii="Book Antiqua" w:hAnsi="Book Antiqua"/>
          <w:lang w:val="es-ES_tradnl"/>
        </w:rPr>
        <w:t>de Décimo a Duodécim</w:t>
      </w:r>
      <w:r w:rsidR="00A506DE">
        <w:rPr>
          <w:rFonts w:ascii="Book Antiqua" w:hAnsi="Book Antiqua"/>
          <w:lang w:val="es-ES_tradnl"/>
        </w:rPr>
        <w:t>o</w:t>
      </w:r>
      <w:r w:rsidR="00A506DE" w:rsidRPr="00A506DE">
        <w:rPr>
          <w:rFonts w:ascii="Book Antiqua" w:hAnsi="Book Antiqua"/>
          <w:lang w:val="es-ES_tradnl"/>
        </w:rPr>
        <w:t>.</w:t>
      </w:r>
      <w:r w:rsidR="00E24C92">
        <w:rPr>
          <w:rFonts w:ascii="Book Antiqua" w:hAnsi="Book Antiqua"/>
          <w:lang w:val="es-ES_tradnl"/>
        </w:rPr>
        <w:t>”</w:t>
      </w:r>
    </w:p>
    <w:p w14:paraId="6E88CF1E" w14:textId="4A1E7900" w:rsidR="00E24C92" w:rsidRDefault="00585EFC" w:rsidP="00E24C92">
      <w:pPr>
        <w:widowControl w:val="0"/>
        <w:spacing w:line="480" w:lineRule="auto"/>
        <w:ind w:firstLine="709"/>
        <w:jc w:val="both"/>
        <w:rPr>
          <w:rFonts w:ascii="Book Antiqua" w:hAnsi="Book Antiqua"/>
          <w:lang w:val="es-ES_tradnl"/>
        </w:rPr>
      </w:pPr>
      <w:r w:rsidRPr="008B32D3">
        <w:rPr>
          <w:rFonts w:ascii="Book Antiqua" w:hAnsi="Book Antiqua"/>
          <w:highlight w:val="yellow"/>
          <w:lang w:val="es-ES_tradnl"/>
        </w:rPr>
        <w:lastRenderedPageBreak/>
        <w:tab/>
      </w:r>
      <w:r w:rsidR="00E24C92" w:rsidRPr="003D6CEE">
        <w:rPr>
          <w:rFonts w:ascii="Book Antiqua" w:hAnsi="Book Antiqua"/>
          <w:lang w:val="es-ES_tradnl"/>
        </w:rPr>
        <w:t xml:space="preserve">Artículo </w:t>
      </w:r>
      <w:r w:rsidR="00E24C92">
        <w:rPr>
          <w:rFonts w:ascii="Book Antiqua" w:hAnsi="Book Antiqua"/>
          <w:lang w:val="es-ES_tradnl"/>
        </w:rPr>
        <w:t>2</w:t>
      </w:r>
      <w:r w:rsidR="00E24C92" w:rsidRPr="003D6CEE">
        <w:rPr>
          <w:rFonts w:ascii="Book Antiqua" w:hAnsi="Book Antiqua"/>
          <w:lang w:val="es-ES_tradnl"/>
        </w:rPr>
        <w:t xml:space="preserve">.- </w:t>
      </w:r>
      <w:r w:rsidR="00E24C92">
        <w:rPr>
          <w:rFonts w:ascii="Book Antiqua" w:hAnsi="Book Antiqua"/>
          <w:lang w:val="es-ES_tradnl"/>
        </w:rPr>
        <w:t>Ejecución</w:t>
      </w:r>
    </w:p>
    <w:p w14:paraId="2320D89B" w14:textId="293A75CF" w:rsidR="00E24C92" w:rsidRDefault="00E24C92" w:rsidP="00E24C92">
      <w:pPr>
        <w:widowControl w:val="0"/>
        <w:spacing w:line="480" w:lineRule="auto"/>
        <w:ind w:firstLine="709"/>
        <w:jc w:val="both"/>
        <w:rPr>
          <w:rFonts w:ascii="Book Antiqua" w:hAnsi="Book Antiqua"/>
          <w:lang w:val="es-ES_tradnl"/>
        </w:rPr>
      </w:pPr>
      <w:r w:rsidRPr="00E24C92">
        <w:rPr>
          <w:rFonts w:ascii="Book Antiqua" w:hAnsi="Book Antiqua"/>
          <w:lang w:val="es-ES_tradnl"/>
        </w:rPr>
        <w:t xml:space="preserve">El Departamento de Educación tendrá la obligación de realizar </w:t>
      </w:r>
      <w:r>
        <w:rPr>
          <w:rFonts w:ascii="Book Antiqua" w:hAnsi="Book Antiqua"/>
          <w:lang w:val="es-ES_tradnl"/>
        </w:rPr>
        <w:t xml:space="preserve">todas </w:t>
      </w:r>
      <w:r w:rsidRPr="00E24C92">
        <w:rPr>
          <w:rFonts w:ascii="Book Antiqua" w:hAnsi="Book Antiqua"/>
          <w:lang w:val="es-ES_tradnl"/>
        </w:rPr>
        <w:t xml:space="preserve">las gestiones necesarias para garantizar el cumplimiento </w:t>
      </w:r>
      <w:r>
        <w:rPr>
          <w:rFonts w:ascii="Book Antiqua" w:hAnsi="Book Antiqua"/>
          <w:lang w:val="es-ES_tradnl"/>
        </w:rPr>
        <w:t>lo aquí dispuesto</w:t>
      </w:r>
      <w:r w:rsidRPr="00E24C92">
        <w:rPr>
          <w:rFonts w:ascii="Book Antiqua" w:hAnsi="Book Antiqua"/>
          <w:lang w:val="es-ES_tradnl"/>
        </w:rPr>
        <w:t xml:space="preserve"> </w:t>
      </w:r>
      <w:r>
        <w:rPr>
          <w:rFonts w:ascii="Book Antiqua" w:hAnsi="Book Antiqua"/>
          <w:lang w:val="es-ES_tradnl"/>
        </w:rPr>
        <w:t xml:space="preserve">en o </w:t>
      </w:r>
      <w:r w:rsidRPr="00E24C92">
        <w:rPr>
          <w:rFonts w:ascii="Book Antiqua" w:hAnsi="Book Antiqua"/>
          <w:lang w:val="es-ES_tradnl"/>
        </w:rPr>
        <w:t xml:space="preserve">antes del inicio </w:t>
      </w:r>
      <w:r>
        <w:rPr>
          <w:rFonts w:ascii="Book Antiqua" w:hAnsi="Book Antiqua"/>
          <w:lang w:val="es-ES_tradnl"/>
        </w:rPr>
        <w:t xml:space="preserve">del </w:t>
      </w:r>
      <w:r w:rsidRPr="00E24C92">
        <w:rPr>
          <w:rFonts w:ascii="Book Antiqua" w:hAnsi="Book Antiqua"/>
          <w:lang w:val="es-ES_tradnl"/>
        </w:rPr>
        <w:t>año académico</w:t>
      </w:r>
      <w:r>
        <w:rPr>
          <w:rFonts w:ascii="Book Antiqua" w:hAnsi="Book Antiqua"/>
          <w:lang w:val="es-ES_tradnl"/>
        </w:rPr>
        <w:t xml:space="preserve"> siguiente a la aprobación de la presente Ley.</w:t>
      </w:r>
    </w:p>
    <w:p w14:paraId="73073D43" w14:textId="28E83011" w:rsidR="00E24C92" w:rsidRDefault="00E24C92" w:rsidP="00E24C92">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w:t>
      </w:r>
      <w:r>
        <w:rPr>
          <w:rFonts w:ascii="Book Antiqua" w:hAnsi="Book Antiqua"/>
          <w:lang w:val="es-ES_tradnl"/>
        </w:rPr>
        <w:t>3</w:t>
      </w:r>
      <w:r w:rsidRPr="003D6CEE">
        <w:rPr>
          <w:rFonts w:ascii="Book Antiqua" w:hAnsi="Book Antiqua"/>
          <w:lang w:val="es-ES_tradnl"/>
        </w:rPr>
        <w:t xml:space="preserve">.- </w:t>
      </w:r>
      <w:r>
        <w:rPr>
          <w:rFonts w:ascii="Book Antiqua" w:hAnsi="Book Antiqua"/>
          <w:lang w:val="es-ES_tradnl"/>
        </w:rPr>
        <w:t>Reglamentación</w:t>
      </w:r>
    </w:p>
    <w:p w14:paraId="77C63B55" w14:textId="4D807D90" w:rsidR="00E24C92" w:rsidRDefault="00E24C92" w:rsidP="00E24C92">
      <w:pPr>
        <w:widowControl w:val="0"/>
        <w:spacing w:line="480" w:lineRule="auto"/>
        <w:ind w:firstLine="709"/>
        <w:jc w:val="both"/>
        <w:rPr>
          <w:rFonts w:ascii="Book Antiqua" w:hAnsi="Book Antiqua"/>
          <w:lang w:val="es-ES_tradnl"/>
        </w:rPr>
      </w:pPr>
      <w:r>
        <w:rPr>
          <w:rFonts w:ascii="Book Antiqua" w:hAnsi="Book Antiqua"/>
          <w:lang w:val="es-ES_tradnl"/>
        </w:rPr>
        <w:t xml:space="preserve">El Departamento de Educación </w:t>
      </w:r>
      <w:r w:rsidRPr="00C710D9">
        <w:rPr>
          <w:rFonts w:ascii="Book Antiqua" w:hAnsi="Book Antiqua"/>
          <w:lang w:val="es-ES_tradnl"/>
        </w:rPr>
        <w:t>tendrán un término de noventa (90) días a partir de la aprobación de est</w:t>
      </w:r>
      <w:r>
        <w:rPr>
          <w:rFonts w:ascii="Book Antiqua" w:hAnsi="Book Antiqua"/>
          <w:lang w:val="es-ES_tradnl"/>
        </w:rPr>
        <w:t>a</w:t>
      </w:r>
      <w:r w:rsidRPr="00C710D9">
        <w:rPr>
          <w:rFonts w:ascii="Book Antiqua" w:hAnsi="Book Antiqua"/>
          <w:lang w:val="es-ES_tradnl"/>
        </w:rPr>
        <w:t xml:space="preserve"> </w:t>
      </w:r>
      <w:r>
        <w:rPr>
          <w:rFonts w:ascii="Book Antiqua" w:hAnsi="Book Antiqua"/>
          <w:lang w:val="es-ES_tradnl"/>
        </w:rPr>
        <w:t>Ley</w:t>
      </w:r>
      <w:r w:rsidRPr="00C710D9">
        <w:rPr>
          <w:rFonts w:ascii="Book Antiqua" w:hAnsi="Book Antiqua"/>
          <w:lang w:val="es-ES_tradnl"/>
        </w:rPr>
        <w:t xml:space="preserve"> para atemperar sus reglamentos, procesos o formularios de conformidad a las disposiciones aquí contenidas</w:t>
      </w:r>
      <w:r>
        <w:rPr>
          <w:rFonts w:ascii="Book Antiqua" w:hAnsi="Book Antiqua"/>
          <w:lang w:val="es-ES_tradnl"/>
        </w:rPr>
        <w:t xml:space="preserve">. </w:t>
      </w:r>
    </w:p>
    <w:p w14:paraId="0ADF1FCC" w14:textId="77777777" w:rsidR="00E24C92" w:rsidRDefault="00E24C92" w:rsidP="00E24C92">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w:t>
      </w:r>
      <w:r>
        <w:rPr>
          <w:rFonts w:ascii="Book Antiqua" w:hAnsi="Book Antiqua"/>
          <w:lang w:val="es-ES_tradnl"/>
        </w:rPr>
        <w:t>11</w:t>
      </w:r>
      <w:r w:rsidRPr="003D6CEE">
        <w:rPr>
          <w:rFonts w:ascii="Book Antiqua" w:hAnsi="Book Antiqua"/>
          <w:lang w:val="es-ES_tradnl"/>
        </w:rPr>
        <w:t>.- Cláusula de Separabilidad.</w:t>
      </w:r>
    </w:p>
    <w:p w14:paraId="57F7762D" w14:textId="77777777" w:rsidR="00E24C92" w:rsidRPr="00E24C92" w:rsidRDefault="00E24C92" w:rsidP="00E24C92">
      <w:pPr>
        <w:spacing w:line="480" w:lineRule="auto"/>
        <w:ind w:firstLine="360"/>
        <w:jc w:val="both"/>
        <w:rPr>
          <w:rFonts w:ascii="Book Antiqua" w:hAnsi="Book Antiqua"/>
          <w:lang w:val="es-ES_tradnl"/>
        </w:rPr>
      </w:pPr>
      <w:r w:rsidRPr="003D6CEE">
        <w:rPr>
          <w:rFonts w:ascii="Book Antiqua" w:hAnsi="Book Antiqua"/>
          <w:lang w:val="es-ES_tradnl"/>
        </w:rPr>
        <w:t>Si cualquier parte de esta Ley fuere declarada inconstitucional por un Tribunal con jurisdicción, tal determinación no afectará ni invalidará el resto de esta Ley, sino que el efecto del dictam</w:t>
      </w:r>
      <w:r w:rsidRPr="00E24C92">
        <w:rPr>
          <w:rFonts w:ascii="Book Antiqua" w:hAnsi="Book Antiqua"/>
          <w:lang w:val="es-ES_tradnl"/>
        </w:rPr>
        <w:t>en de inconstitucionalidad quedará limitado a la parte de esta Ley que hubiese sido declarado inconstitucional.</w:t>
      </w:r>
      <w:r w:rsidR="00585EFC" w:rsidRPr="00E24C92">
        <w:rPr>
          <w:rFonts w:ascii="Book Antiqua" w:hAnsi="Book Antiqua"/>
          <w:lang w:val="es-ES_tradnl"/>
        </w:rPr>
        <w:tab/>
      </w:r>
    </w:p>
    <w:p w14:paraId="0D0DD273" w14:textId="4AA5DC0B" w:rsidR="00585EFC" w:rsidRPr="00E24C92" w:rsidRDefault="00585EFC" w:rsidP="00E24C92">
      <w:pPr>
        <w:spacing w:line="480" w:lineRule="auto"/>
        <w:ind w:firstLine="360"/>
        <w:jc w:val="both"/>
        <w:rPr>
          <w:rFonts w:ascii="Book Antiqua" w:hAnsi="Book Antiqua"/>
          <w:lang w:val="es-ES_tradnl"/>
        </w:rPr>
      </w:pPr>
      <w:r w:rsidRPr="00E24C92">
        <w:rPr>
          <w:rFonts w:ascii="Book Antiqua" w:hAnsi="Book Antiqua"/>
          <w:lang w:val="es-ES_tradnl"/>
        </w:rPr>
        <w:t>Artículo 4. – Vigencia</w:t>
      </w:r>
    </w:p>
    <w:p w14:paraId="664F2C5D" w14:textId="77777777" w:rsidR="00585EFC" w:rsidRPr="00585EFC" w:rsidRDefault="00585EFC" w:rsidP="00585EFC">
      <w:pPr>
        <w:spacing w:line="480" w:lineRule="auto"/>
        <w:ind w:firstLine="360"/>
        <w:jc w:val="both"/>
        <w:rPr>
          <w:rFonts w:ascii="Book Antiqua" w:hAnsi="Book Antiqua"/>
          <w:lang w:val="es-ES_tradnl"/>
        </w:rPr>
      </w:pPr>
      <w:r w:rsidRPr="00E24C92">
        <w:rPr>
          <w:rFonts w:ascii="Book Antiqua" w:hAnsi="Book Antiqua"/>
          <w:lang w:val="es-ES_tradnl"/>
        </w:rPr>
        <w:tab/>
        <w:t>Esta Ley comenzará a regir inmediatamente después de su aprobación.</w:t>
      </w:r>
    </w:p>
    <w:sectPr w:rsidR="00585EFC" w:rsidRPr="00585EFC" w:rsidSect="00585E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B986A" w14:textId="77777777" w:rsidR="00203616" w:rsidRDefault="00203616">
      <w:r>
        <w:separator/>
      </w:r>
    </w:p>
  </w:endnote>
  <w:endnote w:type="continuationSeparator" w:id="0">
    <w:p w14:paraId="0A7956ED" w14:textId="77777777" w:rsidR="00203616" w:rsidRDefault="00203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F2354" w14:textId="77777777" w:rsidR="00203616" w:rsidRDefault="00203616">
      <w:r>
        <w:separator/>
      </w:r>
    </w:p>
  </w:footnote>
  <w:footnote w:type="continuationSeparator" w:id="0">
    <w:p w14:paraId="770B7429" w14:textId="77777777" w:rsidR="00203616" w:rsidRDefault="00203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AC7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3ED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5A3C1C"/>
    <w:multiLevelType w:val="hybridMultilevel"/>
    <w:tmpl w:val="A784ED5C"/>
    <w:lvl w:ilvl="0" w:tplc="C8BA07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713C696C"/>
    <w:multiLevelType w:val="hybridMultilevel"/>
    <w:tmpl w:val="CFD81320"/>
    <w:lvl w:ilvl="0" w:tplc="335CBB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77957172">
    <w:abstractNumId w:val="1"/>
  </w:num>
  <w:num w:numId="2" w16cid:durableId="1142844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85EFC"/>
    <w:rsid w:val="00020BBB"/>
    <w:rsid w:val="00056024"/>
    <w:rsid w:val="00072850"/>
    <w:rsid w:val="00095AE1"/>
    <w:rsid w:val="000A6B6C"/>
    <w:rsid w:val="000B0DBB"/>
    <w:rsid w:val="000D7BD6"/>
    <w:rsid w:val="000F5CD3"/>
    <w:rsid w:val="00102937"/>
    <w:rsid w:val="00111E71"/>
    <w:rsid w:val="00127C6A"/>
    <w:rsid w:val="001363FE"/>
    <w:rsid w:val="00144AE4"/>
    <w:rsid w:val="0017132B"/>
    <w:rsid w:val="001B5432"/>
    <w:rsid w:val="001C3503"/>
    <w:rsid w:val="001E3E32"/>
    <w:rsid w:val="001F4CA3"/>
    <w:rsid w:val="001F612A"/>
    <w:rsid w:val="00203616"/>
    <w:rsid w:val="00211396"/>
    <w:rsid w:val="00226AE6"/>
    <w:rsid w:val="00245B34"/>
    <w:rsid w:val="00263355"/>
    <w:rsid w:val="00264997"/>
    <w:rsid w:val="00273792"/>
    <w:rsid w:val="00283F38"/>
    <w:rsid w:val="002D3ED1"/>
    <w:rsid w:val="002D4AC8"/>
    <w:rsid w:val="00320D78"/>
    <w:rsid w:val="00380FE5"/>
    <w:rsid w:val="003924DD"/>
    <w:rsid w:val="00394FCB"/>
    <w:rsid w:val="003963F4"/>
    <w:rsid w:val="003A3090"/>
    <w:rsid w:val="003B5254"/>
    <w:rsid w:val="003B75A6"/>
    <w:rsid w:val="003F6ABE"/>
    <w:rsid w:val="004061CA"/>
    <w:rsid w:val="00415689"/>
    <w:rsid w:val="004440CB"/>
    <w:rsid w:val="004713D2"/>
    <w:rsid w:val="004873C5"/>
    <w:rsid w:val="005055E5"/>
    <w:rsid w:val="005075AF"/>
    <w:rsid w:val="00521639"/>
    <w:rsid w:val="00532BB7"/>
    <w:rsid w:val="005332E4"/>
    <w:rsid w:val="0053550C"/>
    <w:rsid w:val="00555018"/>
    <w:rsid w:val="005723DC"/>
    <w:rsid w:val="00585EFC"/>
    <w:rsid w:val="005C36A9"/>
    <w:rsid w:val="006210DC"/>
    <w:rsid w:val="00621160"/>
    <w:rsid w:val="0064349D"/>
    <w:rsid w:val="006807A3"/>
    <w:rsid w:val="00685549"/>
    <w:rsid w:val="006B7365"/>
    <w:rsid w:val="006C2D81"/>
    <w:rsid w:val="006C7DF8"/>
    <w:rsid w:val="00732444"/>
    <w:rsid w:val="00750FC8"/>
    <w:rsid w:val="007533D0"/>
    <w:rsid w:val="00755069"/>
    <w:rsid w:val="007B0660"/>
    <w:rsid w:val="007B5FC3"/>
    <w:rsid w:val="007D0CF3"/>
    <w:rsid w:val="007E3868"/>
    <w:rsid w:val="00806B14"/>
    <w:rsid w:val="00820C41"/>
    <w:rsid w:val="00850256"/>
    <w:rsid w:val="00865EE1"/>
    <w:rsid w:val="00880033"/>
    <w:rsid w:val="008919AC"/>
    <w:rsid w:val="00893801"/>
    <w:rsid w:val="008A2744"/>
    <w:rsid w:val="008B32D3"/>
    <w:rsid w:val="008E2729"/>
    <w:rsid w:val="009304D2"/>
    <w:rsid w:val="0093686F"/>
    <w:rsid w:val="00942FD4"/>
    <w:rsid w:val="00951997"/>
    <w:rsid w:val="009739C0"/>
    <w:rsid w:val="00990352"/>
    <w:rsid w:val="009F50F6"/>
    <w:rsid w:val="00A03405"/>
    <w:rsid w:val="00A1528A"/>
    <w:rsid w:val="00A23C07"/>
    <w:rsid w:val="00A33918"/>
    <w:rsid w:val="00A506DE"/>
    <w:rsid w:val="00A65BF4"/>
    <w:rsid w:val="00A7629F"/>
    <w:rsid w:val="00A953F0"/>
    <w:rsid w:val="00AF0CEE"/>
    <w:rsid w:val="00B667AD"/>
    <w:rsid w:val="00B84C38"/>
    <w:rsid w:val="00B86C00"/>
    <w:rsid w:val="00B947F6"/>
    <w:rsid w:val="00BF16AA"/>
    <w:rsid w:val="00C354B8"/>
    <w:rsid w:val="00C52517"/>
    <w:rsid w:val="00C53E80"/>
    <w:rsid w:val="00C60921"/>
    <w:rsid w:val="00C62936"/>
    <w:rsid w:val="00C653F2"/>
    <w:rsid w:val="00C679E6"/>
    <w:rsid w:val="00C908F9"/>
    <w:rsid w:val="00CA0917"/>
    <w:rsid w:val="00CA1099"/>
    <w:rsid w:val="00D417C2"/>
    <w:rsid w:val="00D60936"/>
    <w:rsid w:val="00D624C5"/>
    <w:rsid w:val="00D709EB"/>
    <w:rsid w:val="00D74714"/>
    <w:rsid w:val="00D82F3F"/>
    <w:rsid w:val="00D921C6"/>
    <w:rsid w:val="00D958C2"/>
    <w:rsid w:val="00E04AB5"/>
    <w:rsid w:val="00E24C92"/>
    <w:rsid w:val="00E47AC4"/>
    <w:rsid w:val="00E50EEA"/>
    <w:rsid w:val="00E52F58"/>
    <w:rsid w:val="00EA76CE"/>
    <w:rsid w:val="00EB4948"/>
    <w:rsid w:val="00EC26AA"/>
    <w:rsid w:val="00EC5D3B"/>
    <w:rsid w:val="00ED7A53"/>
    <w:rsid w:val="00EE4273"/>
    <w:rsid w:val="00F02004"/>
    <w:rsid w:val="00F03C88"/>
    <w:rsid w:val="00F042CB"/>
    <w:rsid w:val="00F240CC"/>
    <w:rsid w:val="00F60A20"/>
    <w:rsid w:val="00FA1303"/>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E3756"/>
  <w15:chartTrackingRefBased/>
  <w15:docId w15:val="{57BCE826-3B86-469F-89FC-F447D3F1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264997"/>
    <w:pPr>
      <w:ind w:left="720"/>
      <w:contextualSpacing/>
    </w:pPr>
  </w:style>
  <w:style w:type="paragraph" w:styleId="NormalWeb">
    <w:name w:val="Normal (Web)"/>
    <w:basedOn w:val="Normal"/>
    <w:uiPriority w:val="99"/>
    <w:unhideWhenUsed/>
    <w:rsid w:val="00102937"/>
    <w:pPr>
      <w:spacing w:before="100" w:beforeAutospacing="1" w:after="100" w:afterAutospacing="1"/>
    </w:pPr>
    <w:rPr>
      <w:szCs w:val="24"/>
    </w:rPr>
  </w:style>
  <w:style w:type="character" w:customStyle="1" w:styleId="apple-converted-space">
    <w:name w:val="apple-converted-space"/>
    <w:basedOn w:val="DefaultParagraphFont"/>
    <w:rsid w:val="00102937"/>
  </w:style>
  <w:style w:type="character" w:customStyle="1" w:styleId="truncate">
    <w:name w:val="truncate"/>
    <w:basedOn w:val="DefaultParagraphFont"/>
    <w:rsid w:val="00102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44369">
      <w:bodyDiv w:val="1"/>
      <w:marLeft w:val="0"/>
      <w:marRight w:val="0"/>
      <w:marTop w:val="0"/>
      <w:marBottom w:val="0"/>
      <w:divBdr>
        <w:top w:val="none" w:sz="0" w:space="0" w:color="auto"/>
        <w:left w:val="none" w:sz="0" w:space="0" w:color="auto"/>
        <w:bottom w:val="none" w:sz="0" w:space="0" w:color="auto"/>
        <w:right w:val="none" w:sz="0" w:space="0" w:color="auto"/>
      </w:divBdr>
    </w:div>
    <w:div w:id="1361122512">
      <w:bodyDiv w:val="1"/>
      <w:marLeft w:val="0"/>
      <w:marRight w:val="0"/>
      <w:marTop w:val="0"/>
      <w:marBottom w:val="0"/>
      <w:divBdr>
        <w:top w:val="none" w:sz="0" w:space="0" w:color="auto"/>
        <w:left w:val="none" w:sz="0" w:space="0" w:color="auto"/>
        <w:bottom w:val="none" w:sz="0" w:space="0" w:color="auto"/>
        <w:right w:val="none" w:sz="0" w:space="0" w:color="auto"/>
      </w:divBdr>
    </w:div>
    <w:div w:id="1399473122">
      <w:bodyDiv w:val="1"/>
      <w:marLeft w:val="0"/>
      <w:marRight w:val="0"/>
      <w:marTop w:val="0"/>
      <w:marBottom w:val="0"/>
      <w:divBdr>
        <w:top w:val="none" w:sz="0" w:space="0" w:color="auto"/>
        <w:left w:val="none" w:sz="0" w:space="0" w:color="auto"/>
        <w:bottom w:val="none" w:sz="0" w:space="0" w:color="auto"/>
        <w:right w:val="none" w:sz="0" w:space="0" w:color="auto"/>
      </w:divBdr>
      <w:divsChild>
        <w:div w:id="1983999165">
          <w:marLeft w:val="0"/>
          <w:marRight w:val="0"/>
          <w:marTop w:val="0"/>
          <w:marBottom w:val="0"/>
          <w:divBdr>
            <w:top w:val="none" w:sz="0" w:space="0" w:color="auto"/>
            <w:left w:val="none" w:sz="0" w:space="0" w:color="auto"/>
            <w:bottom w:val="none" w:sz="0" w:space="0" w:color="auto"/>
            <w:right w:val="none" w:sz="0" w:space="0" w:color="auto"/>
          </w:divBdr>
        </w:div>
        <w:div w:id="929968236">
          <w:marLeft w:val="0"/>
          <w:marRight w:val="0"/>
          <w:marTop w:val="0"/>
          <w:marBottom w:val="0"/>
          <w:divBdr>
            <w:top w:val="none" w:sz="0" w:space="0" w:color="auto"/>
            <w:left w:val="none" w:sz="0" w:space="0" w:color="auto"/>
            <w:bottom w:val="none" w:sz="0" w:space="0" w:color="auto"/>
            <w:right w:val="none" w:sz="0" w:space="0" w:color="auto"/>
          </w:divBdr>
        </w:div>
        <w:div w:id="848758261">
          <w:marLeft w:val="0"/>
          <w:marRight w:val="0"/>
          <w:marTop w:val="0"/>
          <w:marBottom w:val="0"/>
          <w:divBdr>
            <w:top w:val="none" w:sz="0" w:space="0" w:color="auto"/>
            <w:left w:val="none" w:sz="0" w:space="0" w:color="auto"/>
            <w:bottom w:val="none" w:sz="0" w:space="0" w:color="auto"/>
            <w:right w:val="none" w:sz="0" w:space="0" w:color="auto"/>
          </w:divBdr>
        </w:div>
        <w:div w:id="431513428">
          <w:marLeft w:val="0"/>
          <w:marRight w:val="0"/>
          <w:marTop w:val="0"/>
          <w:marBottom w:val="0"/>
          <w:divBdr>
            <w:top w:val="none" w:sz="0" w:space="0" w:color="auto"/>
            <w:left w:val="none" w:sz="0" w:space="0" w:color="auto"/>
            <w:bottom w:val="none" w:sz="0" w:space="0" w:color="auto"/>
            <w:right w:val="none" w:sz="0" w:space="0" w:color="auto"/>
          </w:divBdr>
        </w:div>
        <w:div w:id="1259873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1080</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12</cp:revision>
  <cp:lastPrinted>2000-03-03T16:35:00Z</cp:lastPrinted>
  <dcterms:created xsi:type="dcterms:W3CDTF">2025-01-22T19:38:00Z</dcterms:created>
  <dcterms:modified xsi:type="dcterms:W3CDTF">2025-01-24T14:34:00Z</dcterms:modified>
</cp:coreProperties>
</file>