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77777777"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759A5412"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0E55ED">
        <w:rPr>
          <w:rFonts w:ascii="Book Antiqua" w:hAnsi="Book Antiqua"/>
          <w:b/>
          <w:sz w:val="52"/>
          <w:lang w:val="es-ES_tradnl"/>
        </w:rPr>
        <w:t xml:space="preserve"> 74</w:t>
      </w:r>
    </w:p>
    <w:p w14:paraId="2CA38D37" w14:textId="77777777" w:rsidR="00561C91" w:rsidRPr="00561C91" w:rsidRDefault="00561C91" w:rsidP="00561C91">
      <w:pPr>
        <w:jc w:val="center"/>
        <w:rPr>
          <w:rFonts w:ascii="Book Antiqua" w:hAnsi="Book Antiqua"/>
          <w:b/>
          <w:szCs w:val="24"/>
          <w:lang w:val="es-ES_tradnl"/>
        </w:rPr>
      </w:pPr>
    </w:p>
    <w:p w14:paraId="0495B464" w14:textId="3AC07ACE" w:rsidR="008D4334" w:rsidRDefault="00F0013C" w:rsidP="00561C91">
      <w:pPr>
        <w:jc w:val="center"/>
        <w:rPr>
          <w:rFonts w:ascii="Book Antiqua" w:hAnsi="Book Antiqua"/>
          <w:lang w:val="es-ES_tradnl"/>
        </w:rPr>
      </w:pPr>
      <w:r>
        <w:rPr>
          <w:rFonts w:ascii="Book Antiqua" w:hAnsi="Book Antiqua"/>
          <w:lang w:val="es-ES_tradnl"/>
        </w:rPr>
        <w:t>22</w:t>
      </w:r>
      <w:r w:rsidR="008D4334">
        <w:rPr>
          <w:rFonts w:ascii="Book Antiqua" w:hAnsi="Book Antiqua"/>
          <w:lang w:val="es-ES_tradnl"/>
        </w:rPr>
        <w:t xml:space="preserve"> DE ENERO DE 2025 </w:t>
      </w:r>
    </w:p>
    <w:p w14:paraId="50A6D7EB" w14:textId="77777777" w:rsidR="003B5A06" w:rsidRPr="00561C91" w:rsidRDefault="003B5A06" w:rsidP="00561C91">
      <w:pPr>
        <w:jc w:val="center"/>
        <w:rPr>
          <w:rFonts w:ascii="Book Antiqua" w:hAnsi="Book Antiqua"/>
          <w:szCs w:val="24"/>
          <w:lang w:val="es-ES_tradnl"/>
        </w:rPr>
      </w:pPr>
    </w:p>
    <w:p w14:paraId="48E02B2F" w14:textId="080FE995" w:rsidR="00BA1EBE" w:rsidRPr="00BA1EBE" w:rsidRDefault="003B5A06" w:rsidP="00BA1EBE">
      <w:pPr>
        <w:widowControl w:val="0"/>
        <w:ind w:left="450" w:hanging="450"/>
        <w:jc w:val="both"/>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los representantes </w:t>
      </w:r>
      <w:r w:rsidR="00BA1EBE" w:rsidRPr="00BA1EBE">
        <w:rPr>
          <w:rFonts w:ascii="Book Antiqua" w:hAnsi="Book Antiqua"/>
          <w:i/>
          <w:iCs/>
          <w:lang w:val="es-ES"/>
        </w:rPr>
        <w:t xml:space="preserve">Ferrer Santiago, Torres García, Feliciano Sánchez, Figueroa Acevedo, </w:t>
      </w:r>
      <w:proofErr w:type="spellStart"/>
      <w:r w:rsidR="00BA1EBE" w:rsidRPr="00BA1EBE">
        <w:rPr>
          <w:rFonts w:ascii="Book Antiqua" w:hAnsi="Book Antiqua"/>
          <w:i/>
          <w:iCs/>
          <w:lang w:val="es-ES"/>
        </w:rPr>
        <w:t>Fourquet</w:t>
      </w:r>
      <w:proofErr w:type="spellEnd"/>
      <w:r w:rsidR="00BA1EBE" w:rsidRPr="00BA1EBE">
        <w:rPr>
          <w:rFonts w:ascii="Book Antiqua" w:hAnsi="Book Antiqua"/>
          <w:i/>
          <w:iCs/>
          <w:lang w:val="es-ES"/>
        </w:rPr>
        <w:t xml:space="preserve"> Cordero; </w:t>
      </w:r>
      <w:r w:rsidR="00BA1EBE" w:rsidRPr="00BA1EBE">
        <w:rPr>
          <w:rFonts w:ascii="Book Antiqua" w:hAnsi="Book Antiqua"/>
          <w:lang w:val="es-ES"/>
        </w:rPr>
        <w:t>las representantes</w:t>
      </w:r>
      <w:r w:rsidR="00BA1EBE" w:rsidRPr="00BA1EBE">
        <w:rPr>
          <w:rFonts w:ascii="Book Antiqua" w:hAnsi="Book Antiqua"/>
          <w:i/>
          <w:iCs/>
          <w:lang w:val="es-ES"/>
        </w:rPr>
        <w:t xml:space="preserve"> </w:t>
      </w:r>
      <w:proofErr w:type="spellStart"/>
      <w:r w:rsidR="00BA1EBE" w:rsidRPr="00BA1EBE">
        <w:rPr>
          <w:rFonts w:ascii="Book Antiqua" w:hAnsi="Book Antiqua"/>
          <w:i/>
          <w:iCs/>
          <w:lang w:val="es-ES"/>
        </w:rPr>
        <w:t>Hau</w:t>
      </w:r>
      <w:proofErr w:type="spellEnd"/>
      <w:r w:rsidR="00BA1EBE" w:rsidRPr="00BA1EBE">
        <w:rPr>
          <w:rFonts w:ascii="Book Antiqua" w:hAnsi="Book Antiqua"/>
          <w:i/>
          <w:iCs/>
          <w:lang w:val="es-ES"/>
        </w:rPr>
        <w:t xml:space="preserve">, Higgins Cuadrado, Martínez Soto; </w:t>
      </w:r>
      <w:r w:rsidR="00BA1EBE" w:rsidRPr="00BA1EBE">
        <w:rPr>
          <w:rFonts w:ascii="Book Antiqua" w:hAnsi="Book Antiqua"/>
          <w:lang w:val="es-ES"/>
        </w:rPr>
        <w:t>el representante</w:t>
      </w:r>
      <w:r w:rsidR="00BA1EBE" w:rsidRPr="00BA1EBE">
        <w:rPr>
          <w:rFonts w:ascii="Book Antiqua" w:hAnsi="Book Antiqua"/>
          <w:i/>
          <w:iCs/>
          <w:lang w:val="es-ES"/>
        </w:rPr>
        <w:t xml:space="preserve"> Rivera Ruiz de Porras; </w:t>
      </w:r>
      <w:r w:rsidR="00BA1EBE" w:rsidRPr="00BA1EBE">
        <w:rPr>
          <w:rFonts w:ascii="Book Antiqua" w:hAnsi="Book Antiqua"/>
          <w:lang w:val="es-ES"/>
        </w:rPr>
        <w:t xml:space="preserve">la representante </w:t>
      </w:r>
      <w:r w:rsidR="00BA1EBE" w:rsidRPr="00BA1EBE">
        <w:rPr>
          <w:rFonts w:ascii="Book Antiqua" w:hAnsi="Book Antiqua"/>
          <w:i/>
          <w:iCs/>
          <w:lang w:val="es-ES"/>
        </w:rPr>
        <w:t xml:space="preserve">Rosas Vargas; </w:t>
      </w:r>
      <w:r w:rsidR="00BA1EBE" w:rsidRPr="00BA1EBE">
        <w:rPr>
          <w:rFonts w:ascii="Book Antiqua" w:hAnsi="Book Antiqua"/>
          <w:lang w:val="es-ES"/>
        </w:rPr>
        <w:t>los representantes</w:t>
      </w:r>
      <w:r w:rsidR="00BA1EBE" w:rsidRPr="00BA1EBE">
        <w:rPr>
          <w:rFonts w:ascii="Book Antiqua" w:hAnsi="Book Antiqua"/>
          <w:i/>
          <w:iCs/>
          <w:lang w:val="es-ES"/>
        </w:rPr>
        <w:t xml:space="preserve"> Torres Cruz, Varela Fernández </w:t>
      </w:r>
      <w:r w:rsidR="00BA1EBE" w:rsidRPr="00BA1EBE">
        <w:rPr>
          <w:rFonts w:ascii="Book Antiqua" w:hAnsi="Book Antiqua"/>
          <w:lang w:val="es-ES"/>
        </w:rPr>
        <w:t>y la representante</w:t>
      </w:r>
      <w:r w:rsidR="00BA1EBE" w:rsidRPr="00BA1EBE">
        <w:rPr>
          <w:rFonts w:ascii="Book Antiqua" w:hAnsi="Book Antiqua"/>
          <w:i/>
          <w:iCs/>
          <w:lang w:val="es-ES"/>
        </w:rPr>
        <w:t xml:space="preserve"> 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5CD1CF76" w14:textId="085EB7EC" w:rsidR="008D4334" w:rsidRDefault="003B5A06" w:rsidP="00561C91">
      <w:pPr>
        <w:ind w:left="426" w:hanging="426"/>
        <w:jc w:val="both"/>
        <w:rPr>
          <w:rFonts w:ascii="Book Antiqua" w:hAnsi="Book Antiqua"/>
          <w:lang w:val="es-ES_tradnl"/>
        </w:rPr>
      </w:pPr>
      <w:r w:rsidRPr="003B5A06">
        <w:rPr>
          <w:rFonts w:ascii="Book Antiqua" w:hAnsi="Book Antiqua"/>
          <w:lang w:val="es-ES_tradnl"/>
        </w:rPr>
        <w:t>Para ordenar a la Secretaría de la Cámara de Representantes de Puerto Rico que le requiera a LUMA Energy y al Negociado de Energía de Puerto Rico (NEPR) que dentro del término de cinco (5) días luego de la aprobación de esta Resolución, le provea a este cuerpo el informe preliminar emitido tras el apagón general del 31 de diciembre de 2024; y para otros fines relacionados.</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561C91">
      <w:pPr>
        <w:jc w:val="center"/>
        <w:rPr>
          <w:rFonts w:ascii="Book Antiqua" w:hAnsi="Book Antiqua"/>
          <w:lang w:val="es-ES_tradnl"/>
        </w:rPr>
      </w:pPr>
    </w:p>
    <w:p w14:paraId="2EB82325" w14:textId="77777777" w:rsidR="003B5A06" w:rsidRDefault="003B5A06" w:rsidP="00561C91">
      <w:pPr>
        <w:ind w:firstLine="360"/>
        <w:jc w:val="both"/>
        <w:rPr>
          <w:rFonts w:ascii="Book Antiqua" w:hAnsi="Book Antiqua"/>
          <w:lang w:val="es-ES_tradnl"/>
        </w:rPr>
      </w:pPr>
      <w:r w:rsidRPr="003B5A06">
        <w:rPr>
          <w:rFonts w:ascii="Book Antiqua" w:hAnsi="Book Antiqua"/>
          <w:lang w:val="es-ES_tradnl"/>
        </w:rPr>
        <w:t>El pasado 31 de diciembre de 2024 ocurrió un apagón general en Puerto Rico a causa de una falla registrada en una subestación del consorcio de LUMA Energy frente a la central Costa Sur en Guayanilla. En el apagón masivo se reportaron sobre 580 mil abonados sin luz y se tardó más de 72 horas para lograr la estabilización de la red. El lamentable evento puso en riesgo no solo propiedades y negocios, sino las vidas de miles de ciudadanos dependientes de la energía eléctrica para vivir. Tras este apagón, el 7 de enero de 2025, el Negociado de Energía de Puerto Rico (NEPR) ordenó comenzar la investigación mediante un requerimiento a LUMA en el que le solicitó un informe que tendría que incluir un resumen del incidente.</w:t>
      </w:r>
    </w:p>
    <w:p w14:paraId="37E5529C" w14:textId="77777777" w:rsidR="00561C91" w:rsidRPr="003B5A06" w:rsidRDefault="00561C91" w:rsidP="00561C91">
      <w:pPr>
        <w:ind w:firstLine="360"/>
        <w:jc w:val="both"/>
        <w:rPr>
          <w:rFonts w:ascii="Book Antiqua" w:hAnsi="Book Antiqua"/>
          <w:lang w:val="es-ES_tradnl"/>
        </w:rPr>
      </w:pPr>
    </w:p>
    <w:p w14:paraId="692913EC" w14:textId="77777777" w:rsidR="003B5A06" w:rsidRDefault="003B5A06" w:rsidP="00561C91">
      <w:pPr>
        <w:ind w:firstLine="360"/>
        <w:jc w:val="both"/>
        <w:rPr>
          <w:rFonts w:ascii="Book Antiqua" w:hAnsi="Book Antiqua"/>
          <w:lang w:val="es-ES_tradnl"/>
        </w:rPr>
      </w:pPr>
      <w:r w:rsidRPr="003B5A06">
        <w:rPr>
          <w:rFonts w:ascii="Book Antiqua" w:hAnsi="Book Antiqua"/>
          <w:lang w:val="es-ES_tradnl"/>
        </w:rPr>
        <w:t xml:space="preserve">Los activos manejados por LUMA Energy son del Pueblo de Puerto Rico. A su vez, los miles de abonados son clientes los cuales pagan por tener un servicio de calidad, pues su estabilidad y bienestar depende de ello.  Por tal razón, los clientes del sistema exigen </w:t>
      </w:r>
      <w:r w:rsidRPr="003B5A06">
        <w:rPr>
          <w:rFonts w:ascii="Book Antiqua" w:hAnsi="Book Antiqua"/>
          <w:lang w:val="es-ES_tradnl"/>
        </w:rPr>
        <w:lastRenderedPageBreak/>
        <w:t>transparencia en los procesos sobre lo que ocurre con la modernización del sistema eléctrico. El hecho de que este informe se mantenga confidencial arroja sombras sobre la transparencia que debe promoverse en aras de brindar confiabilidad en el sistema eléctrico.</w:t>
      </w:r>
    </w:p>
    <w:p w14:paraId="604CB73F" w14:textId="77777777" w:rsidR="00561C91" w:rsidRPr="003B5A06" w:rsidRDefault="00561C91" w:rsidP="00561C91">
      <w:pPr>
        <w:ind w:firstLine="360"/>
        <w:jc w:val="both"/>
        <w:rPr>
          <w:rFonts w:ascii="Book Antiqua" w:hAnsi="Book Antiqua"/>
          <w:lang w:val="es-ES_tradnl"/>
        </w:rPr>
      </w:pPr>
    </w:p>
    <w:p w14:paraId="2A0F08FF" w14:textId="0C5B8024" w:rsidR="00F446CC" w:rsidRDefault="003B5A06" w:rsidP="00561C91">
      <w:pPr>
        <w:ind w:firstLine="360"/>
        <w:jc w:val="both"/>
        <w:rPr>
          <w:rFonts w:ascii="Book Antiqua" w:hAnsi="Book Antiqua"/>
          <w:lang w:val="es-ES_tradnl"/>
        </w:rPr>
      </w:pPr>
      <w:r w:rsidRPr="003B5A06">
        <w:rPr>
          <w:rFonts w:ascii="Book Antiqua" w:hAnsi="Book Antiqua"/>
          <w:lang w:val="es-ES_tradnl"/>
        </w:rPr>
        <w:t>El apagón masivo del 31 de diciembre de 2024 es resultado de la inestabilidad del sistema, sin embargo, el país debe tener acceso a la información sobre las causas del apagón, así como el mantenimiento brindado a las líneas. A su vez, se debería conocer si se han tomado medidas para solucionar el problema y las precauciones tomadas para que no vuelva a ocurrir</w:t>
      </w:r>
      <w:r w:rsidR="009F3381">
        <w:rPr>
          <w:rFonts w:ascii="Book Antiqua" w:hAnsi="Book Antiqua"/>
          <w:lang w:val="es-ES_tradnl"/>
        </w:rPr>
        <w:t xml:space="preserve"> </w:t>
      </w:r>
    </w:p>
    <w:p w14:paraId="0C79E0E1" w14:textId="77777777" w:rsidR="00561C91" w:rsidRPr="009F3381" w:rsidRDefault="00561C91" w:rsidP="00561C91">
      <w:pPr>
        <w:ind w:firstLine="360"/>
        <w:jc w:val="both"/>
        <w:rPr>
          <w:rFonts w:ascii="Book Antiqua" w:hAnsi="Book Antiqua"/>
          <w:lang w:val="es-ES_tradnl"/>
        </w:rPr>
      </w:pPr>
    </w:p>
    <w:p w14:paraId="45978958" w14:textId="77777777" w:rsidR="008D4334" w:rsidRDefault="008D4334" w:rsidP="00561C91">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6"/>
          <w:pgSz w:w="12240" w:h="15840" w:code="1"/>
          <w:pgMar w:top="1440" w:right="1440" w:bottom="1440" w:left="1440" w:header="720" w:footer="720" w:gutter="0"/>
          <w:cols w:space="720"/>
          <w:titlePg/>
        </w:sectPr>
      </w:pPr>
    </w:p>
    <w:p w14:paraId="7C1AD1E4" w14:textId="23D81F55" w:rsidR="008D4334" w:rsidRPr="00436B03" w:rsidRDefault="008D4334" w:rsidP="00436B03">
      <w:pPr>
        <w:keepNext/>
        <w:keepLines/>
        <w:spacing w:line="480" w:lineRule="auto"/>
        <w:ind w:firstLine="360"/>
        <w:jc w:val="both"/>
        <w:rPr>
          <w:rFonts w:ascii="Book Antiqua" w:hAnsi="Book Antiqua"/>
          <w:lang w:val="es-PR"/>
        </w:rPr>
      </w:pPr>
      <w:r w:rsidRPr="00344203">
        <w:rPr>
          <w:rFonts w:ascii="Book Antiqua" w:hAnsi="Book Antiqua"/>
          <w:lang w:val="es-ES_tradnl"/>
        </w:rPr>
        <w:t>Sección 1.-</w:t>
      </w:r>
      <w:r w:rsidRPr="00344203">
        <w:rPr>
          <w:rFonts w:ascii="Book Antiqua" w:hAnsi="Book Antiqua"/>
          <w:lang w:val="es-PR"/>
        </w:rPr>
        <w:t xml:space="preserve"> </w:t>
      </w:r>
      <w:r w:rsidR="00436B03" w:rsidRPr="00436B03">
        <w:rPr>
          <w:rFonts w:ascii="Book Antiqua" w:hAnsi="Book Antiqua"/>
          <w:lang w:val="es-PR"/>
        </w:rPr>
        <w:t>Se ordena a la Secretaría de la Cámara de Representantes de Puerto Rico</w:t>
      </w:r>
      <w:r w:rsidR="00436B03">
        <w:rPr>
          <w:rFonts w:ascii="Book Antiqua" w:hAnsi="Book Antiqua"/>
          <w:lang w:val="es-PR"/>
        </w:rPr>
        <w:t xml:space="preserve"> </w:t>
      </w:r>
      <w:r w:rsidR="00436B03" w:rsidRPr="00436B03">
        <w:rPr>
          <w:rFonts w:ascii="Book Antiqua" w:hAnsi="Book Antiqua"/>
          <w:lang w:val="es-PR"/>
        </w:rPr>
        <w:t>que le requiera a LUMA Energy y al Negociado de Energía de Puerto Rico (NEPR) que</w:t>
      </w:r>
      <w:r w:rsidR="00436B03">
        <w:rPr>
          <w:rFonts w:ascii="Book Antiqua" w:hAnsi="Book Antiqua"/>
          <w:lang w:val="es-PR"/>
        </w:rPr>
        <w:t xml:space="preserve"> </w:t>
      </w:r>
      <w:r w:rsidR="00436B03" w:rsidRPr="00436B03">
        <w:rPr>
          <w:rFonts w:ascii="Book Antiqua" w:hAnsi="Book Antiqua"/>
          <w:lang w:val="es-PR"/>
        </w:rPr>
        <w:t>dentro del término de cinco (5) días luego de la aprobación de esta Resolución, le provea</w:t>
      </w:r>
      <w:r w:rsidR="00436B03">
        <w:rPr>
          <w:rFonts w:ascii="Book Antiqua" w:hAnsi="Book Antiqua"/>
          <w:lang w:val="es-PR"/>
        </w:rPr>
        <w:t xml:space="preserve"> </w:t>
      </w:r>
      <w:r w:rsidR="00436B03" w:rsidRPr="00436B03">
        <w:rPr>
          <w:rFonts w:ascii="Book Antiqua" w:hAnsi="Book Antiqua"/>
          <w:lang w:val="es-PR"/>
        </w:rPr>
        <w:t>a este cuerpo el informe preliminar emitido tras el apagón general del 31 de diciembre de</w:t>
      </w:r>
      <w:r w:rsidR="00436B03">
        <w:rPr>
          <w:rFonts w:ascii="Book Antiqua" w:hAnsi="Book Antiqua"/>
          <w:lang w:val="es-PR"/>
        </w:rPr>
        <w:t xml:space="preserve"> </w:t>
      </w:r>
      <w:r w:rsidR="00436B03" w:rsidRPr="00436B03">
        <w:rPr>
          <w:rFonts w:ascii="Book Antiqua" w:hAnsi="Book Antiqua"/>
          <w:lang w:val="es-PR"/>
        </w:rPr>
        <w:t>2024.</w:t>
      </w:r>
    </w:p>
    <w:p w14:paraId="5ECC3408" w14:textId="7B112E12" w:rsidR="008D4334" w:rsidRPr="00F446CC" w:rsidRDefault="008D4334" w:rsidP="00F446CC">
      <w:pPr>
        <w:spacing w:line="480" w:lineRule="auto"/>
        <w:ind w:firstLine="360"/>
        <w:jc w:val="both"/>
        <w:rPr>
          <w:rFonts w:ascii="Book Antiqua" w:hAnsi="Book Antiqua"/>
          <w:lang w:val="es-ES_tradnl"/>
        </w:rPr>
      </w:pPr>
      <w:r w:rsidRPr="005B3711">
        <w:rPr>
          <w:rFonts w:ascii="Book Antiqua" w:hAnsi="Book Antiqua"/>
          <w:lang w:val="es-ES_tradnl"/>
        </w:rPr>
        <w:t xml:space="preserve">Sección </w:t>
      </w:r>
      <w:r w:rsidR="00F446CC">
        <w:rPr>
          <w:rFonts w:ascii="Book Antiqua" w:hAnsi="Book Antiqua"/>
          <w:lang w:val="es-ES_tradnl"/>
        </w:rPr>
        <w:t>2</w:t>
      </w:r>
      <w:r w:rsidRPr="005B3711">
        <w:rPr>
          <w:rFonts w:ascii="Book Antiqua" w:hAnsi="Book Antiqua"/>
          <w:lang w:val="es-ES_tradnl"/>
        </w:rPr>
        <w:t>.- Esta Resolución tendrá vigencia inmediatamente después de su aprobación.</w:t>
      </w:r>
    </w:p>
    <w:sectPr w:rsidR="008D4334" w:rsidRPr="00F446CC"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C8945" w14:textId="77777777" w:rsidR="004D49CA" w:rsidRDefault="004D49CA" w:rsidP="008D4334">
      <w:r>
        <w:separator/>
      </w:r>
    </w:p>
  </w:endnote>
  <w:endnote w:type="continuationSeparator" w:id="0">
    <w:p w14:paraId="5151C7C0" w14:textId="77777777" w:rsidR="004D49CA" w:rsidRDefault="004D49CA"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9D748" w14:textId="77777777" w:rsidR="004D49CA" w:rsidRDefault="004D49CA" w:rsidP="008D4334">
      <w:r>
        <w:separator/>
      </w:r>
    </w:p>
  </w:footnote>
  <w:footnote w:type="continuationSeparator" w:id="0">
    <w:p w14:paraId="6CF2CEF8" w14:textId="77777777" w:rsidR="004D49CA" w:rsidRDefault="004D49CA"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C3503"/>
    <w:rsid w:val="0022652F"/>
    <w:rsid w:val="003B5A06"/>
    <w:rsid w:val="00436B03"/>
    <w:rsid w:val="004D49CA"/>
    <w:rsid w:val="00561C91"/>
    <w:rsid w:val="005D586C"/>
    <w:rsid w:val="0081323D"/>
    <w:rsid w:val="00893801"/>
    <w:rsid w:val="008D4334"/>
    <w:rsid w:val="00967B2B"/>
    <w:rsid w:val="009F3381"/>
    <w:rsid w:val="00BA1EBE"/>
    <w:rsid w:val="00C9604C"/>
    <w:rsid w:val="00E74A86"/>
    <w:rsid w:val="00EC54BA"/>
    <w:rsid w:val="00F0013C"/>
    <w:rsid w:val="00F073B8"/>
    <w:rsid w:val="00F44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Gladys J. Burgos Torres</cp:lastModifiedBy>
  <cp:revision>6</cp:revision>
  <cp:lastPrinted>2025-01-23T16:34:00Z</cp:lastPrinted>
  <dcterms:created xsi:type="dcterms:W3CDTF">2025-01-22T20:31:00Z</dcterms:created>
  <dcterms:modified xsi:type="dcterms:W3CDTF">2025-01-24T14:31:00Z</dcterms:modified>
</cp:coreProperties>
</file>