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98134E" w14:textId="77777777" w:rsidR="00F23482" w:rsidRPr="00F23482" w:rsidRDefault="00F23482" w:rsidP="00F23482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</w:pPr>
      <w:bookmarkStart w:id="0" w:name="_Hlk138253982"/>
      <w:r w:rsidRPr="00F23482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t>(TEXTO DE APROBACIÓN FINAL POR LA CÁMARA)</w:t>
      </w:r>
      <w:r w:rsidRPr="00F23482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fldChar w:fldCharType="begin"/>
      </w:r>
      <w:r w:rsidRPr="00F23482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instrText xml:space="preserve">PRIVATE </w:instrText>
      </w:r>
      <w:r w:rsidRPr="00F23482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fldChar w:fldCharType="end"/>
      </w:r>
    </w:p>
    <w:p w14:paraId="6F2952AD" w14:textId="77777777" w:rsidR="00F23482" w:rsidRPr="00F23482" w:rsidRDefault="00F23482" w:rsidP="00F23482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</w:pPr>
      <w:r w:rsidRPr="00F23482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t>(31 DE MARZO DE 2025)</w:t>
      </w:r>
    </w:p>
    <w:p w14:paraId="1F55B1A8" w14:textId="77777777" w:rsidR="00F23482" w:rsidRPr="00F23482" w:rsidRDefault="00F23482" w:rsidP="00F23482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</w:pPr>
      <w:r w:rsidRPr="00F23482">
        <w:rPr>
          <w:rFonts w:ascii="Times New Roman" w:eastAsia="Times New Roman" w:hAnsi="Times New Roman" w:cs="Times New Roman"/>
          <w:noProof/>
          <w:sz w:val="24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358D48C8" wp14:editId="082DF6D4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A2590F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5A9E6310" w14:textId="12B95D0D" w:rsidR="004919E3" w:rsidRPr="004919E3" w:rsidRDefault="004919E3" w:rsidP="00B11F6D">
      <w:pPr>
        <w:spacing w:after="0" w:line="240" w:lineRule="auto"/>
        <w:jc w:val="center"/>
        <w:rPr>
          <w:rFonts w:ascii="Book Antiqua" w:eastAsia="MS Mincho" w:hAnsi="Book Antiqua"/>
          <w:b/>
          <w:bCs/>
          <w:sz w:val="24"/>
          <w:szCs w:val="24"/>
          <w:lang w:val="es-ES_tradnl"/>
        </w:rPr>
      </w:pPr>
      <w:r w:rsidRPr="004919E3">
        <w:rPr>
          <w:rFonts w:ascii="Book Antiqua" w:eastAsia="MS Mincho" w:hAnsi="Book Antiqua"/>
          <w:b/>
          <w:bCs/>
          <w:sz w:val="24"/>
          <w:szCs w:val="24"/>
          <w:lang w:val="es-ES_tradnl"/>
        </w:rPr>
        <w:t>(SEGÚN ENMENDADA POR LA R. DE LA C. 440</w:t>
      </w:r>
    </w:p>
    <w:p w14:paraId="0AED7855" w14:textId="22DFCF67" w:rsidR="004919E3" w:rsidRPr="004919E3" w:rsidRDefault="004919E3" w:rsidP="00B11F6D">
      <w:pPr>
        <w:spacing w:after="0" w:line="240" w:lineRule="auto"/>
        <w:jc w:val="center"/>
        <w:rPr>
          <w:rFonts w:ascii="Book Antiqua" w:eastAsia="MS Mincho" w:hAnsi="Book Antiqua"/>
          <w:b/>
          <w:bCs/>
          <w:sz w:val="24"/>
          <w:szCs w:val="24"/>
          <w:lang w:val="es-ES_tradnl"/>
        </w:rPr>
      </w:pPr>
      <w:r w:rsidRPr="004919E3">
        <w:rPr>
          <w:rFonts w:ascii="Book Antiqua" w:eastAsia="MS Mincho" w:hAnsi="Book Antiqua"/>
          <w:b/>
          <w:bCs/>
          <w:sz w:val="24"/>
          <w:szCs w:val="24"/>
          <w:lang w:val="es-ES_tradnl"/>
        </w:rPr>
        <w:t xml:space="preserve">EL </w:t>
      </w:r>
      <w:r w:rsidR="00C57CFD">
        <w:rPr>
          <w:rFonts w:ascii="Book Antiqua" w:eastAsia="MS Mincho" w:hAnsi="Book Antiqua"/>
          <w:b/>
          <w:bCs/>
          <w:sz w:val="24"/>
          <w:szCs w:val="24"/>
          <w:lang w:val="es-ES_tradnl"/>
        </w:rPr>
        <w:t>14</w:t>
      </w:r>
      <w:r w:rsidRPr="004919E3">
        <w:rPr>
          <w:rFonts w:ascii="Book Antiqua" w:eastAsia="MS Mincho" w:hAnsi="Book Antiqua"/>
          <w:b/>
          <w:bCs/>
          <w:sz w:val="24"/>
          <w:szCs w:val="24"/>
          <w:lang w:val="es-ES_tradnl"/>
        </w:rPr>
        <w:t xml:space="preserve"> DE </w:t>
      </w:r>
      <w:r w:rsidR="00C57CFD">
        <w:rPr>
          <w:rFonts w:ascii="Book Antiqua" w:eastAsia="MS Mincho" w:hAnsi="Book Antiqua"/>
          <w:b/>
          <w:bCs/>
          <w:sz w:val="24"/>
          <w:szCs w:val="24"/>
          <w:lang w:val="es-ES_tradnl"/>
        </w:rPr>
        <w:t>OCTUBRE</w:t>
      </w:r>
      <w:r w:rsidRPr="004919E3">
        <w:rPr>
          <w:rFonts w:ascii="Book Antiqua" w:eastAsia="MS Mincho" w:hAnsi="Book Antiqua"/>
          <w:b/>
          <w:bCs/>
          <w:sz w:val="24"/>
          <w:szCs w:val="24"/>
          <w:lang w:val="es-ES_tradnl"/>
        </w:rPr>
        <w:t xml:space="preserve"> DE 2025)</w:t>
      </w:r>
    </w:p>
    <w:p w14:paraId="0466B285" w14:textId="77777777" w:rsidR="004919E3" w:rsidRPr="004919E3" w:rsidRDefault="004919E3" w:rsidP="00B11F6D">
      <w:pPr>
        <w:spacing w:after="0" w:line="240" w:lineRule="auto"/>
        <w:jc w:val="center"/>
        <w:rPr>
          <w:rFonts w:ascii="Book Antiqua" w:eastAsia="MS Mincho" w:hAnsi="Book Antiqua"/>
          <w:b/>
          <w:bCs/>
          <w:sz w:val="28"/>
          <w:szCs w:val="28"/>
          <w:lang w:val="es-ES_tradnl"/>
        </w:rPr>
      </w:pPr>
    </w:p>
    <w:p w14:paraId="71AA1FAD" w14:textId="4543F1C1" w:rsidR="001E06C6" w:rsidRPr="00BA1BE9" w:rsidRDefault="008B1AB2" w:rsidP="00B11F6D">
      <w:pPr>
        <w:spacing w:after="0" w:line="240" w:lineRule="auto"/>
        <w:jc w:val="center"/>
        <w:rPr>
          <w:rFonts w:ascii="Book Antiqua" w:eastAsia="MS Mincho" w:hAnsi="Book Antiqua"/>
          <w:sz w:val="28"/>
          <w:szCs w:val="28"/>
          <w:lang w:val="es-ES_tradnl"/>
        </w:rPr>
      </w:pPr>
      <w:r w:rsidRPr="00BA1BE9">
        <w:rPr>
          <w:rFonts w:ascii="Book Antiqua" w:eastAsia="MS Mincho" w:hAnsi="Book Antiqua"/>
          <w:sz w:val="28"/>
          <w:szCs w:val="28"/>
          <w:lang w:val="es-ES_tradnl"/>
        </w:rPr>
        <w:t>GOBIE</w:t>
      </w:r>
      <w:r w:rsidR="00DF4BEB" w:rsidRPr="00BA1BE9">
        <w:rPr>
          <w:rFonts w:ascii="Book Antiqua" w:eastAsia="MS Mincho" w:hAnsi="Book Antiqua"/>
          <w:sz w:val="28"/>
          <w:szCs w:val="28"/>
          <w:lang w:val="es-ES_tradnl"/>
        </w:rPr>
        <w:t>R</w:t>
      </w:r>
      <w:r w:rsidRPr="00BA1BE9">
        <w:rPr>
          <w:rFonts w:ascii="Book Antiqua" w:eastAsia="MS Mincho" w:hAnsi="Book Antiqua"/>
          <w:sz w:val="28"/>
          <w:szCs w:val="28"/>
          <w:lang w:val="es-ES_tradnl"/>
        </w:rPr>
        <w:t xml:space="preserve">NO </w:t>
      </w:r>
      <w:r w:rsidR="001E06C6" w:rsidRPr="00BA1BE9">
        <w:rPr>
          <w:rFonts w:ascii="Book Antiqua" w:eastAsia="MS Mincho" w:hAnsi="Book Antiqua"/>
          <w:sz w:val="28"/>
          <w:szCs w:val="28"/>
          <w:lang w:val="es-ES_tradnl"/>
        </w:rPr>
        <w:t>DE PUERTO RICO</w:t>
      </w:r>
    </w:p>
    <w:p w14:paraId="268E26B0" w14:textId="664216C5" w:rsidR="001E06C6" w:rsidRPr="001E06C6" w:rsidRDefault="001E06C6" w:rsidP="001E06C6">
      <w:pPr>
        <w:spacing w:after="0" w:line="240" w:lineRule="auto"/>
        <w:rPr>
          <w:sz w:val="24"/>
          <w:szCs w:val="24"/>
          <w:lang w:val="es-PR"/>
        </w:rPr>
      </w:pPr>
    </w:p>
    <w:p w14:paraId="6CA48719" w14:textId="5587A7B4" w:rsidR="00E057F4" w:rsidRPr="002C62F3" w:rsidRDefault="002C62F3" w:rsidP="002C62F3">
      <w:pPr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it-IT"/>
        </w:rPr>
      </w:pPr>
      <w:r w:rsidRPr="002C62F3">
        <w:rPr>
          <w:rFonts w:ascii="Book Antiqua" w:eastAsia="Times New Roman" w:hAnsi="Book Antiqua" w:cs="Times New Roman"/>
          <w:sz w:val="24"/>
          <w:szCs w:val="20"/>
          <w:lang w:val="it-IT"/>
        </w:rPr>
        <w:t>20ma.</w:t>
      </w:r>
      <w:r w:rsidR="00E057F4" w:rsidRPr="002C62F3">
        <w:rPr>
          <w:rFonts w:ascii="Book Antiqua" w:eastAsia="Times New Roman" w:hAnsi="Book Antiqua" w:cs="Times New Roman"/>
          <w:sz w:val="24"/>
          <w:szCs w:val="20"/>
          <w:lang w:val="it-IT"/>
        </w:rPr>
        <w:tab/>
        <w:t xml:space="preserve">Asamblea                                                                                               </w:t>
      </w:r>
      <w:r>
        <w:rPr>
          <w:rFonts w:ascii="Book Antiqua" w:eastAsia="Times New Roman" w:hAnsi="Book Antiqua" w:cs="Times New Roman"/>
          <w:sz w:val="24"/>
          <w:szCs w:val="20"/>
          <w:lang w:val="it-IT"/>
        </w:rPr>
        <w:t xml:space="preserve">       </w:t>
      </w:r>
      <w:r w:rsidRPr="002C62F3">
        <w:rPr>
          <w:rFonts w:ascii="Book Antiqua" w:eastAsia="Times New Roman" w:hAnsi="Book Antiqua" w:cs="Times New Roman"/>
          <w:sz w:val="24"/>
          <w:szCs w:val="20"/>
          <w:lang w:val="it-IT"/>
        </w:rPr>
        <w:t>1ra.</w:t>
      </w:r>
      <w:r w:rsidR="00E057F4" w:rsidRPr="002C62F3">
        <w:rPr>
          <w:rFonts w:ascii="Book Antiqua" w:eastAsia="Times New Roman" w:hAnsi="Book Antiqua" w:cs="Times New Roman"/>
          <w:sz w:val="24"/>
          <w:szCs w:val="20"/>
          <w:vertAlign w:val="superscript"/>
          <w:lang w:val="it-IT"/>
        </w:rPr>
        <w:t xml:space="preserve"> </w:t>
      </w:r>
      <w:r w:rsidR="00E057F4" w:rsidRPr="002C62F3">
        <w:rPr>
          <w:rFonts w:ascii="Book Antiqua" w:eastAsia="Times New Roman" w:hAnsi="Book Antiqua" w:cs="Times New Roman"/>
          <w:sz w:val="24"/>
          <w:szCs w:val="20"/>
          <w:lang w:val="it-IT"/>
        </w:rPr>
        <w:t>Sesión</w:t>
      </w:r>
    </w:p>
    <w:p w14:paraId="7EDFC350" w14:textId="66A0723F" w:rsidR="00E057F4" w:rsidRPr="002C62F3" w:rsidRDefault="00E057F4" w:rsidP="002C62F3">
      <w:pPr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it-IT"/>
        </w:rPr>
      </w:pPr>
      <w:r w:rsidRPr="002C62F3">
        <w:rPr>
          <w:rFonts w:ascii="Book Antiqua" w:eastAsia="Times New Roman" w:hAnsi="Book Antiqua" w:cs="Times New Roman"/>
          <w:sz w:val="24"/>
          <w:szCs w:val="20"/>
          <w:lang w:val="it-IT"/>
        </w:rPr>
        <w:t xml:space="preserve">          </w:t>
      </w:r>
      <w:r w:rsidRPr="002C62F3">
        <w:rPr>
          <w:rFonts w:ascii="Book Antiqua" w:eastAsia="Times New Roman" w:hAnsi="Book Antiqua" w:cs="Times New Roman"/>
          <w:sz w:val="24"/>
          <w:szCs w:val="20"/>
          <w:lang w:val="it-IT"/>
        </w:rPr>
        <w:tab/>
        <w:t xml:space="preserve">Legislativa                                         </w:t>
      </w:r>
      <w:r w:rsidRPr="002C62F3">
        <w:rPr>
          <w:rFonts w:ascii="Book Antiqua" w:eastAsia="Times New Roman" w:hAnsi="Book Antiqua" w:cs="Times New Roman"/>
          <w:sz w:val="24"/>
          <w:szCs w:val="20"/>
          <w:lang w:val="it-IT"/>
        </w:rPr>
        <w:tab/>
        <w:t xml:space="preserve">        </w:t>
      </w:r>
      <w:r w:rsidR="002C62F3" w:rsidRPr="002C62F3">
        <w:rPr>
          <w:rFonts w:ascii="Book Antiqua" w:eastAsia="Times New Roman" w:hAnsi="Book Antiqua" w:cs="Times New Roman"/>
          <w:sz w:val="24"/>
          <w:szCs w:val="20"/>
          <w:lang w:val="it-IT"/>
        </w:rPr>
        <w:t xml:space="preserve"> </w:t>
      </w:r>
      <w:r w:rsidR="002C62F3">
        <w:rPr>
          <w:rFonts w:ascii="Book Antiqua" w:eastAsia="Times New Roman" w:hAnsi="Book Antiqua" w:cs="Times New Roman"/>
          <w:sz w:val="24"/>
          <w:szCs w:val="20"/>
          <w:lang w:val="it-IT"/>
        </w:rPr>
        <w:t xml:space="preserve">   </w:t>
      </w:r>
      <w:r w:rsidR="002C62F3">
        <w:rPr>
          <w:rFonts w:ascii="Book Antiqua" w:eastAsia="Times New Roman" w:hAnsi="Book Antiqua" w:cs="Times New Roman"/>
          <w:sz w:val="24"/>
          <w:szCs w:val="20"/>
          <w:lang w:val="it-IT"/>
        </w:rPr>
        <w:tab/>
      </w:r>
      <w:r w:rsidR="002C62F3">
        <w:rPr>
          <w:rFonts w:ascii="Book Antiqua" w:eastAsia="Times New Roman" w:hAnsi="Book Antiqua" w:cs="Times New Roman"/>
          <w:sz w:val="24"/>
          <w:szCs w:val="20"/>
          <w:lang w:val="it-IT"/>
        </w:rPr>
        <w:tab/>
      </w:r>
      <w:r w:rsidR="002C62F3">
        <w:rPr>
          <w:rFonts w:ascii="Book Antiqua" w:eastAsia="Times New Roman" w:hAnsi="Book Antiqua" w:cs="Times New Roman"/>
          <w:sz w:val="24"/>
          <w:szCs w:val="20"/>
          <w:lang w:val="it-IT"/>
        </w:rPr>
        <w:tab/>
        <w:t xml:space="preserve">      </w:t>
      </w:r>
      <w:r w:rsidRPr="002C62F3">
        <w:rPr>
          <w:rFonts w:ascii="Book Antiqua" w:eastAsia="Times New Roman" w:hAnsi="Book Antiqua" w:cs="Times New Roman"/>
          <w:sz w:val="24"/>
          <w:szCs w:val="20"/>
          <w:lang w:val="it-IT"/>
        </w:rPr>
        <w:t>Ordinaria</w:t>
      </w:r>
    </w:p>
    <w:p w14:paraId="6954D05E" w14:textId="77777777" w:rsidR="00E057F4" w:rsidRPr="002C62F3" w:rsidRDefault="00E057F4" w:rsidP="00E057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it-IT"/>
        </w:rPr>
      </w:pPr>
    </w:p>
    <w:p w14:paraId="75CA8D2C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36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b/>
          <w:sz w:val="36"/>
          <w:szCs w:val="20"/>
          <w:lang w:val="es-PR"/>
        </w:rPr>
        <w:t>CÁMARA DE REPRESENTANTES</w:t>
      </w:r>
    </w:p>
    <w:p w14:paraId="7696C7D1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PR"/>
        </w:rPr>
      </w:pPr>
    </w:p>
    <w:p w14:paraId="117CA06E" w14:textId="37A89B00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52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b/>
          <w:sz w:val="52"/>
          <w:szCs w:val="20"/>
          <w:lang w:val="es-PR"/>
        </w:rPr>
        <w:t>R. de la C.</w:t>
      </w:r>
      <w:r w:rsidR="000123D0">
        <w:rPr>
          <w:rFonts w:ascii="Book Antiqua" w:eastAsia="Times New Roman" w:hAnsi="Book Antiqua" w:cs="Times New Roman"/>
          <w:b/>
          <w:sz w:val="52"/>
          <w:szCs w:val="20"/>
          <w:lang w:val="es-PR"/>
        </w:rPr>
        <w:t xml:space="preserve"> </w:t>
      </w:r>
      <w:r w:rsidR="00CD104E">
        <w:rPr>
          <w:rFonts w:ascii="Book Antiqua" w:eastAsia="Times New Roman" w:hAnsi="Book Antiqua" w:cs="Times New Roman"/>
          <w:b/>
          <w:sz w:val="52"/>
          <w:szCs w:val="20"/>
          <w:lang w:val="es-PR"/>
        </w:rPr>
        <w:t>77</w:t>
      </w:r>
    </w:p>
    <w:p w14:paraId="7523470B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PR"/>
        </w:rPr>
      </w:pPr>
    </w:p>
    <w:p w14:paraId="65695BD8" w14:textId="4614E64E" w:rsidR="00E057F4" w:rsidRPr="0086134A" w:rsidRDefault="00C702D5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  <w:r>
        <w:rPr>
          <w:rFonts w:ascii="Book Antiqua" w:eastAsia="Times New Roman" w:hAnsi="Book Antiqua" w:cs="Times New Roman"/>
          <w:sz w:val="24"/>
          <w:szCs w:val="20"/>
          <w:lang w:val="es-PR"/>
        </w:rPr>
        <w:t>23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ENERO DE 202</w:t>
      </w:r>
      <w:r w:rsidR="00B32D32">
        <w:rPr>
          <w:rFonts w:ascii="Book Antiqua" w:eastAsia="Times New Roman" w:hAnsi="Book Antiqua" w:cs="Times New Roman"/>
          <w:sz w:val="24"/>
          <w:szCs w:val="20"/>
          <w:lang w:val="es-PR"/>
        </w:rPr>
        <w:t>5</w:t>
      </w:r>
    </w:p>
    <w:p w14:paraId="15F54836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7A0B9CA5" w14:textId="218D20ED" w:rsidR="003D2728" w:rsidRPr="001E06C6" w:rsidRDefault="003D2728" w:rsidP="00115C02">
      <w:pPr>
        <w:pStyle w:val="NoSpacing"/>
        <w:ind w:left="720" w:hanging="720"/>
        <w:jc w:val="center"/>
        <w:rPr>
          <w:rFonts w:ascii="Book Antiqua" w:hAnsi="Book Antiqua"/>
          <w:i/>
          <w:sz w:val="24"/>
          <w:szCs w:val="24"/>
        </w:rPr>
      </w:pPr>
      <w:r w:rsidRPr="001E06C6">
        <w:rPr>
          <w:rFonts w:ascii="Book Antiqua" w:hAnsi="Book Antiqua"/>
          <w:sz w:val="24"/>
        </w:rPr>
        <w:t>Presentada por l</w:t>
      </w:r>
      <w:r w:rsidR="00115C02">
        <w:rPr>
          <w:rFonts w:ascii="Book Antiqua" w:hAnsi="Book Antiqua"/>
          <w:sz w:val="24"/>
        </w:rPr>
        <w:t xml:space="preserve">a </w:t>
      </w:r>
      <w:r w:rsidRPr="001E06C6">
        <w:rPr>
          <w:rFonts w:ascii="Book Antiqua" w:hAnsi="Book Antiqua"/>
          <w:sz w:val="24"/>
        </w:rPr>
        <w:t>representante</w:t>
      </w:r>
      <w:r w:rsidRPr="001E06C6">
        <w:rPr>
          <w:rFonts w:ascii="Book Antiqua" w:hAnsi="Book Antiqua"/>
          <w:i/>
          <w:sz w:val="24"/>
        </w:rPr>
        <w:t xml:space="preserve"> </w:t>
      </w:r>
      <w:r w:rsidR="00115C02">
        <w:rPr>
          <w:rFonts w:ascii="Book Antiqua" w:hAnsi="Book Antiqua"/>
          <w:i/>
          <w:sz w:val="24"/>
        </w:rPr>
        <w:t>Martínez Vázquez</w:t>
      </w:r>
    </w:p>
    <w:p w14:paraId="7E3BC9AC" w14:textId="77777777" w:rsidR="003D2728" w:rsidRDefault="003D2728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0631477F" w14:textId="73D78ECC" w:rsidR="00E057F4" w:rsidRPr="00D16DB4" w:rsidRDefault="00D16DB4" w:rsidP="003D2728">
      <w:pPr>
        <w:spacing w:after="0" w:line="240" w:lineRule="auto"/>
        <w:jc w:val="center"/>
        <w:rPr>
          <w:rFonts w:ascii="Book Antiqua" w:eastAsia="Times New Roman" w:hAnsi="Book Antiqua" w:cs="Times New Roman"/>
          <w:sz w:val="28"/>
          <w:szCs w:val="20"/>
          <w:lang w:val="es-PR"/>
        </w:rPr>
      </w:pPr>
      <w:r w:rsidRPr="00D16DB4">
        <w:rPr>
          <w:rFonts w:ascii="Book Antiqua" w:hAnsi="Book Antiqua"/>
          <w:sz w:val="24"/>
          <w:lang w:val="es-ES_tradnl"/>
        </w:rPr>
        <w:t>Referida a la Comisión de</w:t>
      </w:r>
      <w:r w:rsidR="00BA1BE9">
        <w:rPr>
          <w:rFonts w:ascii="Book Antiqua" w:hAnsi="Book Antiqua"/>
          <w:sz w:val="24"/>
          <w:lang w:val="es-ES_tradnl"/>
        </w:rPr>
        <w:t xml:space="preserve"> Asuntos</w:t>
      </w:r>
      <w:r w:rsidR="003715B9">
        <w:rPr>
          <w:rFonts w:ascii="Book Antiqua" w:hAnsi="Book Antiqua"/>
          <w:sz w:val="24"/>
          <w:lang w:val="es-ES_tradnl"/>
        </w:rPr>
        <w:t xml:space="preserve"> Internos</w:t>
      </w:r>
      <w:r w:rsidR="00E057F4" w:rsidRPr="00D16DB4">
        <w:rPr>
          <w:rFonts w:ascii="Book Antiqua" w:eastAsia="Times New Roman" w:hAnsi="Book Antiqua" w:cs="Times New Roman"/>
          <w:sz w:val="28"/>
          <w:szCs w:val="20"/>
          <w:lang w:val="es-PR"/>
        </w:rPr>
        <w:t xml:space="preserve"> </w:t>
      </w:r>
    </w:p>
    <w:p w14:paraId="670994BF" w14:textId="77777777" w:rsidR="003D2728" w:rsidRPr="0086134A" w:rsidRDefault="003D2728" w:rsidP="003D2728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2B9089E9" w14:textId="77777777" w:rsidR="00E057F4" w:rsidRPr="00D16DB4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18"/>
          <w:lang w:val="es-PR"/>
        </w:rPr>
      </w:pPr>
      <w:r w:rsidRPr="00D16DB4">
        <w:rPr>
          <w:rFonts w:ascii="Book Antiqua" w:eastAsia="Times New Roman" w:hAnsi="Book Antiqua" w:cs="Times New Roman"/>
          <w:b/>
          <w:sz w:val="28"/>
          <w:szCs w:val="18"/>
          <w:lang w:val="es-PR"/>
        </w:rPr>
        <w:t xml:space="preserve">RESOLUCIÓN </w:t>
      </w:r>
    </w:p>
    <w:p w14:paraId="63078104" w14:textId="77777777" w:rsidR="00E057F4" w:rsidRPr="0086134A" w:rsidRDefault="00E057F4" w:rsidP="00E057F4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79168DB0" w14:textId="42B6A001" w:rsidR="00115C02" w:rsidRPr="002C62F3" w:rsidRDefault="00E057F4" w:rsidP="00E057F4">
      <w:pPr>
        <w:spacing w:after="0" w:line="240" w:lineRule="auto"/>
        <w:ind w:left="720" w:hanging="720"/>
        <w:jc w:val="both"/>
        <w:rPr>
          <w:rFonts w:ascii="Book Antiqua" w:hAnsi="Book Antiqua"/>
          <w:sz w:val="24"/>
          <w:szCs w:val="24"/>
          <w:lang w:val="es-PR"/>
        </w:rPr>
      </w:pPr>
      <w:r w:rsidRPr="002C62F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Para ordenar a </w:t>
      </w:r>
      <w:r w:rsidR="005515C3" w:rsidRPr="002C62F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las </w:t>
      </w:r>
      <w:r w:rsidR="00E95304">
        <w:rPr>
          <w:rFonts w:ascii="Book Antiqua" w:eastAsia="Times New Roman" w:hAnsi="Book Antiqua" w:cs="Times New Roman"/>
          <w:sz w:val="24"/>
          <w:szCs w:val="20"/>
          <w:lang w:val="es-PR"/>
        </w:rPr>
        <w:t>C</w:t>
      </w:r>
      <w:r w:rsidR="005515C3" w:rsidRPr="002C62F3">
        <w:rPr>
          <w:rFonts w:ascii="Book Antiqua" w:eastAsia="Times New Roman" w:hAnsi="Book Antiqua" w:cs="Times New Roman"/>
          <w:sz w:val="24"/>
          <w:szCs w:val="20"/>
          <w:lang w:val="es-PR"/>
        </w:rPr>
        <w:t>omisiones</w:t>
      </w:r>
      <w:r w:rsidR="0092112F" w:rsidRPr="002C62F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la Región Sur; y de la Región Oeste</w:t>
      </w:r>
      <w:r w:rsidR="005515C3" w:rsidRPr="002C62F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Pr="002C62F3">
        <w:rPr>
          <w:rFonts w:ascii="Book Antiqua" w:eastAsia="Times New Roman" w:hAnsi="Book Antiqua" w:cs="Times New Roman"/>
          <w:sz w:val="24"/>
          <w:szCs w:val="20"/>
          <w:lang w:val="es-PR"/>
        </w:rPr>
        <w:t>de la Cámara de Representantes</w:t>
      </w:r>
      <w:r w:rsidR="005F2776" w:rsidRPr="002C62F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Puerto Rico</w:t>
      </w:r>
      <w:r w:rsidR="00A65065" w:rsidRPr="002C62F3">
        <w:rPr>
          <w:rFonts w:ascii="Book Antiqua" w:eastAsia="Times New Roman" w:hAnsi="Book Antiqua" w:cs="Times New Roman"/>
          <w:sz w:val="24"/>
          <w:szCs w:val="20"/>
          <w:lang w:val="es-PR"/>
        </w:rPr>
        <w:t>,</w:t>
      </w:r>
      <w:r w:rsidR="00CC27C3" w:rsidRPr="002C62F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775E87" w:rsidRPr="002C62F3">
        <w:rPr>
          <w:rFonts w:ascii="Book Antiqua" w:hAnsi="Book Antiqua"/>
          <w:sz w:val="24"/>
          <w:szCs w:val="24"/>
          <w:lang w:val="es-PR"/>
        </w:rPr>
        <w:t>realizar una investigación</w:t>
      </w:r>
      <w:r w:rsidR="002F0D95" w:rsidRPr="002C62F3">
        <w:rPr>
          <w:rFonts w:ascii="Book Antiqua" w:hAnsi="Book Antiqua"/>
          <w:sz w:val="24"/>
          <w:szCs w:val="24"/>
          <w:lang w:val="es-PR"/>
        </w:rPr>
        <w:t xml:space="preserve"> exhaustiva </w:t>
      </w:r>
      <w:r w:rsidR="00775E87" w:rsidRPr="002C62F3">
        <w:rPr>
          <w:rFonts w:ascii="Book Antiqua" w:hAnsi="Book Antiqua"/>
          <w:sz w:val="24"/>
          <w:szCs w:val="24"/>
          <w:lang w:val="es-PR"/>
        </w:rPr>
        <w:t>sobre</w:t>
      </w:r>
      <w:r w:rsidRPr="002C62F3">
        <w:rPr>
          <w:rFonts w:ascii="Book Antiqua" w:hAnsi="Book Antiqua"/>
          <w:sz w:val="24"/>
          <w:szCs w:val="24"/>
          <w:lang w:val="es-PR"/>
        </w:rPr>
        <w:t xml:space="preserve"> </w:t>
      </w:r>
      <w:r w:rsidR="007256DA" w:rsidRPr="002C62F3">
        <w:rPr>
          <w:rFonts w:ascii="Book Antiqua" w:hAnsi="Book Antiqua"/>
          <w:sz w:val="24"/>
          <w:szCs w:val="24"/>
          <w:lang w:val="es-PR"/>
        </w:rPr>
        <w:t>las constantes interrupciones del servicio eléctrico, causas,  consecuencias e impacto en la calidad de vida</w:t>
      </w:r>
      <w:r w:rsidR="00F46665" w:rsidRPr="002C62F3">
        <w:rPr>
          <w:rFonts w:ascii="Book Antiqua" w:hAnsi="Book Antiqua"/>
          <w:sz w:val="24"/>
          <w:szCs w:val="24"/>
          <w:lang w:val="es-PR"/>
        </w:rPr>
        <w:t>, viviendas y desarrollo</w:t>
      </w:r>
      <w:r w:rsidR="007256DA" w:rsidRPr="002C62F3">
        <w:rPr>
          <w:rFonts w:ascii="Book Antiqua" w:hAnsi="Book Antiqua"/>
          <w:sz w:val="24"/>
          <w:szCs w:val="24"/>
          <w:lang w:val="es-PR"/>
        </w:rPr>
        <w:t xml:space="preserve"> de los </w:t>
      </w:r>
      <w:r w:rsidR="0031193D" w:rsidRPr="002C62F3">
        <w:rPr>
          <w:rFonts w:ascii="Book Antiqua" w:hAnsi="Book Antiqua"/>
          <w:sz w:val="24"/>
          <w:szCs w:val="24"/>
          <w:lang w:val="es-PR"/>
        </w:rPr>
        <w:t xml:space="preserve">residentes del Distrito 21, que comprende los municipios de </w:t>
      </w:r>
      <w:r w:rsidR="00557056" w:rsidRPr="002C62F3">
        <w:rPr>
          <w:rFonts w:ascii="Book Antiqua" w:hAnsi="Book Antiqua"/>
          <w:sz w:val="24"/>
          <w:szCs w:val="24"/>
          <w:lang w:val="es-PR"/>
        </w:rPr>
        <w:t>Guánica, Lajas, Las Marías, Maricao, Sabana Grande y Yauco</w:t>
      </w:r>
      <w:r w:rsidR="007256DA" w:rsidRPr="002C62F3">
        <w:rPr>
          <w:rFonts w:ascii="Book Antiqua" w:hAnsi="Book Antiqua"/>
          <w:sz w:val="24"/>
          <w:szCs w:val="24"/>
          <w:lang w:val="es-PR"/>
        </w:rPr>
        <w:t>, con el fin de auscultar alternativas de mitigación y soluciones a corto plazo para esta recurrente problemática</w:t>
      </w:r>
      <w:r w:rsidR="00D14960" w:rsidRPr="002C62F3">
        <w:rPr>
          <w:rFonts w:ascii="Book Antiqua" w:hAnsi="Book Antiqua"/>
          <w:sz w:val="24"/>
          <w:szCs w:val="24"/>
          <w:lang w:val="es-PR"/>
        </w:rPr>
        <w:t>; y para otros fines relacionados.</w:t>
      </w:r>
      <w:r w:rsidR="005E1BD0" w:rsidRPr="002C62F3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79AF4D96" w14:textId="77777777" w:rsidR="00E057F4" w:rsidRPr="0086134A" w:rsidRDefault="00E057F4" w:rsidP="00D14960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5540641C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EXPOSICIÓN DE MOTIVOS </w:t>
      </w:r>
    </w:p>
    <w:p w14:paraId="224D6050" w14:textId="77777777" w:rsidR="00E057F4" w:rsidRPr="0086134A" w:rsidRDefault="00E057F4" w:rsidP="00E057F4">
      <w:pPr>
        <w:spacing w:after="0" w:line="240" w:lineRule="auto"/>
        <w:ind w:firstLine="360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44BC6278" w14:textId="4FC05773" w:rsidR="007256DA" w:rsidRPr="002C62F3" w:rsidRDefault="007256DA" w:rsidP="00E057F4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 w:rsidRPr="002C62F3">
        <w:rPr>
          <w:rFonts w:ascii="Book Antiqua" w:eastAsia="Times New Roman" w:hAnsi="Book Antiqua" w:cs="Arial"/>
          <w:sz w:val="24"/>
          <w:szCs w:val="20"/>
          <w:lang w:val="es-PR"/>
        </w:rPr>
        <w:t xml:space="preserve">El 1 de junio de 2021, las operaciones de transmisión y distribución de la energía eléctrica </w:t>
      </w:r>
      <w:r w:rsidR="00A75F09" w:rsidRPr="002C62F3">
        <w:rPr>
          <w:rFonts w:ascii="Book Antiqua" w:eastAsia="Times New Roman" w:hAnsi="Book Antiqua" w:cs="Arial"/>
          <w:sz w:val="24"/>
          <w:szCs w:val="20"/>
          <w:lang w:val="es-PR"/>
        </w:rPr>
        <w:t>pasaron</w:t>
      </w:r>
      <w:r w:rsidR="00474093" w:rsidRPr="002C62F3">
        <w:rPr>
          <w:rFonts w:ascii="Book Antiqua" w:eastAsia="Times New Roman" w:hAnsi="Book Antiqua" w:cs="Arial"/>
          <w:sz w:val="24"/>
          <w:szCs w:val="20"/>
          <w:lang w:val="es-PR"/>
        </w:rPr>
        <w:t xml:space="preserve"> de la antigua Autoridad de Energía Eléctrica</w:t>
      </w:r>
      <w:r w:rsidR="00A75F09" w:rsidRPr="002C62F3">
        <w:rPr>
          <w:rFonts w:ascii="Book Antiqua" w:eastAsia="Times New Roman" w:hAnsi="Book Antiqua" w:cs="Arial"/>
          <w:sz w:val="24"/>
          <w:szCs w:val="20"/>
          <w:lang w:val="es-PR"/>
        </w:rPr>
        <w:t xml:space="preserve"> a la empresa privada con fines de lucro, LUMA Energy. </w:t>
      </w:r>
    </w:p>
    <w:p w14:paraId="34D5741E" w14:textId="77777777" w:rsidR="007256DA" w:rsidRPr="002C62F3" w:rsidRDefault="007256DA" w:rsidP="00E057F4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70BF1BCC" w14:textId="43BD6212" w:rsidR="00C474C5" w:rsidRPr="002C62F3" w:rsidRDefault="00A75F09" w:rsidP="00E057F4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 w:rsidRPr="002C62F3">
        <w:rPr>
          <w:rFonts w:ascii="Book Antiqua" w:eastAsia="Times New Roman" w:hAnsi="Book Antiqua" w:cs="Arial"/>
          <w:sz w:val="24"/>
          <w:szCs w:val="20"/>
          <w:lang w:val="es-PR"/>
        </w:rPr>
        <w:t xml:space="preserve">A nivel Isla, se han levantado preocupaciones sobre la ejecutoria de esta nueva compañía y su </w:t>
      </w:r>
      <w:r w:rsidR="00C474C5" w:rsidRPr="002C62F3">
        <w:rPr>
          <w:rFonts w:ascii="Book Antiqua" w:eastAsia="Times New Roman" w:hAnsi="Book Antiqua" w:cs="Arial"/>
          <w:sz w:val="24"/>
          <w:szCs w:val="20"/>
          <w:lang w:val="es-PR"/>
        </w:rPr>
        <w:t xml:space="preserve">calidad de servicio en cuanto a la distribución de la energía eléctrica. </w:t>
      </w:r>
      <w:r w:rsidR="00F3665D" w:rsidRPr="002C62F3">
        <w:rPr>
          <w:rFonts w:ascii="Book Antiqua" w:eastAsia="Times New Roman" w:hAnsi="Book Antiqua" w:cs="Arial"/>
          <w:sz w:val="24"/>
          <w:szCs w:val="20"/>
          <w:lang w:val="es-PR"/>
        </w:rPr>
        <w:t xml:space="preserve">Muchos puertorriqueños sufren constantemente las consecuencias de una calidad de servicio cuestionable que se refleja en la pérdida de alimentos, pérdida de equipos </w:t>
      </w:r>
      <w:r w:rsidR="00F3665D" w:rsidRPr="002C62F3">
        <w:rPr>
          <w:rFonts w:ascii="Book Antiqua" w:eastAsia="Times New Roman" w:hAnsi="Book Antiqua" w:cs="Arial"/>
          <w:sz w:val="24"/>
          <w:szCs w:val="20"/>
          <w:lang w:val="es-PR"/>
        </w:rPr>
        <w:lastRenderedPageBreak/>
        <w:t>electrodomésticos y hasta una disminución en las actividades comerciales debido a la falta de energía eléctrica.</w:t>
      </w:r>
      <w:r w:rsidR="00474093" w:rsidRPr="002C62F3">
        <w:rPr>
          <w:rFonts w:ascii="Book Antiqua" w:eastAsia="Times New Roman" w:hAnsi="Book Antiqua" w:cs="Arial"/>
          <w:sz w:val="24"/>
          <w:szCs w:val="20"/>
          <w:lang w:val="es-PR"/>
        </w:rPr>
        <w:t xml:space="preserve"> Esta situación, es un claro atentado a la calidad de vida de los residentes del </w:t>
      </w:r>
      <w:r w:rsidR="003A16E7" w:rsidRPr="002C62F3">
        <w:rPr>
          <w:rFonts w:ascii="Book Antiqua" w:eastAsia="Times New Roman" w:hAnsi="Book Antiqua" w:cs="Arial"/>
          <w:sz w:val="24"/>
          <w:szCs w:val="20"/>
          <w:lang w:val="es-PR"/>
        </w:rPr>
        <w:t xml:space="preserve">Distrito 21 e impide el desarrollo de más y mejores viviendas y desarrollo del distrito. </w:t>
      </w:r>
    </w:p>
    <w:p w14:paraId="20291621" w14:textId="77777777" w:rsidR="00F3665D" w:rsidRPr="002C62F3" w:rsidRDefault="00F3665D" w:rsidP="00E057F4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5DAA856E" w14:textId="19ED27F4" w:rsidR="008F613B" w:rsidRPr="002C62F3" w:rsidRDefault="00F3665D" w:rsidP="00E057F4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 w:rsidRPr="002C62F3">
        <w:rPr>
          <w:rFonts w:ascii="Book Antiqua" w:eastAsia="Times New Roman" w:hAnsi="Book Antiqua" w:cs="Arial"/>
          <w:sz w:val="24"/>
          <w:szCs w:val="20"/>
          <w:lang w:val="es-PR"/>
        </w:rPr>
        <w:t>En ocasiones, se ha encontrado que la falta de energía eléctrica se debe a la falta de mantenimiento en equipo del cableado que sirve para la distribución de la energía. En ocasiones, se debe a asuntos como la falta de poda, desganche y mantenimiento de las áreas verdes o arbustos que se encuentran cercan</w:t>
      </w:r>
      <w:r w:rsidR="0030369C" w:rsidRPr="002C62F3">
        <w:rPr>
          <w:rFonts w:ascii="Book Antiqua" w:eastAsia="Times New Roman" w:hAnsi="Book Antiqua" w:cs="Arial"/>
          <w:sz w:val="24"/>
          <w:szCs w:val="20"/>
          <w:lang w:val="es-PR"/>
        </w:rPr>
        <w:t xml:space="preserve">os a los postes o cables de energía. </w:t>
      </w:r>
      <w:r w:rsidR="008F613B" w:rsidRPr="002C62F3">
        <w:rPr>
          <w:rFonts w:ascii="Book Antiqua" w:eastAsia="Times New Roman" w:hAnsi="Book Antiqua" w:cs="Arial"/>
          <w:sz w:val="24"/>
          <w:szCs w:val="20"/>
          <w:lang w:val="es-PR"/>
        </w:rPr>
        <w:t xml:space="preserve">Algunos de estos asuntos, parecen ser fáciles de resolver a corto plazo con una buena coordinación de planes estratégicos dirigidos a ello. </w:t>
      </w:r>
    </w:p>
    <w:p w14:paraId="7A50EEF6" w14:textId="77777777" w:rsidR="008F613B" w:rsidRPr="002C62F3" w:rsidRDefault="008F613B" w:rsidP="00E057F4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0E6EDEF1" w14:textId="5577AF30" w:rsidR="00F3665D" w:rsidRPr="002C62F3" w:rsidRDefault="00E7474A" w:rsidP="00E057F4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 w:rsidRPr="002C62F3">
        <w:rPr>
          <w:rFonts w:ascii="Book Antiqua" w:eastAsia="Times New Roman" w:hAnsi="Book Antiqua" w:cs="Arial"/>
          <w:sz w:val="24"/>
          <w:szCs w:val="20"/>
          <w:lang w:val="es-PR"/>
        </w:rPr>
        <w:t xml:space="preserve">Considerando </w:t>
      </w:r>
      <w:r w:rsidR="0030369C" w:rsidRPr="002C62F3">
        <w:rPr>
          <w:rFonts w:ascii="Book Antiqua" w:eastAsia="Times New Roman" w:hAnsi="Book Antiqua" w:cs="Arial"/>
          <w:sz w:val="24"/>
          <w:szCs w:val="20"/>
          <w:lang w:val="es-PR"/>
        </w:rPr>
        <w:t xml:space="preserve">que las situaciones aquí presentadas no son taxativas ni son las razones totales por las que se interrumpe constantemente el servicio de energía eléctrica en el Distrito 21; es meritorio </w:t>
      </w:r>
      <w:r w:rsidR="00334E3D" w:rsidRPr="002C62F3">
        <w:rPr>
          <w:rFonts w:ascii="Book Antiqua" w:eastAsia="Times New Roman" w:hAnsi="Book Antiqua" w:cs="Arial"/>
          <w:sz w:val="24"/>
          <w:szCs w:val="20"/>
          <w:lang w:val="es-PR"/>
        </w:rPr>
        <w:t xml:space="preserve">realizar </w:t>
      </w:r>
      <w:r w:rsidR="00474093" w:rsidRPr="002C62F3">
        <w:rPr>
          <w:rFonts w:ascii="Book Antiqua" w:eastAsia="Times New Roman" w:hAnsi="Book Antiqua" w:cs="Arial"/>
          <w:sz w:val="24"/>
          <w:szCs w:val="20"/>
          <w:lang w:val="es-PR"/>
        </w:rPr>
        <w:t>una investigación exhaustiva sobre las constantes interrupciones del servicio eléctrico, causas,  consecuencias e impacto en la calidad de vida</w:t>
      </w:r>
      <w:r w:rsidR="003A16E7" w:rsidRPr="002C62F3">
        <w:rPr>
          <w:rFonts w:ascii="Book Antiqua" w:eastAsia="Times New Roman" w:hAnsi="Book Antiqua" w:cs="Arial"/>
          <w:sz w:val="24"/>
          <w:szCs w:val="20"/>
          <w:lang w:val="es-PR"/>
        </w:rPr>
        <w:t>, viviendas y desarrollo</w:t>
      </w:r>
      <w:r w:rsidR="00474093" w:rsidRPr="002C62F3">
        <w:rPr>
          <w:rFonts w:ascii="Book Antiqua" w:eastAsia="Times New Roman" w:hAnsi="Book Antiqua" w:cs="Arial"/>
          <w:sz w:val="24"/>
          <w:szCs w:val="20"/>
          <w:lang w:val="es-PR"/>
        </w:rPr>
        <w:t xml:space="preserve"> de los residentes del Distrito 21, que comprende los municipios de Guánica, Lajas, Las Marías, Maricao, Sabana Grande y Yauco, con el fin de auscultar alternativas de mitigación y soluciones a corto plazo para esta recurrente problemática</w:t>
      </w:r>
      <w:r w:rsidR="004E30B9" w:rsidRPr="002C62F3">
        <w:rPr>
          <w:rFonts w:ascii="Book Antiqua" w:eastAsia="Times New Roman" w:hAnsi="Book Antiqua" w:cs="Arial"/>
          <w:sz w:val="24"/>
          <w:szCs w:val="20"/>
          <w:lang w:val="es-PR"/>
        </w:rPr>
        <w:t>.</w:t>
      </w:r>
    </w:p>
    <w:p w14:paraId="69354580" w14:textId="77777777" w:rsidR="00E057F4" w:rsidRPr="0086134A" w:rsidRDefault="00E057F4" w:rsidP="008D3A79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Arial"/>
          <w:sz w:val="24"/>
          <w:szCs w:val="24"/>
          <w:lang w:val="es-PR"/>
        </w:rPr>
      </w:pPr>
    </w:p>
    <w:p w14:paraId="3BB8300B" w14:textId="585EE9DB" w:rsidR="00E057F4" w:rsidRPr="0086134A" w:rsidRDefault="002F0D95" w:rsidP="00E057F4">
      <w:pPr>
        <w:spacing w:after="0" w:line="480" w:lineRule="auto"/>
        <w:rPr>
          <w:rFonts w:ascii="Book Antiqua" w:eastAsia="Times New Roman" w:hAnsi="Book Antiqua" w:cs="Times New Roman"/>
          <w:i/>
          <w:sz w:val="24"/>
          <w:szCs w:val="20"/>
          <w:lang w:val="es-PR"/>
        </w:rPr>
      </w:pPr>
      <w:r w:rsidRPr="001E06C6">
        <w:rPr>
          <w:rFonts w:ascii="Book Antiqua" w:eastAsia="Times New Roman" w:hAnsi="Book Antiqua" w:cs="Times New Roman"/>
          <w:i/>
          <w:sz w:val="24"/>
          <w:szCs w:val="20"/>
          <w:lang w:val="es-PR"/>
        </w:rPr>
        <w:t>RESUÉLVESE</w:t>
      </w:r>
      <w:r w:rsidR="00E057F4" w:rsidRPr="0086134A">
        <w:rPr>
          <w:rFonts w:ascii="Book Antiqua" w:eastAsia="Times New Roman" w:hAnsi="Book Antiqua" w:cs="Times New Roman"/>
          <w:i/>
          <w:sz w:val="24"/>
          <w:szCs w:val="20"/>
          <w:lang w:val="es-PR"/>
        </w:rPr>
        <w:t xml:space="preserve"> POR LA CÁMARA DE REPRESENTANTES DE PUERTO RICO:</w:t>
      </w:r>
    </w:p>
    <w:p w14:paraId="2417E918" w14:textId="77777777" w:rsidR="00E057F4" w:rsidRPr="0086134A" w:rsidRDefault="00E057F4" w:rsidP="00E057F4">
      <w:pPr>
        <w:spacing w:after="0" w:line="48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  <w:sectPr w:rsidR="00E057F4" w:rsidRPr="0086134A" w:rsidSect="0086134A">
          <w:headerReference w:type="default" r:id="rId6"/>
          <w:headerReference w:type="first" r:id="rId7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103D4D08" w14:textId="0BD7817C" w:rsidR="005A4D38" w:rsidRPr="002C62F3" w:rsidRDefault="00E057F4" w:rsidP="000F2770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2C62F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Sección 1.-Se ordena a </w:t>
      </w:r>
      <w:r w:rsidR="004E30B9" w:rsidRPr="002C62F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las </w:t>
      </w:r>
      <w:r w:rsidR="00E95304">
        <w:rPr>
          <w:rFonts w:ascii="Book Antiqua" w:eastAsia="Times New Roman" w:hAnsi="Book Antiqua" w:cs="Times New Roman"/>
          <w:sz w:val="24"/>
          <w:szCs w:val="20"/>
          <w:lang w:val="es-PR"/>
        </w:rPr>
        <w:t>C</w:t>
      </w:r>
      <w:r w:rsidR="004E30B9" w:rsidRPr="002C62F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omisiones de la Región Sur; y de la Región Oeste </w:t>
      </w:r>
      <w:r w:rsidRPr="002C62F3">
        <w:rPr>
          <w:rFonts w:ascii="Book Antiqua" w:eastAsia="Times New Roman" w:hAnsi="Book Antiqua" w:cs="Times New Roman"/>
          <w:sz w:val="24"/>
          <w:szCs w:val="20"/>
          <w:lang w:val="es-PR"/>
        </w:rPr>
        <w:t>de la Cámara de Representantes</w:t>
      </w:r>
      <w:r w:rsidR="002F0D95" w:rsidRPr="002C62F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Puerto Rico</w:t>
      </w:r>
      <w:r w:rsidR="00A65065" w:rsidRPr="002C62F3">
        <w:rPr>
          <w:rFonts w:ascii="Book Antiqua" w:eastAsia="Times New Roman" w:hAnsi="Book Antiqua" w:cs="Times New Roman"/>
          <w:sz w:val="24"/>
          <w:szCs w:val="20"/>
          <w:lang w:val="es-PR"/>
        </w:rPr>
        <w:t>,</w:t>
      </w:r>
      <w:r w:rsidR="00B13A14" w:rsidRPr="002C62F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0F2770" w:rsidRPr="002C62F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realizar una investigación exhaustiva sobre las constantes interrupciones del servicio eléctrico, causas,  consecuencias e impacto en la calidad de vida, viviendas y desarrollo de los residentes del Distrito 21, que comprende los municipios de Guánica, Lajas, Las Marías, Maricao, Sabana Grande y Yauco, con el fin de auscultar alternativas de mitigación y soluciones a corto plazo para esta recurrente problemática. </w:t>
      </w:r>
      <w:r w:rsidR="005A4D38" w:rsidRPr="002C62F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</w:p>
    <w:p w14:paraId="38AEE730" w14:textId="348164FE" w:rsidR="00D65706" w:rsidRPr="002C62F3" w:rsidRDefault="004919E3" w:rsidP="00971813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0"/>
          <w:lang w:val="es-ES_tradnl"/>
        </w:rPr>
      </w:pPr>
      <w:r w:rsidRPr="004919E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Sección 2.-Las Comisiones rendirán a la Cámara de Representantes de Puerto Rico los informes parciales que estimen necesarios o convenientes en los que incluyan sus </w:t>
      </w:r>
      <w:r w:rsidRPr="004919E3">
        <w:rPr>
          <w:rFonts w:ascii="Book Antiqua" w:eastAsia="Times New Roman" w:hAnsi="Book Antiqua" w:cs="Times New Roman"/>
          <w:sz w:val="24"/>
          <w:szCs w:val="20"/>
          <w:lang w:val="es-PR"/>
        </w:rPr>
        <w:lastRenderedPageBreak/>
        <w:t>hallazgos, conclusiones y recomendaciones; asimismo, someterán un informe final, antes de que finalice la Vigésima Asamblea Legislativa.</w:t>
      </w:r>
    </w:p>
    <w:p w14:paraId="0A6A86E2" w14:textId="031D8F86" w:rsidR="00FE47EF" w:rsidRPr="002C62F3" w:rsidRDefault="00E057F4" w:rsidP="00E057F4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2C62F3">
        <w:rPr>
          <w:rFonts w:ascii="Book Antiqua" w:eastAsia="Times New Roman" w:hAnsi="Book Antiqua" w:cs="Times New Roman"/>
          <w:sz w:val="24"/>
          <w:szCs w:val="20"/>
          <w:lang w:val="es-PR"/>
        </w:rPr>
        <w:t>Sección 3.-Esta Resolución comenzará a regir inmediatamente después de su aprobación.</w:t>
      </w:r>
    </w:p>
    <w:sectPr w:rsidR="00FE47EF" w:rsidRPr="002C62F3" w:rsidSect="00883104">
      <w:headerReference w:type="default" r:id="rId8"/>
      <w:type w:val="continuous"/>
      <w:pgSz w:w="12240" w:h="15840" w:code="1"/>
      <w:pgMar w:top="1440" w:right="1440" w:bottom="1440" w:left="1440" w:header="720" w:footer="720" w:gutter="0"/>
      <w:lnNumType w:countBy="1"/>
      <w:pgNumType w:start="2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25AF24" w14:textId="77777777" w:rsidR="008F7EA0" w:rsidRDefault="008F7EA0">
      <w:pPr>
        <w:spacing w:after="0" w:line="240" w:lineRule="auto"/>
      </w:pPr>
      <w:r>
        <w:separator/>
      </w:r>
    </w:p>
  </w:endnote>
  <w:endnote w:type="continuationSeparator" w:id="0">
    <w:p w14:paraId="0D7AC54F" w14:textId="77777777" w:rsidR="008F7EA0" w:rsidRDefault="008F7E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C50AD5" w14:textId="77777777" w:rsidR="008F7EA0" w:rsidRDefault="008F7EA0">
      <w:pPr>
        <w:spacing w:after="0" w:line="240" w:lineRule="auto"/>
      </w:pPr>
      <w:r>
        <w:separator/>
      </w:r>
    </w:p>
  </w:footnote>
  <w:footnote w:type="continuationSeparator" w:id="0">
    <w:p w14:paraId="113B543B" w14:textId="77777777" w:rsidR="008F7EA0" w:rsidRDefault="008F7E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863962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FA9B8B7" w14:textId="52101A4A" w:rsidR="00883104" w:rsidRDefault="00883104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614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B408FF" w14:textId="77777777" w:rsidR="00883104" w:rsidRDefault="0088310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B87FB" w14:textId="16E1F055" w:rsidR="00B83B93" w:rsidRPr="00B83B93" w:rsidRDefault="00B83B93" w:rsidP="00B83B93">
    <w:pPr>
      <w:pStyle w:val="Header"/>
      <w:jc w:val="center"/>
      <w:rPr>
        <w:rFonts w:ascii="Book Antiqua" w:hAnsi="Book Antiqua"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856774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7B1C2CD" w14:textId="112E66BF" w:rsidR="00883104" w:rsidRDefault="00883104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614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BACE310" w14:textId="27ADF233" w:rsidR="00A83ADE" w:rsidRPr="00883104" w:rsidRDefault="00A83ADE" w:rsidP="0088310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0554"/>
    <w:rsid w:val="000037E1"/>
    <w:rsid w:val="00004FD4"/>
    <w:rsid w:val="000123D0"/>
    <w:rsid w:val="000126F4"/>
    <w:rsid w:val="0002255C"/>
    <w:rsid w:val="000240E7"/>
    <w:rsid w:val="00050FF9"/>
    <w:rsid w:val="00083154"/>
    <w:rsid w:val="000A11F6"/>
    <w:rsid w:val="000B22D9"/>
    <w:rsid w:val="000C3F6F"/>
    <w:rsid w:val="000D3B77"/>
    <w:rsid w:val="000E22A3"/>
    <w:rsid w:val="000E5D13"/>
    <w:rsid w:val="000F2770"/>
    <w:rsid w:val="00115C02"/>
    <w:rsid w:val="00130737"/>
    <w:rsid w:val="00143E25"/>
    <w:rsid w:val="00154166"/>
    <w:rsid w:val="00174F4D"/>
    <w:rsid w:val="001829F9"/>
    <w:rsid w:val="00186A24"/>
    <w:rsid w:val="00187B1A"/>
    <w:rsid w:val="0019717C"/>
    <w:rsid w:val="001A4CA4"/>
    <w:rsid w:val="001B0554"/>
    <w:rsid w:val="001D57E7"/>
    <w:rsid w:val="001E06C6"/>
    <w:rsid w:val="001E6A27"/>
    <w:rsid w:val="001F2FFC"/>
    <w:rsid w:val="00203817"/>
    <w:rsid w:val="00203E37"/>
    <w:rsid w:val="00210B2C"/>
    <w:rsid w:val="002146C8"/>
    <w:rsid w:val="00216C8B"/>
    <w:rsid w:val="00220442"/>
    <w:rsid w:val="00230A23"/>
    <w:rsid w:val="002506BA"/>
    <w:rsid w:val="00255C1F"/>
    <w:rsid w:val="00275898"/>
    <w:rsid w:val="002B0FD8"/>
    <w:rsid w:val="002C0704"/>
    <w:rsid w:val="002C62F3"/>
    <w:rsid w:val="002D4C85"/>
    <w:rsid w:val="002F0D95"/>
    <w:rsid w:val="002F1B9E"/>
    <w:rsid w:val="002F6EA8"/>
    <w:rsid w:val="0030369C"/>
    <w:rsid w:val="0031193D"/>
    <w:rsid w:val="003120DE"/>
    <w:rsid w:val="00321CAA"/>
    <w:rsid w:val="00325B99"/>
    <w:rsid w:val="00334E3D"/>
    <w:rsid w:val="003427B8"/>
    <w:rsid w:val="00345C7D"/>
    <w:rsid w:val="00355EA6"/>
    <w:rsid w:val="00357E9D"/>
    <w:rsid w:val="0036100B"/>
    <w:rsid w:val="003715B9"/>
    <w:rsid w:val="003905EC"/>
    <w:rsid w:val="003A16E7"/>
    <w:rsid w:val="003B364B"/>
    <w:rsid w:val="003D2728"/>
    <w:rsid w:val="003D2B7F"/>
    <w:rsid w:val="003D56A4"/>
    <w:rsid w:val="003E394C"/>
    <w:rsid w:val="003E3E86"/>
    <w:rsid w:val="003F4B68"/>
    <w:rsid w:val="00404ADC"/>
    <w:rsid w:val="00421AEE"/>
    <w:rsid w:val="00426928"/>
    <w:rsid w:val="0043046A"/>
    <w:rsid w:val="004430DE"/>
    <w:rsid w:val="00445A64"/>
    <w:rsid w:val="00465669"/>
    <w:rsid w:val="00474093"/>
    <w:rsid w:val="00480541"/>
    <w:rsid w:val="0048287D"/>
    <w:rsid w:val="0048290B"/>
    <w:rsid w:val="004873C5"/>
    <w:rsid w:val="004919E3"/>
    <w:rsid w:val="0049309E"/>
    <w:rsid w:val="004B2B08"/>
    <w:rsid w:val="004C7054"/>
    <w:rsid w:val="004D24B9"/>
    <w:rsid w:val="004E0CC9"/>
    <w:rsid w:val="004E30B9"/>
    <w:rsid w:val="004E3215"/>
    <w:rsid w:val="004E6EDE"/>
    <w:rsid w:val="004F6DDD"/>
    <w:rsid w:val="005074B0"/>
    <w:rsid w:val="00524A7A"/>
    <w:rsid w:val="0053706D"/>
    <w:rsid w:val="00541AEA"/>
    <w:rsid w:val="00544BF6"/>
    <w:rsid w:val="005515C3"/>
    <w:rsid w:val="005524E0"/>
    <w:rsid w:val="00557056"/>
    <w:rsid w:val="00577C9C"/>
    <w:rsid w:val="00582A31"/>
    <w:rsid w:val="00586D77"/>
    <w:rsid w:val="005933DA"/>
    <w:rsid w:val="005955A4"/>
    <w:rsid w:val="005A4D38"/>
    <w:rsid w:val="005A7C41"/>
    <w:rsid w:val="005C4455"/>
    <w:rsid w:val="005D260A"/>
    <w:rsid w:val="005E1BD0"/>
    <w:rsid w:val="005F2776"/>
    <w:rsid w:val="00631A68"/>
    <w:rsid w:val="00633998"/>
    <w:rsid w:val="00655E39"/>
    <w:rsid w:val="00660201"/>
    <w:rsid w:val="0067699D"/>
    <w:rsid w:val="00677998"/>
    <w:rsid w:val="00680B1C"/>
    <w:rsid w:val="0068171E"/>
    <w:rsid w:val="006A381A"/>
    <w:rsid w:val="006B298B"/>
    <w:rsid w:val="006C5407"/>
    <w:rsid w:val="006C799A"/>
    <w:rsid w:val="006D2D79"/>
    <w:rsid w:val="006D4BFA"/>
    <w:rsid w:val="006F5F21"/>
    <w:rsid w:val="00715D9D"/>
    <w:rsid w:val="00720449"/>
    <w:rsid w:val="0072476E"/>
    <w:rsid w:val="007256DA"/>
    <w:rsid w:val="00740EB9"/>
    <w:rsid w:val="00746EDB"/>
    <w:rsid w:val="00775E87"/>
    <w:rsid w:val="00796C96"/>
    <w:rsid w:val="007B71A3"/>
    <w:rsid w:val="007B7993"/>
    <w:rsid w:val="007E6543"/>
    <w:rsid w:val="00833932"/>
    <w:rsid w:val="00853761"/>
    <w:rsid w:val="008611E0"/>
    <w:rsid w:val="00872166"/>
    <w:rsid w:val="00877CDA"/>
    <w:rsid w:val="00883104"/>
    <w:rsid w:val="00884AC6"/>
    <w:rsid w:val="008A603A"/>
    <w:rsid w:val="008B1AB2"/>
    <w:rsid w:val="008C25EB"/>
    <w:rsid w:val="008D3A79"/>
    <w:rsid w:val="008D7FE8"/>
    <w:rsid w:val="008E155B"/>
    <w:rsid w:val="008E33AE"/>
    <w:rsid w:val="008F613B"/>
    <w:rsid w:val="008F7EA0"/>
    <w:rsid w:val="0092112F"/>
    <w:rsid w:val="00942574"/>
    <w:rsid w:val="00971813"/>
    <w:rsid w:val="0099658A"/>
    <w:rsid w:val="009A3CA1"/>
    <w:rsid w:val="009B7A71"/>
    <w:rsid w:val="00A27390"/>
    <w:rsid w:val="00A37A06"/>
    <w:rsid w:val="00A44EEC"/>
    <w:rsid w:val="00A461B9"/>
    <w:rsid w:val="00A65065"/>
    <w:rsid w:val="00A75F09"/>
    <w:rsid w:val="00A83ADE"/>
    <w:rsid w:val="00AB176B"/>
    <w:rsid w:val="00AC6BE4"/>
    <w:rsid w:val="00AD78C1"/>
    <w:rsid w:val="00AF794B"/>
    <w:rsid w:val="00B11F6D"/>
    <w:rsid w:val="00B13A14"/>
    <w:rsid w:val="00B219B8"/>
    <w:rsid w:val="00B24EE5"/>
    <w:rsid w:val="00B32D32"/>
    <w:rsid w:val="00B3597A"/>
    <w:rsid w:val="00B367FA"/>
    <w:rsid w:val="00B73507"/>
    <w:rsid w:val="00B83B93"/>
    <w:rsid w:val="00B91F2E"/>
    <w:rsid w:val="00B977AA"/>
    <w:rsid w:val="00BA1BE9"/>
    <w:rsid w:val="00BA395E"/>
    <w:rsid w:val="00BB2F0A"/>
    <w:rsid w:val="00BD21FF"/>
    <w:rsid w:val="00BE3F1E"/>
    <w:rsid w:val="00BF7877"/>
    <w:rsid w:val="00C3661E"/>
    <w:rsid w:val="00C40198"/>
    <w:rsid w:val="00C474C5"/>
    <w:rsid w:val="00C57CFD"/>
    <w:rsid w:val="00C60B85"/>
    <w:rsid w:val="00C702D5"/>
    <w:rsid w:val="00C71798"/>
    <w:rsid w:val="00C91B70"/>
    <w:rsid w:val="00CA4A7D"/>
    <w:rsid w:val="00CB4A37"/>
    <w:rsid w:val="00CC27C3"/>
    <w:rsid w:val="00CD00F1"/>
    <w:rsid w:val="00CD104E"/>
    <w:rsid w:val="00CE0AFC"/>
    <w:rsid w:val="00CF2B61"/>
    <w:rsid w:val="00D05247"/>
    <w:rsid w:val="00D1278E"/>
    <w:rsid w:val="00D14960"/>
    <w:rsid w:val="00D15664"/>
    <w:rsid w:val="00D16143"/>
    <w:rsid w:val="00D16DB4"/>
    <w:rsid w:val="00D30880"/>
    <w:rsid w:val="00D32EC1"/>
    <w:rsid w:val="00D51E91"/>
    <w:rsid w:val="00D644BC"/>
    <w:rsid w:val="00D65706"/>
    <w:rsid w:val="00D85689"/>
    <w:rsid w:val="00D926F2"/>
    <w:rsid w:val="00DB2B48"/>
    <w:rsid w:val="00DB5D85"/>
    <w:rsid w:val="00DE111E"/>
    <w:rsid w:val="00DF4BEB"/>
    <w:rsid w:val="00E057F4"/>
    <w:rsid w:val="00E0760A"/>
    <w:rsid w:val="00E367D5"/>
    <w:rsid w:val="00E42E45"/>
    <w:rsid w:val="00E43A92"/>
    <w:rsid w:val="00E450E8"/>
    <w:rsid w:val="00E559B1"/>
    <w:rsid w:val="00E57168"/>
    <w:rsid w:val="00E65E93"/>
    <w:rsid w:val="00E7474A"/>
    <w:rsid w:val="00E855AC"/>
    <w:rsid w:val="00E86DAE"/>
    <w:rsid w:val="00E95304"/>
    <w:rsid w:val="00E971D6"/>
    <w:rsid w:val="00EE54A3"/>
    <w:rsid w:val="00EF2BD4"/>
    <w:rsid w:val="00F1052B"/>
    <w:rsid w:val="00F13DC5"/>
    <w:rsid w:val="00F14D73"/>
    <w:rsid w:val="00F23482"/>
    <w:rsid w:val="00F326FD"/>
    <w:rsid w:val="00F3665D"/>
    <w:rsid w:val="00F46665"/>
    <w:rsid w:val="00F70CED"/>
    <w:rsid w:val="00F82867"/>
    <w:rsid w:val="00FB1B34"/>
    <w:rsid w:val="00FE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ED1D4"/>
  <w15:chartTrackingRefBased/>
  <w15:docId w15:val="{9A0BE351-D7BD-42B9-AF3C-1679EB280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7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05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554"/>
  </w:style>
  <w:style w:type="character" w:styleId="PageNumber">
    <w:name w:val="page number"/>
    <w:basedOn w:val="DefaultParagraphFont"/>
    <w:rsid w:val="001B0554"/>
  </w:style>
  <w:style w:type="character" w:styleId="LineNumber">
    <w:name w:val="line number"/>
    <w:basedOn w:val="DefaultParagraphFont"/>
    <w:uiPriority w:val="99"/>
    <w:semiHidden/>
    <w:unhideWhenUsed/>
    <w:rsid w:val="001B0554"/>
  </w:style>
  <w:style w:type="character" w:styleId="Hyperlink">
    <w:name w:val="Hyperlink"/>
    <w:uiPriority w:val="99"/>
    <w:unhideWhenUsed/>
    <w:rsid w:val="00E057F4"/>
    <w:rPr>
      <w:color w:val="0563C1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E057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057F4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E057F4"/>
    <w:rPr>
      <w:vertAlign w:val="superscript"/>
    </w:rPr>
  </w:style>
  <w:style w:type="paragraph" w:styleId="NoSpacing">
    <w:name w:val="No Spacing"/>
    <w:uiPriority w:val="99"/>
    <w:qFormat/>
    <w:rsid w:val="003D2728"/>
    <w:pPr>
      <w:spacing w:after="0" w:line="240" w:lineRule="auto"/>
    </w:pPr>
    <w:rPr>
      <w:rFonts w:ascii="Calibri" w:eastAsia="Times New Roman" w:hAnsi="Calibri" w:cs="Times New Roman"/>
      <w:lang w:val="es-P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928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1E06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06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607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Priscila</dc:creator>
  <cp:keywords/>
  <dc:description/>
  <cp:lastModifiedBy>Victor E. Vélez Cucuta</cp:lastModifiedBy>
  <cp:revision>2</cp:revision>
  <cp:lastPrinted>2025-03-25T13:12:00Z</cp:lastPrinted>
  <dcterms:created xsi:type="dcterms:W3CDTF">2025-10-16T13:28:00Z</dcterms:created>
  <dcterms:modified xsi:type="dcterms:W3CDTF">2025-10-16T13:28:00Z</dcterms:modified>
</cp:coreProperties>
</file>