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12E15376" w:rsidR="001E06C6" w:rsidRPr="007C5D95" w:rsidRDefault="008B1AB2" w:rsidP="00B11F6D">
      <w:pPr>
        <w:spacing w:after="0" w:line="240" w:lineRule="auto"/>
        <w:jc w:val="center"/>
        <w:rPr>
          <w:rFonts w:ascii="Book Antiqua" w:eastAsia="MS Mincho" w:hAnsi="Book Antiqua"/>
          <w:sz w:val="28"/>
          <w:szCs w:val="28"/>
          <w:lang w:val="es-ES_tradnl"/>
        </w:rPr>
      </w:pPr>
      <w:r w:rsidRPr="007C5D95">
        <w:rPr>
          <w:rFonts w:ascii="Book Antiqua" w:eastAsia="MS Mincho" w:hAnsi="Book Antiqua"/>
          <w:sz w:val="28"/>
          <w:szCs w:val="28"/>
          <w:lang w:val="es-ES_tradnl"/>
        </w:rPr>
        <w:t>GOBIE</w:t>
      </w:r>
      <w:r w:rsidR="00DF4BEB" w:rsidRPr="007C5D95">
        <w:rPr>
          <w:rFonts w:ascii="Book Antiqua" w:eastAsia="MS Mincho" w:hAnsi="Book Antiqua"/>
          <w:sz w:val="28"/>
          <w:szCs w:val="28"/>
          <w:lang w:val="es-ES_tradnl"/>
        </w:rPr>
        <w:t>R</w:t>
      </w:r>
      <w:r w:rsidRPr="007C5D95">
        <w:rPr>
          <w:rFonts w:ascii="Book Antiqua" w:eastAsia="MS Mincho" w:hAnsi="Book Antiqua"/>
          <w:sz w:val="28"/>
          <w:szCs w:val="28"/>
          <w:lang w:val="es-ES_tradnl"/>
        </w:rPr>
        <w:t xml:space="preserve">NO </w:t>
      </w:r>
      <w:r w:rsidR="001E06C6" w:rsidRPr="007C5D95">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404252AF" w:rsidR="00E057F4" w:rsidRPr="0086134A" w:rsidRDefault="00B32D32" w:rsidP="00E057F4">
      <w:pPr>
        <w:tabs>
          <w:tab w:val="left" w:pos="648"/>
          <w:tab w:val="left" w:pos="7848"/>
        </w:tabs>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w:t>
      </w:r>
      <w:r w:rsidR="00E057F4" w:rsidRPr="0086134A">
        <w:rPr>
          <w:rFonts w:ascii="Book Antiqua" w:eastAsia="Times New Roman" w:hAnsi="Book Antiqua" w:cs="Times New Roman"/>
          <w:sz w:val="24"/>
          <w:szCs w:val="20"/>
          <w:lang w:val="es-PR"/>
        </w:rPr>
        <w:t xml:space="preserve"> </w:t>
      </w:r>
      <w:r>
        <w:rPr>
          <w:rFonts w:ascii="Book Antiqua" w:eastAsia="Times New Roman" w:hAnsi="Book Antiqua" w:cs="Times New Roman"/>
          <w:sz w:val="24"/>
          <w:szCs w:val="20"/>
          <w:vertAlign w:val="superscript"/>
          <w:lang w:val="es-PR"/>
        </w:rPr>
        <w:t>m</w:t>
      </w:r>
      <w:r w:rsidR="00E057F4" w:rsidRPr="0086134A">
        <w:rPr>
          <w:rFonts w:ascii="Book Antiqua" w:eastAsia="Times New Roman" w:hAnsi="Book Antiqua" w:cs="Times New Roman"/>
          <w:sz w:val="24"/>
          <w:szCs w:val="20"/>
          <w:vertAlign w:val="superscript"/>
          <w:lang w:val="es-PR"/>
        </w:rPr>
        <w:t>a.</w:t>
      </w:r>
      <w:r w:rsidR="00E057F4" w:rsidRPr="0086134A">
        <w:rPr>
          <w:rFonts w:ascii="Book Antiqua" w:eastAsia="Times New Roman" w:hAnsi="Book Antiqua" w:cs="Times New Roman"/>
          <w:sz w:val="24"/>
          <w:szCs w:val="20"/>
          <w:lang w:val="es-PR"/>
        </w:rPr>
        <w:tab/>
        <w:t>Asamblea                                                                                               1</w:t>
      </w:r>
      <w:r w:rsidR="00E057F4" w:rsidRPr="0086134A">
        <w:rPr>
          <w:rFonts w:ascii="Book Antiqua" w:eastAsia="Times New Roman" w:hAnsi="Book Antiqua" w:cs="Times New Roman"/>
          <w:sz w:val="24"/>
          <w:szCs w:val="20"/>
          <w:vertAlign w:val="superscript"/>
          <w:lang w:val="es-PR"/>
        </w:rPr>
        <w:t xml:space="preserve">ra. </w:t>
      </w:r>
      <w:r w:rsidR="00E057F4" w:rsidRPr="0086134A">
        <w:rPr>
          <w:rFonts w:ascii="Book Antiqua" w:eastAsia="Times New Roman" w:hAnsi="Book Antiqua" w:cs="Times New Roman"/>
          <w:sz w:val="24"/>
          <w:szCs w:val="20"/>
          <w:lang w:val="es-PR"/>
        </w:rPr>
        <w:t>Sesión</w:t>
      </w:r>
    </w:p>
    <w:p w14:paraId="7EDFC350" w14:textId="77777777" w:rsidR="00E057F4" w:rsidRPr="0086134A" w:rsidRDefault="00E057F4" w:rsidP="00E057F4">
      <w:pPr>
        <w:tabs>
          <w:tab w:val="left" w:pos="648"/>
          <w:tab w:val="left" w:pos="7290"/>
        </w:tabs>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t xml:space="preserve">Legislativa                                         </w:t>
      </w:r>
      <w:r w:rsidRPr="0086134A">
        <w:rPr>
          <w:rFonts w:ascii="Book Antiqua" w:eastAsia="Times New Roman" w:hAnsi="Book Antiqua" w:cs="Times New Roman"/>
          <w:sz w:val="24"/>
          <w:szCs w:val="20"/>
          <w:lang w:val="es-PR"/>
        </w:rPr>
        <w:tab/>
        <w:t xml:space="preserve">        Ordinaria</w:t>
      </w:r>
    </w:p>
    <w:p w14:paraId="6954D05E" w14:textId="77777777" w:rsidR="00E057F4" w:rsidRPr="0086134A" w:rsidRDefault="00E057F4" w:rsidP="00E057F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22D12690"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207BCC">
        <w:rPr>
          <w:rFonts w:ascii="Book Antiqua" w:eastAsia="Times New Roman" w:hAnsi="Book Antiqua" w:cs="Times New Roman"/>
          <w:b/>
          <w:sz w:val="52"/>
          <w:szCs w:val="20"/>
          <w:lang w:val="es-PR"/>
        </w:rPr>
        <w:t xml:space="preserve"> 79</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4614E64E" w:rsidR="00E057F4" w:rsidRPr="0086134A" w:rsidRDefault="00C702D5"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23</w:t>
      </w:r>
      <w:r w:rsidR="00E057F4" w:rsidRPr="0086134A">
        <w:rPr>
          <w:rFonts w:ascii="Book Antiqua" w:eastAsia="Times New Roman" w:hAnsi="Book Antiqua" w:cs="Times New Roman"/>
          <w:sz w:val="24"/>
          <w:szCs w:val="20"/>
          <w:lang w:val="es-PR"/>
        </w:rPr>
        <w:t xml:space="preserve"> DE ENERO DE 202</w:t>
      </w:r>
      <w:r w:rsidR="00B32D3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218D20ED" w:rsidR="003D2728" w:rsidRPr="001E06C6" w:rsidRDefault="003D2728" w:rsidP="00115C02">
      <w:pPr>
        <w:pStyle w:val="NoSpacing"/>
        <w:ind w:left="720" w:hanging="720"/>
        <w:jc w:val="center"/>
        <w:rPr>
          <w:rFonts w:ascii="Book Antiqua" w:hAnsi="Book Antiqua"/>
          <w:i/>
          <w:sz w:val="24"/>
          <w:szCs w:val="24"/>
        </w:rPr>
      </w:pPr>
      <w:r w:rsidRPr="001E06C6">
        <w:rPr>
          <w:rFonts w:ascii="Book Antiqua" w:hAnsi="Book Antiqua"/>
          <w:sz w:val="24"/>
        </w:rPr>
        <w:t>Presentada por l</w:t>
      </w:r>
      <w:r w:rsidR="00115C02">
        <w:rPr>
          <w:rFonts w:ascii="Book Antiqua" w:hAnsi="Book Antiqua"/>
          <w:sz w:val="24"/>
        </w:rPr>
        <w:t xml:space="preserve">a </w:t>
      </w:r>
      <w:r w:rsidRPr="001E06C6">
        <w:rPr>
          <w:rFonts w:ascii="Book Antiqua" w:hAnsi="Book Antiqua"/>
          <w:sz w:val="24"/>
        </w:rPr>
        <w:t>representante</w:t>
      </w:r>
      <w:r w:rsidRPr="001E06C6">
        <w:rPr>
          <w:rFonts w:ascii="Book Antiqua" w:hAnsi="Book Antiqua"/>
          <w:i/>
          <w:sz w:val="24"/>
        </w:rPr>
        <w:t xml:space="preserve"> </w:t>
      </w:r>
      <w:r w:rsidR="00115C02">
        <w:rPr>
          <w:rFonts w:ascii="Book Antiqua" w:hAnsi="Book Antiqua"/>
          <w:i/>
          <w:sz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5BE5AF51"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 xml:space="preserve">Referida a la Comisión </w:t>
      </w:r>
      <w:r w:rsidR="00E56682" w:rsidRPr="00D16DB4">
        <w:rPr>
          <w:rFonts w:ascii="Book Antiqua" w:hAnsi="Book Antiqua"/>
          <w:sz w:val="24"/>
          <w:lang w:val="es-ES_tradnl"/>
        </w:rPr>
        <w:t>de</w:t>
      </w:r>
      <w:r w:rsidR="00E56682">
        <w:rPr>
          <w:rFonts w:ascii="Book Antiqua" w:hAnsi="Book Antiqua"/>
          <w:sz w:val="24"/>
          <w:lang w:val="es-ES_tradnl"/>
        </w:rPr>
        <w:t xml:space="preserve"> Asuntos Internos</w:t>
      </w:r>
      <w:r w:rsidR="00E56682" w:rsidRPr="00D16DB4">
        <w:rPr>
          <w:rFonts w:ascii="Book Antiqua" w:hAnsi="Book Antiqua"/>
          <w:sz w:val="24"/>
          <w:lang w:val="es-ES_tradnl"/>
        </w:rPr>
        <w:t xml:space="preserve"> </w:t>
      </w:r>
      <w:r w:rsidR="00E56682" w:rsidRPr="00D16DB4">
        <w:rPr>
          <w:rFonts w:ascii="Book Antiqua" w:eastAsia="Times New Roman" w:hAnsi="Book Antiqua" w:cs="Times New Roman"/>
          <w:sz w:val="28"/>
          <w:szCs w:val="20"/>
          <w:lang w:val="es-PR"/>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79168DB0" w14:textId="0BA5F143" w:rsidR="00115C02" w:rsidRPr="00CF2B61" w:rsidRDefault="00E057F4" w:rsidP="00E057F4">
      <w:pPr>
        <w:spacing w:after="0" w:line="240" w:lineRule="auto"/>
        <w:ind w:left="720" w:hanging="720"/>
        <w:jc w:val="both"/>
        <w:rPr>
          <w:rFonts w:ascii="Book Antiqua" w:hAnsi="Book Antiqua"/>
          <w:sz w:val="24"/>
          <w:szCs w:val="24"/>
          <w:lang w:val="es-PR"/>
        </w:rPr>
      </w:pPr>
      <w:r w:rsidRPr="001E06C6">
        <w:rPr>
          <w:rFonts w:ascii="Book Antiqua" w:eastAsia="Times New Roman" w:hAnsi="Book Antiqua" w:cs="Times New Roman"/>
          <w:sz w:val="24"/>
          <w:szCs w:val="20"/>
          <w:lang w:val="es-PR"/>
        </w:rPr>
        <w:t>Para ordenar a la Comisión de Vivienda y Desarrollo Urbano de la Cámara de Representantes</w:t>
      </w:r>
      <w:r w:rsidR="005F2776" w:rsidRPr="001E06C6">
        <w:rPr>
          <w:rFonts w:ascii="Book Antiqua" w:eastAsia="Times New Roman" w:hAnsi="Book Antiqua" w:cs="Times New Roman"/>
          <w:sz w:val="24"/>
          <w:szCs w:val="20"/>
          <w:lang w:val="es-PR"/>
        </w:rPr>
        <w:t xml:space="preserve"> del </w:t>
      </w:r>
      <w:r w:rsidR="000B22D9">
        <w:rPr>
          <w:rFonts w:ascii="Book Antiqua" w:eastAsia="Times New Roman" w:hAnsi="Book Antiqua" w:cs="Times New Roman"/>
          <w:sz w:val="24"/>
          <w:szCs w:val="20"/>
          <w:lang w:val="es-PR"/>
        </w:rPr>
        <w:t>Gobierno</w:t>
      </w:r>
      <w:r w:rsidR="005F2776" w:rsidRPr="001E06C6">
        <w:rPr>
          <w:rFonts w:ascii="Book Antiqua" w:eastAsia="Times New Roman" w:hAnsi="Book Antiqua" w:cs="Times New Roman"/>
          <w:sz w:val="24"/>
          <w:szCs w:val="20"/>
          <w:lang w:val="es-PR"/>
        </w:rPr>
        <w:t xml:space="preserve"> de Puerto Rico</w:t>
      </w:r>
      <w:r w:rsidR="00A65065">
        <w:rPr>
          <w:rFonts w:ascii="Book Antiqua" w:eastAsia="Times New Roman" w:hAnsi="Book Antiqua" w:cs="Times New Roman"/>
          <w:sz w:val="24"/>
          <w:szCs w:val="20"/>
          <w:lang w:val="es-PR"/>
        </w:rPr>
        <w:t>,</w:t>
      </w:r>
      <w:r w:rsidR="006959CE">
        <w:rPr>
          <w:rFonts w:ascii="Book Antiqua" w:eastAsia="Times New Roman" w:hAnsi="Book Antiqua" w:cs="Times New Roman"/>
          <w:sz w:val="24"/>
          <w:szCs w:val="20"/>
          <w:lang w:val="es-PR"/>
        </w:rPr>
        <w:t xml:space="preserve"> a</w:t>
      </w:r>
      <w:r w:rsidRPr="001E06C6">
        <w:rPr>
          <w:rFonts w:ascii="Book Antiqua" w:eastAsia="Times New Roman" w:hAnsi="Book Antiqua" w:cs="Times New Roman"/>
          <w:sz w:val="24"/>
          <w:szCs w:val="20"/>
          <w:lang w:val="es-PR"/>
        </w:rPr>
        <w:t xml:space="preserve"> </w:t>
      </w:r>
      <w:r w:rsidR="00775E87" w:rsidRPr="001E06C6">
        <w:rPr>
          <w:rFonts w:ascii="Book Antiqua" w:hAnsi="Book Antiqua"/>
          <w:sz w:val="24"/>
          <w:szCs w:val="24"/>
          <w:lang w:val="es-PR"/>
        </w:rPr>
        <w:t xml:space="preserve">realizar una </w:t>
      </w:r>
      <w:r w:rsidR="00775E87" w:rsidRPr="00CF2B61">
        <w:rPr>
          <w:rFonts w:ascii="Book Antiqua" w:hAnsi="Book Antiqua"/>
          <w:sz w:val="24"/>
          <w:szCs w:val="24"/>
          <w:lang w:val="es-PR"/>
        </w:rPr>
        <w:t>investigación</w:t>
      </w:r>
      <w:r w:rsidR="002F0D95" w:rsidRPr="00CF2B61">
        <w:rPr>
          <w:rFonts w:ascii="Book Antiqua" w:hAnsi="Book Antiqua"/>
          <w:sz w:val="24"/>
          <w:szCs w:val="24"/>
          <w:lang w:val="es-PR"/>
        </w:rPr>
        <w:t xml:space="preserve"> exhaustiva </w:t>
      </w:r>
      <w:r w:rsidR="00775E87" w:rsidRPr="00CF2B61">
        <w:rPr>
          <w:rFonts w:ascii="Book Antiqua" w:hAnsi="Book Antiqua"/>
          <w:sz w:val="24"/>
          <w:szCs w:val="24"/>
          <w:lang w:val="es-PR"/>
        </w:rPr>
        <w:t>sobre</w:t>
      </w:r>
      <w:r w:rsidRPr="00CF2B61">
        <w:rPr>
          <w:rFonts w:ascii="Book Antiqua" w:hAnsi="Book Antiqua"/>
          <w:sz w:val="24"/>
          <w:szCs w:val="24"/>
          <w:lang w:val="es-PR"/>
        </w:rPr>
        <w:t xml:space="preserve"> </w:t>
      </w:r>
      <w:r w:rsidR="007256DA">
        <w:rPr>
          <w:rFonts w:ascii="Book Antiqua" w:hAnsi="Book Antiqua"/>
          <w:sz w:val="24"/>
          <w:szCs w:val="24"/>
          <w:lang w:val="es-PR"/>
        </w:rPr>
        <w:t xml:space="preserve">las </w:t>
      </w:r>
      <w:r w:rsidR="00D6111C">
        <w:rPr>
          <w:rFonts w:ascii="Book Antiqua" w:hAnsi="Book Antiqua"/>
          <w:sz w:val="24"/>
          <w:szCs w:val="24"/>
          <w:lang w:val="es-PR"/>
        </w:rPr>
        <w:t xml:space="preserve">razones por las que las comunidades del </w:t>
      </w:r>
      <w:r w:rsidR="0031193D" w:rsidRPr="00CF2B61">
        <w:rPr>
          <w:rFonts w:ascii="Book Antiqua" w:hAnsi="Book Antiqua"/>
          <w:sz w:val="24"/>
          <w:szCs w:val="24"/>
          <w:lang w:val="es-PR"/>
        </w:rPr>
        <w:t xml:space="preserve">del Distrito 21, que comprende los municipios de </w:t>
      </w:r>
      <w:r w:rsidR="00557056" w:rsidRPr="00CF2B61">
        <w:rPr>
          <w:rFonts w:ascii="Book Antiqua" w:hAnsi="Book Antiqua"/>
          <w:sz w:val="24"/>
          <w:szCs w:val="24"/>
          <w:lang w:val="es-PR"/>
        </w:rPr>
        <w:t>Guánica, Lajas, Las Marías, Maricao, Sabana Grande y Yauco</w:t>
      </w:r>
      <w:r w:rsidR="007256DA">
        <w:rPr>
          <w:rFonts w:ascii="Book Antiqua" w:hAnsi="Book Antiqua"/>
          <w:sz w:val="24"/>
          <w:szCs w:val="24"/>
          <w:lang w:val="es-PR"/>
        </w:rPr>
        <w:t xml:space="preserve">, </w:t>
      </w:r>
      <w:r w:rsidR="00D6111C">
        <w:rPr>
          <w:rFonts w:ascii="Book Antiqua" w:hAnsi="Book Antiqua"/>
          <w:sz w:val="24"/>
          <w:szCs w:val="24"/>
          <w:lang w:val="es-PR"/>
        </w:rPr>
        <w:t>experimentan interrupciones prolongadas, intermitencia y escasez con el servicio de agua potable que provee la Autoridad de Acueductos y Alcantarillados</w:t>
      </w:r>
      <w:r w:rsidR="00D14960" w:rsidRPr="00CF2B61">
        <w:rPr>
          <w:rFonts w:ascii="Book Antiqua" w:hAnsi="Book Antiqua"/>
          <w:sz w:val="24"/>
          <w:szCs w:val="24"/>
          <w:lang w:val="es-PR"/>
        </w:rPr>
        <w:t>; y para otros fines relacionados.</w:t>
      </w:r>
      <w:r w:rsidR="005E1BD0" w:rsidRPr="00CF2B61">
        <w:rPr>
          <w:rFonts w:ascii="Book Antiqua" w:hAnsi="Book Antiqua"/>
          <w:sz w:val="24"/>
          <w:szCs w:val="24"/>
          <w:lang w:val="es-PR"/>
        </w:rPr>
        <w:t xml:space="preserve"> </w:t>
      </w:r>
    </w:p>
    <w:p w14:paraId="79AF4D96" w14:textId="77777777" w:rsidR="00E057F4" w:rsidRPr="0086134A" w:rsidRDefault="00E057F4" w:rsidP="00D14960">
      <w:pPr>
        <w:spacing w:after="0" w:line="240" w:lineRule="auto"/>
        <w:jc w:val="both"/>
        <w:rPr>
          <w:rFonts w:ascii="Book Antiqua" w:eastAsia="Times New Roman" w:hAnsi="Book Antiqua" w:cs="Times New Roman"/>
          <w:sz w:val="24"/>
          <w:szCs w:val="20"/>
          <w:lang w:val="es-PR"/>
        </w:rPr>
      </w:pPr>
    </w:p>
    <w:p w14:paraId="5540641C" w14:textId="77777777" w:rsidR="00E057F4"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2B0BA37F" w14:textId="77777777" w:rsidR="002D7A95" w:rsidRPr="005C76CD" w:rsidRDefault="002D7A95" w:rsidP="00E057F4">
      <w:pPr>
        <w:spacing w:after="0" w:line="240" w:lineRule="auto"/>
        <w:jc w:val="center"/>
        <w:rPr>
          <w:rFonts w:ascii="Book Antiqua" w:eastAsia="Times New Roman" w:hAnsi="Book Antiqua" w:cs="Times New Roman"/>
          <w:i/>
          <w:iCs/>
          <w:sz w:val="24"/>
          <w:szCs w:val="20"/>
          <w:lang w:val="es-PR"/>
        </w:rPr>
      </w:pPr>
    </w:p>
    <w:p w14:paraId="55458C14" w14:textId="3BBAF185" w:rsidR="002D7A95" w:rsidRPr="005C76CD" w:rsidRDefault="002D7A95" w:rsidP="005C76CD">
      <w:pPr>
        <w:spacing w:after="0" w:line="240" w:lineRule="auto"/>
        <w:jc w:val="right"/>
        <w:rPr>
          <w:rFonts w:ascii="Book Antiqua" w:eastAsia="Times New Roman" w:hAnsi="Book Antiqua" w:cs="Times New Roman"/>
          <w:i/>
          <w:iCs/>
          <w:sz w:val="24"/>
          <w:szCs w:val="20"/>
          <w:lang w:val="es-PR"/>
        </w:rPr>
      </w:pPr>
      <w:r w:rsidRPr="005C76CD">
        <w:rPr>
          <w:rFonts w:ascii="Book Antiqua" w:eastAsia="Times New Roman" w:hAnsi="Book Antiqua" w:cs="Times New Roman"/>
          <w:i/>
          <w:iCs/>
          <w:sz w:val="24"/>
          <w:szCs w:val="20"/>
          <w:lang w:val="es-PR"/>
        </w:rPr>
        <w:t>“Sin agua no hay salud y no hay vida” </w:t>
      </w:r>
    </w:p>
    <w:p w14:paraId="224D6050" w14:textId="77777777" w:rsidR="00E057F4" w:rsidRPr="0086134A" w:rsidRDefault="00E057F4" w:rsidP="00E057F4">
      <w:pPr>
        <w:spacing w:after="0" w:line="240" w:lineRule="auto"/>
        <w:ind w:firstLine="360"/>
        <w:jc w:val="center"/>
        <w:rPr>
          <w:rFonts w:ascii="Book Antiqua" w:eastAsia="Times New Roman" w:hAnsi="Book Antiqua" w:cs="Times New Roman"/>
          <w:sz w:val="24"/>
          <w:szCs w:val="20"/>
          <w:lang w:val="es-PR"/>
        </w:rPr>
      </w:pPr>
    </w:p>
    <w:p w14:paraId="46BC909D" w14:textId="209D0882" w:rsidR="00626BE3" w:rsidRPr="00626BE3" w:rsidRDefault="00626BE3" w:rsidP="00E057F4">
      <w:pPr>
        <w:spacing w:after="0" w:line="240" w:lineRule="auto"/>
        <w:ind w:firstLine="720"/>
        <w:jc w:val="both"/>
        <w:rPr>
          <w:rFonts w:ascii="Book Antiqua" w:eastAsia="Times New Roman" w:hAnsi="Book Antiqua" w:cs="Arial"/>
          <w:sz w:val="24"/>
          <w:szCs w:val="20"/>
          <w:lang w:val="es-PR"/>
        </w:rPr>
      </w:pPr>
      <w:r w:rsidRPr="00626BE3">
        <w:rPr>
          <w:rFonts w:ascii="Book Antiqua" w:eastAsia="Times New Roman" w:hAnsi="Book Antiqua" w:cs="Arial"/>
          <w:sz w:val="24"/>
          <w:szCs w:val="20"/>
          <w:lang w:val="es-PR"/>
        </w:rPr>
        <w:t>El 28 de julio de 2010, a través de la </w:t>
      </w:r>
      <w:hyperlink r:id="rId6" w:tooltip="Resolución 64/292" w:history="1">
        <w:r w:rsidRPr="00626BE3">
          <w:rPr>
            <w:rStyle w:val="Hyperlink"/>
            <w:rFonts w:ascii="Book Antiqua" w:eastAsia="Times New Roman" w:hAnsi="Book Antiqua" w:cs="Arial"/>
            <w:color w:val="auto"/>
            <w:sz w:val="24"/>
            <w:szCs w:val="20"/>
            <w:u w:val="none"/>
            <w:lang w:val="es-PR"/>
          </w:rPr>
          <w:t>Resolución 64/292</w:t>
        </w:r>
      </w:hyperlink>
      <w:r w:rsidRPr="00626BE3">
        <w:rPr>
          <w:rFonts w:ascii="Book Antiqua" w:eastAsia="Times New Roman" w:hAnsi="Book Antiqua" w:cs="Arial"/>
          <w:sz w:val="24"/>
          <w:szCs w:val="20"/>
          <w:lang w:val="es-PR"/>
        </w:rPr>
        <w:t>, la Asamblea General de las Naciones Unidas reconoció explícitamente el derecho humano al agua y al saneamiento, reafirmando que un agua potable limpia son esenciales para la realización de todos los derechos humanos. La Resolución exhorta a organizaciones internacionales a proporcionar recursos financieros, a propiciar la capacitación y la transferencia de tecnología para ayudar a los países, en particular a los países en vías de desarrollo, a proporcionar un suministro de agua potable y saneamiento saludable, limpio, accesible y asequible para todos.</w:t>
      </w:r>
    </w:p>
    <w:p w14:paraId="107AB699" w14:textId="77777777" w:rsidR="00626BE3" w:rsidRDefault="00626BE3" w:rsidP="00E057F4">
      <w:pPr>
        <w:spacing w:after="0" w:line="240" w:lineRule="auto"/>
        <w:ind w:firstLine="720"/>
        <w:jc w:val="both"/>
        <w:rPr>
          <w:rFonts w:ascii="Book Antiqua" w:eastAsia="Times New Roman" w:hAnsi="Book Antiqua" w:cs="Arial"/>
          <w:sz w:val="24"/>
          <w:szCs w:val="20"/>
          <w:lang w:val="es-PR"/>
        </w:rPr>
      </w:pPr>
    </w:p>
    <w:p w14:paraId="431B784F" w14:textId="01437785" w:rsidR="00626BE3" w:rsidRDefault="00626BE3"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Cónsono a lo anterior, se puede concluir que el servicio de agua potable es un servicio esencial para cualquier ciudadano</w:t>
      </w:r>
      <w:r w:rsidR="005479AB">
        <w:rPr>
          <w:rFonts w:ascii="Book Antiqua" w:eastAsia="Times New Roman" w:hAnsi="Book Antiqua" w:cs="Arial"/>
          <w:sz w:val="24"/>
          <w:szCs w:val="20"/>
          <w:lang w:val="es-PR"/>
        </w:rPr>
        <w:t xml:space="preserve">. El agua no sólo sirve de </w:t>
      </w:r>
      <w:r w:rsidR="00AE0A4E">
        <w:rPr>
          <w:rFonts w:ascii="Book Antiqua" w:eastAsia="Times New Roman" w:hAnsi="Book Antiqua" w:cs="Arial"/>
          <w:sz w:val="24"/>
          <w:szCs w:val="20"/>
          <w:lang w:val="es-PR"/>
        </w:rPr>
        <w:t>alimento,</w:t>
      </w:r>
      <w:r w:rsidR="005479AB">
        <w:rPr>
          <w:rFonts w:ascii="Book Antiqua" w:eastAsia="Times New Roman" w:hAnsi="Book Antiqua" w:cs="Arial"/>
          <w:sz w:val="24"/>
          <w:szCs w:val="20"/>
          <w:lang w:val="es-PR"/>
        </w:rPr>
        <w:t xml:space="preserve"> sino que es herramienta para realizar las tareas diarias de vida de las personas, negocios, industrias </w:t>
      </w:r>
      <w:r w:rsidR="005479AB">
        <w:rPr>
          <w:rFonts w:ascii="Book Antiqua" w:eastAsia="Times New Roman" w:hAnsi="Book Antiqua" w:cs="Arial"/>
          <w:sz w:val="24"/>
          <w:szCs w:val="20"/>
          <w:lang w:val="es-PR"/>
        </w:rPr>
        <w:lastRenderedPageBreak/>
        <w:t xml:space="preserve">e incluso es propulsor de las economías. </w:t>
      </w:r>
      <w:r w:rsidR="005C76CD">
        <w:rPr>
          <w:rFonts w:ascii="Book Antiqua" w:eastAsia="Times New Roman" w:hAnsi="Book Antiqua" w:cs="Arial"/>
          <w:sz w:val="24"/>
          <w:szCs w:val="20"/>
          <w:lang w:val="es-PR"/>
        </w:rPr>
        <w:t>No obstante, a pesar de que en Puerto Rico existe un ente que maneja el saneamiento y distribución del agua potable en la Isla, en ocasiones, este servicio se ve interrumpido en varias comunidades del Distrito 21.</w:t>
      </w:r>
    </w:p>
    <w:p w14:paraId="09FBA487" w14:textId="77777777" w:rsidR="005C76CD" w:rsidRDefault="005C76CD" w:rsidP="00E057F4">
      <w:pPr>
        <w:spacing w:after="0" w:line="240" w:lineRule="auto"/>
        <w:ind w:firstLine="720"/>
        <w:jc w:val="both"/>
        <w:rPr>
          <w:rFonts w:ascii="Book Antiqua" w:eastAsia="Times New Roman" w:hAnsi="Book Antiqua" w:cs="Arial"/>
          <w:sz w:val="24"/>
          <w:szCs w:val="20"/>
          <w:lang w:val="es-PR"/>
        </w:rPr>
      </w:pPr>
    </w:p>
    <w:p w14:paraId="52DC87F4" w14:textId="70C9D134" w:rsidR="005C76CD" w:rsidRDefault="005C76CD"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Una de las mayores quejas que presentan los residentes del Distrito 21, es que cuando se interrumpe el servicio de energía eléctrica, también se interrumpe el servicio de agua potable en hogares y negocios. Lo anterior, es evidentemente un impedimento a la calidad de vida de los ciudadanos y </w:t>
      </w:r>
      <w:r w:rsidR="00E53289">
        <w:rPr>
          <w:rFonts w:ascii="Book Antiqua" w:eastAsia="Times New Roman" w:hAnsi="Book Antiqua" w:cs="Arial"/>
          <w:sz w:val="24"/>
          <w:szCs w:val="20"/>
          <w:lang w:val="es-PR"/>
        </w:rPr>
        <w:t xml:space="preserve">un aplazamiento al desarrollo social y económico de los pueblos. </w:t>
      </w:r>
      <w:r w:rsidR="005904BB">
        <w:rPr>
          <w:rFonts w:ascii="Book Antiqua" w:eastAsia="Times New Roman" w:hAnsi="Book Antiqua" w:cs="Arial"/>
          <w:sz w:val="24"/>
          <w:szCs w:val="20"/>
          <w:lang w:val="es-PR"/>
        </w:rPr>
        <w:t xml:space="preserve">Tanto el servicio de energía eléctrica como el de agua potable son esenciales y es insostenible el sobrevivir sin ambos servicios.  </w:t>
      </w:r>
    </w:p>
    <w:p w14:paraId="7A50EEF6" w14:textId="77777777" w:rsidR="008F613B" w:rsidRDefault="008F613B" w:rsidP="005904BB">
      <w:pPr>
        <w:spacing w:after="0" w:line="240" w:lineRule="auto"/>
        <w:jc w:val="both"/>
        <w:rPr>
          <w:rFonts w:ascii="Book Antiqua" w:eastAsia="Times New Roman" w:hAnsi="Book Antiqua" w:cs="Arial"/>
          <w:sz w:val="24"/>
          <w:szCs w:val="20"/>
          <w:lang w:val="es-PR"/>
        </w:rPr>
      </w:pPr>
    </w:p>
    <w:p w14:paraId="0E6EDEF1" w14:textId="2A7C346C" w:rsidR="00F3665D" w:rsidRDefault="0030369C" w:rsidP="00CC07C5">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Es por lo anterior, </w:t>
      </w:r>
      <w:r w:rsidR="003A246E">
        <w:rPr>
          <w:rFonts w:ascii="Book Antiqua" w:eastAsia="Times New Roman" w:hAnsi="Book Antiqua" w:cs="Arial"/>
          <w:sz w:val="24"/>
          <w:szCs w:val="20"/>
          <w:lang w:val="es-PR"/>
        </w:rPr>
        <w:t xml:space="preserve">que </w:t>
      </w:r>
      <w:r>
        <w:rPr>
          <w:rFonts w:ascii="Book Antiqua" w:eastAsia="Times New Roman" w:hAnsi="Book Antiqua" w:cs="Arial"/>
          <w:sz w:val="24"/>
          <w:szCs w:val="20"/>
          <w:lang w:val="es-PR"/>
        </w:rPr>
        <w:t xml:space="preserve">es meritorio que esta Asamblea Legislativa </w:t>
      </w:r>
      <w:r w:rsidR="00474093">
        <w:rPr>
          <w:rFonts w:ascii="Book Antiqua" w:eastAsia="Times New Roman" w:hAnsi="Book Antiqua" w:cs="Arial"/>
          <w:sz w:val="24"/>
          <w:szCs w:val="20"/>
          <w:lang w:val="es-PR"/>
        </w:rPr>
        <w:t xml:space="preserve">ordene a la Comisión de Vivienda y Desarrollo Urbano </w:t>
      </w:r>
      <w:r w:rsidR="00655E39">
        <w:rPr>
          <w:rFonts w:ascii="Book Antiqua" w:eastAsia="Times New Roman" w:hAnsi="Book Antiqua" w:cs="Arial"/>
          <w:sz w:val="24"/>
          <w:szCs w:val="20"/>
          <w:lang w:val="es-PR"/>
        </w:rPr>
        <w:t>de la Cámara de Representantes</w:t>
      </w:r>
      <w:r w:rsidR="00CC07C5">
        <w:rPr>
          <w:rFonts w:ascii="Book Antiqua" w:eastAsia="Times New Roman" w:hAnsi="Book Antiqua" w:cs="Arial"/>
          <w:sz w:val="24"/>
          <w:szCs w:val="20"/>
          <w:lang w:val="es-PR"/>
        </w:rPr>
        <w:t xml:space="preserve"> del Gobierno de Puerto Rico</w:t>
      </w:r>
      <w:r w:rsidR="00655E39">
        <w:rPr>
          <w:rFonts w:ascii="Book Antiqua" w:eastAsia="Times New Roman" w:hAnsi="Book Antiqua" w:cs="Arial"/>
          <w:sz w:val="24"/>
          <w:szCs w:val="20"/>
          <w:lang w:val="es-PR"/>
        </w:rPr>
        <w:t xml:space="preserve"> </w:t>
      </w:r>
      <w:r w:rsidR="00474093">
        <w:rPr>
          <w:rFonts w:ascii="Book Antiqua" w:eastAsia="Times New Roman" w:hAnsi="Book Antiqua" w:cs="Arial"/>
          <w:sz w:val="24"/>
          <w:szCs w:val="20"/>
          <w:lang w:val="es-PR"/>
        </w:rPr>
        <w:t xml:space="preserve">a que </w:t>
      </w:r>
      <w:r w:rsidR="00474093" w:rsidRPr="00474093">
        <w:rPr>
          <w:rFonts w:ascii="Book Antiqua" w:eastAsia="Times New Roman" w:hAnsi="Book Antiqua" w:cs="Arial"/>
          <w:sz w:val="24"/>
          <w:szCs w:val="20"/>
          <w:lang w:val="es-PR"/>
        </w:rPr>
        <w:t>reali</w:t>
      </w:r>
      <w:r w:rsidR="003A16E7">
        <w:rPr>
          <w:rFonts w:ascii="Book Antiqua" w:eastAsia="Times New Roman" w:hAnsi="Book Antiqua" w:cs="Arial"/>
          <w:sz w:val="24"/>
          <w:szCs w:val="20"/>
          <w:lang w:val="es-PR"/>
        </w:rPr>
        <w:t>ce</w:t>
      </w:r>
      <w:r w:rsidR="00474093" w:rsidRPr="00474093">
        <w:rPr>
          <w:rFonts w:ascii="Book Antiqua" w:eastAsia="Times New Roman" w:hAnsi="Book Antiqua" w:cs="Arial"/>
          <w:sz w:val="24"/>
          <w:szCs w:val="20"/>
          <w:lang w:val="es-PR"/>
        </w:rPr>
        <w:t xml:space="preserve"> una investigación exhaustiva sobre las </w:t>
      </w:r>
      <w:r w:rsidR="00CC07C5" w:rsidRPr="00CC07C5">
        <w:rPr>
          <w:rFonts w:ascii="Book Antiqua" w:eastAsia="Times New Roman" w:hAnsi="Book Antiqua" w:cs="Arial"/>
          <w:sz w:val="24"/>
          <w:szCs w:val="20"/>
          <w:lang w:val="es-PR"/>
        </w:rPr>
        <w:t xml:space="preserve">razones por las que las comunidades del del Distrito 21, que comprende los municipios de Guánica, Lajas, Las Marías, Maricao, Sabana Grande y Yauco, experimentan interrupciones prolongadas, intermitencia y escasez con el servicio de agua potable que provee la Autoridad de Acueductos y Alcantarillados; y para otros fines relacionados. </w:t>
      </w:r>
    </w:p>
    <w:p w14:paraId="69354580" w14:textId="77777777" w:rsidR="00E057F4" w:rsidRPr="0086134A" w:rsidRDefault="00E057F4" w:rsidP="008D3A79">
      <w:pPr>
        <w:shd w:val="clear" w:color="auto" w:fill="FFFFFF"/>
        <w:spacing w:after="0" w:line="240" w:lineRule="auto"/>
        <w:jc w:val="both"/>
        <w:rPr>
          <w:rFonts w:ascii="Book Antiqua" w:eastAsia="Times New Roman" w:hAnsi="Book Antiqua" w:cs="Arial"/>
          <w:sz w:val="24"/>
          <w:szCs w:val="24"/>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86134A">
          <w:headerReference w:type="default" r:id="rId7"/>
          <w:pgSz w:w="12240" w:h="15840" w:code="1"/>
          <w:pgMar w:top="1440" w:right="1440" w:bottom="1440" w:left="1440" w:header="720" w:footer="720" w:gutter="0"/>
          <w:cols w:space="720"/>
          <w:titlePg/>
          <w:docGrid w:linePitch="326"/>
        </w:sectPr>
      </w:pPr>
    </w:p>
    <w:p w14:paraId="103D4D08" w14:textId="2FD56A7A" w:rsidR="005A4D38" w:rsidRPr="005A4D38" w:rsidRDefault="00E057F4" w:rsidP="000F2770">
      <w:pPr>
        <w:spacing w:after="0" w:line="480" w:lineRule="auto"/>
        <w:ind w:firstLine="720"/>
        <w:jc w:val="both"/>
        <w:rPr>
          <w:rFonts w:ascii="Book Antiqua" w:eastAsia="Times New Roman" w:hAnsi="Book Antiqua" w:cs="Times New Roman"/>
          <w:sz w:val="24"/>
          <w:szCs w:val="20"/>
          <w:lang w:val="es-PR"/>
        </w:rPr>
      </w:pPr>
      <w:r w:rsidRPr="001E06C6">
        <w:rPr>
          <w:rFonts w:ascii="Book Antiqua" w:eastAsia="Times New Roman" w:hAnsi="Book Antiqua" w:cs="Times New Roman"/>
          <w:sz w:val="24"/>
          <w:szCs w:val="20"/>
          <w:lang w:val="es-PR"/>
        </w:rPr>
        <w:t>Sección 1.-Se ordena a la Comisión de Vivienda y Desarrollo Urbano de la Cámara de Representantes</w:t>
      </w:r>
      <w:r w:rsidR="002F0D95" w:rsidRPr="001E06C6">
        <w:rPr>
          <w:rFonts w:ascii="Book Antiqua" w:eastAsia="Times New Roman" w:hAnsi="Book Antiqua" w:cs="Times New Roman"/>
          <w:sz w:val="24"/>
          <w:szCs w:val="20"/>
          <w:lang w:val="es-PR"/>
        </w:rPr>
        <w:t xml:space="preserve"> del </w:t>
      </w:r>
      <w:r w:rsidR="008C25EB">
        <w:rPr>
          <w:rFonts w:ascii="Book Antiqua" w:eastAsia="Times New Roman" w:hAnsi="Book Antiqua" w:cs="Times New Roman"/>
          <w:sz w:val="24"/>
          <w:szCs w:val="20"/>
          <w:lang w:val="es-PR"/>
        </w:rPr>
        <w:t>Gobierno</w:t>
      </w:r>
      <w:r w:rsidR="002F0D95" w:rsidRPr="001E06C6">
        <w:rPr>
          <w:rFonts w:ascii="Book Antiqua" w:eastAsia="Times New Roman" w:hAnsi="Book Antiqua" w:cs="Times New Roman"/>
          <w:sz w:val="24"/>
          <w:szCs w:val="20"/>
          <w:lang w:val="es-PR"/>
        </w:rPr>
        <w:t xml:space="preserve"> de Puerto Rico</w:t>
      </w:r>
      <w:r w:rsidR="00A65065">
        <w:rPr>
          <w:rFonts w:ascii="Book Antiqua" w:eastAsia="Times New Roman" w:hAnsi="Book Antiqua" w:cs="Times New Roman"/>
          <w:sz w:val="24"/>
          <w:szCs w:val="20"/>
          <w:lang w:val="es-PR"/>
        </w:rPr>
        <w:t>,</w:t>
      </w:r>
      <w:r w:rsidR="00FA20B8" w:rsidRPr="00FA20B8">
        <w:rPr>
          <w:rFonts w:ascii="Book Antiqua" w:eastAsia="Times New Roman" w:hAnsi="Book Antiqua" w:cs="Arial"/>
          <w:sz w:val="24"/>
          <w:szCs w:val="20"/>
          <w:lang w:val="es-PR"/>
        </w:rPr>
        <w:t xml:space="preserve"> </w:t>
      </w:r>
      <w:r w:rsidR="00FA20B8" w:rsidRPr="00FA20B8">
        <w:rPr>
          <w:rFonts w:ascii="Book Antiqua" w:eastAsia="Times New Roman" w:hAnsi="Book Antiqua" w:cs="Times New Roman"/>
          <w:sz w:val="24"/>
          <w:szCs w:val="20"/>
          <w:lang w:val="es-PR"/>
        </w:rPr>
        <w:t xml:space="preserve">a </w:t>
      </w:r>
      <w:r w:rsidR="00FA20B8">
        <w:rPr>
          <w:rFonts w:ascii="Book Antiqua" w:eastAsia="Times New Roman" w:hAnsi="Book Antiqua" w:cs="Times New Roman"/>
          <w:sz w:val="24"/>
          <w:szCs w:val="20"/>
          <w:lang w:val="es-PR"/>
        </w:rPr>
        <w:t xml:space="preserve">realizar </w:t>
      </w:r>
      <w:r w:rsidR="00FA20B8" w:rsidRPr="00FA20B8">
        <w:rPr>
          <w:rFonts w:ascii="Book Antiqua" w:eastAsia="Times New Roman" w:hAnsi="Book Antiqua" w:cs="Times New Roman"/>
          <w:sz w:val="24"/>
          <w:szCs w:val="20"/>
          <w:lang w:val="es-PR"/>
        </w:rPr>
        <w:t>una investigación exhaustiva sobre las razones por las que las comunidades del del Distrito 21, que comprende los municipios de Guánica, Lajas, Las Marías, Maricao, Sabana Grande y Yauco, experimentan interrupciones prolongadas, intermitencia y escasez con el servicio de agua potable que provee la Autoridad de Acueductos y Alcantarillados; y para otros fines relacionados</w:t>
      </w:r>
      <w:r w:rsidR="00FA20B8">
        <w:rPr>
          <w:rFonts w:ascii="Book Antiqua" w:eastAsia="Times New Roman" w:hAnsi="Book Antiqua" w:cs="Times New Roman"/>
          <w:sz w:val="24"/>
          <w:szCs w:val="20"/>
          <w:lang w:val="es-PR"/>
        </w:rPr>
        <w:t>.</w:t>
      </w:r>
      <w:r w:rsidRPr="001E06C6">
        <w:rPr>
          <w:rFonts w:ascii="Book Antiqua" w:eastAsia="Times New Roman" w:hAnsi="Book Antiqua" w:cs="Times New Roman"/>
          <w:sz w:val="24"/>
          <w:szCs w:val="20"/>
          <w:lang w:val="es-PR"/>
        </w:rPr>
        <w:t xml:space="preserve"> </w:t>
      </w:r>
    </w:p>
    <w:p w14:paraId="38AEE730" w14:textId="1859AF4D" w:rsidR="00D65706" w:rsidRPr="00784884" w:rsidRDefault="00E057F4" w:rsidP="00784884">
      <w:pPr>
        <w:spacing w:after="0" w:line="480" w:lineRule="auto"/>
        <w:ind w:firstLine="720"/>
        <w:jc w:val="both"/>
        <w:rPr>
          <w:rFonts w:ascii="Book Antiqua" w:eastAsia="Times New Roman" w:hAnsi="Book Antiqua" w:cs="Times New Roman"/>
          <w:sz w:val="24"/>
          <w:szCs w:val="20"/>
          <w:lang w:val="es-ES_tradnl"/>
        </w:rPr>
      </w:pPr>
      <w:r w:rsidRPr="001E06C6">
        <w:rPr>
          <w:rFonts w:ascii="Book Antiqua" w:eastAsia="Times New Roman" w:hAnsi="Book Antiqua" w:cs="Times New Roman"/>
          <w:sz w:val="24"/>
          <w:szCs w:val="20"/>
          <w:lang w:val="es-PR"/>
        </w:rPr>
        <w:t>Sección 2.-</w:t>
      </w:r>
      <w:r w:rsidR="00D65706" w:rsidRPr="00D65706">
        <w:rPr>
          <w:rFonts w:ascii="Book Antiqua" w:eastAsia="Times New Roman" w:hAnsi="Book Antiqua" w:cs="Times New Roman"/>
          <w:sz w:val="24"/>
          <w:szCs w:val="20"/>
          <w:lang w:val="es-PR"/>
        </w:rPr>
        <w:t xml:space="preserve"> La Comisión tendrá la responsabilidad de someter informes parciales y aquellos necesarios, con los hallazgos y recomendaciones a medida que se desarrollen los trabajos, investigaciones y análisis pertinentes relacionados</w:t>
      </w:r>
      <w:r w:rsidR="006D2CDC">
        <w:rPr>
          <w:rFonts w:ascii="Book Antiqua" w:eastAsia="Times New Roman" w:hAnsi="Book Antiqua" w:cs="Times New Roman"/>
          <w:sz w:val="24"/>
          <w:szCs w:val="20"/>
          <w:lang w:val="es-PR"/>
        </w:rPr>
        <w:t>;</w:t>
      </w:r>
      <w:r w:rsidR="00784884">
        <w:rPr>
          <w:rFonts w:ascii="Book Antiqua" w:eastAsia="Times New Roman" w:hAnsi="Book Antiqua" w:cs="Times New Roman"/>
          <w:sz w:val="24"/>
          <w:szCs w:val="20"/>
          <w:lang w:val="es-PR"/>
        </w:rPr>
        <w:t xml:space="preserve"> y </w:t>
      </w:r>
      <w:r w:rsidR="00784884" w:rsidRPr="00784884">
        <w:rPr>
          <w:rFonts w:ascii="Book Antiqua" w:eastAsia="Times New Roman" w:hAnsi="Book Antiqua" w:cs="Times New Roman"/>
          <w:sz w:val="24"/>
          <w:szCs w:val="20"/>
          <w:lang w:val="es-ES_tradnl"/>
        </w:rPr>
        <w:t xml:space="preserve">rendirá un informe </w:t>
      </w:r>
      <w:r w:rsidR="00784884" w:rsidRPr="00784884">
        <w:rPr>
          <w:rFonts w:ascii="Book Antiqua" w:eastAsia="Times New Roman" w:hAnsi="Book Antiqua" w:cs="Times New Roman"/>
          <w:sz w:val="24"/>
          <w:szCs w:val="20"/>
          <w:lang w:val="es-ES_tradnl"/>
        </w:rPr>
        <w:lastRenderedPageBreak/>
        <w:t xml:space="preserve">final </w:t>
      </w:r>
      <w:r w:rsidR="00784884" w:rsidRPr="00784884">
        <w:rPr>
          <w:rFonts w:ascii="Book Antiqua" w:eastAsia="Times New Roman" w:hAnsi="Book Antiqua" w:cs="Times New Roman"/>
          <w:sz w:val="24"/>
          <w:szCs w:val="20"/>
          <w:lang w:val="es-PR"/>
        </w:rPr>
        <w:t xml:space="preserve">con sus hallazgos, conclusiones y recomendaciones, </w:t>
      </w:r>
      <w:r w:rsidR="00784884" w:rsidRPr="00784884">
        <w:rPr>
          <w:rFonts w:ascii="Book Antiqua" w:eastAsia="Times New Roman" w:hAnsi="Book Antiqua" w:cs="Times New Roman"/>
          <w:sz w:val="24"/>
          <w:szCs w:val="20"/>
          <w:lang w:val="es-ES_tradnl"/>
        </w:rPr>
        <w:t>en o antes de que culmine la 7ma. Sesión Ordinaria de la 20ma. Asamblea Legislativa.</w:t>
      </w:r>
    </w:p>
    <w:p w14:paraId="0A6A86E2" w14:textId="031D8F86" w:rsidR="00FE47EF" w:rsidRPr="001E06C6" w:rsidRDefault="00E057F4" w:rsidP="00E057F4">
      <w:pPr>
        <w:spacing w:after="0" w:line="480" w:lineRule="auto"/>
        <w:ind w:firstLine="720"/>
        <w:jc w:val="both"/>
        <w:rPr>
          <w:rFonts w:ascii="Book Antiqua" w:eastAsia="Times New Roman" w:hAnsi="Book Antiqua" w:cs="Times New Roman"/>
          <w:sz w:val="24"/>
          <w:szCs w:val="20"/>
          <w:lang w:val="es-PR"/>
        </w:rPr>
      </w:pPr>
      <w:r w:rsidRPr="001E06C6">
        <w:rPr>
          <w:rFonts w:ascii="Book Antiqua" w:eastAsia="Times New Roman" w:hAnsi="Book Antiqua" w:cs="Times New Roman"/>
          <w:sz w:val="24"/>
          <w:szCs w:val="20"/>
          <w:lang w:val="es-PR"/>
        </w:rPr>
        <w:t>Sección 3.-Esta Resolución comenzará a regir inmediatamente después de su aprobación.</w:t>
      </w:r>
    </w:p>
    <w:sectPr w:rsidR="00FE47EF" w:rsidRPr="001E06C6" w:rsidSect="00883104">
      <w:headerReference w:type="default" r:id="rId8"/>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32B68" w14:textId="77777777" w:rsidR="008E07EC" w:rsidRDefault="008E07EC">
      <w:pPr>
        <w:spacing w:after="0" w:line="240" w:lineRule="auto"/>
      </w:pPr>
      <w:r>
        <w:separator/>
      </w:r>
    </w:p>
  </w:endnote>
  <w:endnote w:type="continuationSeparator" w:id="0">
    <w:p w14:paraId="1A19AE10" w14:textId="77777777" w:rsidR="008E07EC" w:rsidRDefault="008E0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EE2FA" w14:textId="77777777" w:rsidR="008E07EC" w:rsidRDefault="008E07EC">
      <w:pPr>
        <w:spacing w:after="0" w:line="240" w:lineRule="auto"/>
      </w:pPr>
      <w:r>
        <w:separator/>
      </w:r>
    </w:p>
  </w:footnote>
  <w:footnote w:type="continuationSeparator" w:id="0">
    <w:p w14:paraId="3A766CE7" w14:textId="77777777" w:rsidR="008E07EC" w:rsidRDefault="008E0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883104" w:rsidRDefault="00883104">
        <w:pPr>
          <w:pStyle w:val="Header"/>
          <w:jc w:val="center"/>
        </w:pPr>
        <w:r>
          <w:fldChar w:fldCharType="begin"/>
        </w:r>
        <w:r>
          <w:instrText xml:space="preserve"> PAGE   \* MERGEFORMAT </w:instrText>
        </w:r>
        <w:r>
          <w:fldChar w:fldCharType="separate"/>
        </w:r>
        <w:r w:rsidR="00D16143">
          <w:rPr>
            <w:noProof/>
          </w:rPr>
          <w:t>2</w:t>
        </w:r>
        <w:r>
          <w:rPr>
            <w:noProof/>
          </w:rPr>
          <w:fldChar w:fldCharType="end"/>
        </w:r>
      </w:p>
    </w:sdtContent>
  </w:sdt>
  <w:p w14:paraId="02B408FF" w14:textId="77777777" w:rsidR="00883104" w:rsidRDefault="008831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883104" w:rsidRDefault="00883104">
        <w:pPr>
          <w:pStyle w:val="Header"/>
          <w:jc w:val="center"/>
        </w:pPr>
        <w:r>
          <w:fldChar w:fldCharType="begin"/>
        </w:r>
        <w:r>
          <w:instrText xml:space="preserve"> PAGE   \* MERGEFORMAT </w:instrText>
        </w:r>
        <w:r>
          <w:fldChar w:fldCharType="separate"/>
        </w:r>
        <w:r w:rsidR="00D16143">
          <w:rPr>
            <w:noProof/>
          </w:rPr>
          <w:t>3</w:t>
        </w:r>
        <w:r>
          <w:rPr>
            <w:noProof/>
          </w:rPr>
          <w:fldChar w:fldCharType="end"/>
        </w:r>
      </w:p>
    </w:sdtContent>
  </w:sdt>
  <w:p w14:paraId="7BACE310" w14:textId="27ADF233" w:rsidR="00A83ADE" w:rsidRPr="00883104" w:rsidRDefault="00A83ADE"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554"/>
    <w:rsid w:val="000037E1"/>
    <w:rsid w:val="00004FD4"/>
    <w:rsid w:val="000123D0"/>
    <w:rsid w:val="000126F4"/>
    <w:rsid w:val="0002255C"/>
    <w:rsid w:val="000240E7"/>
    <w:rsid w:val="00050FF9"/>
    <w:rsid w:val="000634BE"/>
    <w:rsid w:val="00083154"/>
    <w:rsid w:val="000B22D9"/>
    <w:rsid w:val="000C3F6F"/>
    <w:rsid w:val="000D3B77"/>
    <w:rsid w:val="000E22A3"/>
    <w:rsid w:val="000E5D13"/>
    <w:rsid w:val="000F2770"/>
    <w:rsid w:val="00115C02"/>
    <w:rsid w:val="00130737"/>
    <w:rsid w:val="00143E25"/>
    <w:rsid w:val="00154166"/>
    <w:rsid w:val="00174F4D"/>
    <w:rsid w:val="001829F9"/>
    <w:rsid w:val="00186A24"/>
    <w:rsid w:val="00187B1A"/>
    <w:rsid w:val="0019717C"/>
    <w:rsid w:val="001A4CA4"/>
    <w:rsid w:val="001B0554"/>
    <w:rsid w:val="001D57E7"/>
    <w:rsid w:val="001E06C6"/>
    <w:rsid w:val="001E6A27"/>
    <w:rsid w:val="001F2FFC"/>
    <w:rsid w:val="00203817"/>
    <w:rsid w:val="00203E37"/>
    <w:rsid w:val="00207BCC"/>
    <w:rsid w:val="00210B2C"/>
    <w:rsid w:val="002146C8"/>
    <w:rsid w:val="00216C8B"/>
    <w:rsid w:val="00220442"/>
    <w:rsid w:val="00230A23"/>
    <w:rsid w:val="002506BA"/>
    <w:rsid w:val="00255C1F"/>
    <w:rsid w:val="00275898"/>
    <w:rsid w:val="002854DB"/>
    <w:rsid w:val="002B0FD8"/>
    <w:rsid w:val="002C0704"/>
    <w:rsid w:val="002D4C85"/>
    <w:rsid w:val="002D7A95"/>
    <w:rsid w:val="002F0D95"/>
    <w:rsid w:val="002F1B9E"/>
    <w:rsid w:val="002F6EA8"/>
    <w:rsid w:val="0030369C"/>
    <w:rsid w:val="0031193D"/>
    <w:rsid w:val="003120DE"/>
    <w:rsid w:val="00321CAA"/>
    <w:rsid w:val="00325B99"/>
    <w:rsid w:val="003427B8"/>
    <w:rsid w:val="00345C7D"/>
    <w:rsid w:val="00355EA6"/>
    <w:rsid w:val="00357E9D"/>
    <w:rsid w:val="0036100B"/>
    <w:rsid w:val="003905EC"/>
    <w:rsid w:val="003A16E7"/>
    <w:rsid w:val="003A246E"/>
    <w:rsid w:val="003B364B"/>
    <w:rsid w:val="003D2728"/>
    <w:rsid w:val="003D2B7F"/>
    <w:rsid w:val="003D56A4"/>
    <w:rsid w:val="003E394C"/>
    <w:rsid w:val="003E3E86"/>
    <w:rsid w:val="003F4B68"/>
    <w:rsid w:val="00404ADC"/>
    <w:rsid w:val="00421AEE"/>
    <w:rsid w:val="00426928"/>
    <w:rsid w:val="0043046A"/>
    <w:rsid w:val="004430DE"/>
    <w:rsid w:val="00445A64"/>
    <w:rsid w:val="00465669"/>
    <w:rsid w:val="00474093"/>
    <w:rsid w:val="00480541"/>
    <w:rsid w:val="0048290B"/>
    <w:rsid w:val="004873C5"/>
    <w:rsid w:val="0049309E"/>
    <w:rsid w:val="004A21D8"/>
    <w:rsid w:val="004B2B08"/>
    <w:rsid w:val="004C7054"/>
    <w:rsid w:val="004D24B9"/>
    <w:rsid w:val="004E0CC9"/>
    <w:rsid w:val="004E3215"/>
    <w:rsid w:val="004E6EDE"/>
    <w:rsid w:val="00524A7A"/>
    <w:rsid w:val="0053706D"/>
    <w:rsid w:val="00541AEA"/>
    <w:rsid w:val="00544BF6"/>
    <w:rsid w:val="005479AB"/>
    <w:rsid w:val="005524E0"/>
    <w:rsid w:val="00557056"/>
    <w:rsid w:val="00577C9C"/>
    <w:rsid w:val="00582A31"/>
    <w:rsid w:val="00586D77"/>
    <w:rsid w:val="005904BB"/>
    <w:rsid w:val="005933DA"/>
    <w:rsid w:val="005955A4"/>
    <w:rsid w:val="005A4D38"/>
    <w:rsid w:val="005A7C41"/>
    <w:rsid w:val="005C4455"/>
    <w:rsid w:val="005C76CD"/>
    <w:rsid w:val="005D260A"/>
    <w:rsid w:val="005E1BD0"/>
    <w:rsid w:val="005F2776"/>
    <w:rsid w:val="00626BE3"/>
    <w:rsid w:val="00631A68"/>
    <w:rsid w:val="00633998"/>
    <w:rsid w:val="00655E39"/>
    <w:rsid w:val="00660201"/>
    <w:rsid w:val="00677998"/>
    <w:rsid w:val="00680B1C"/>
    <w:rsid w:val="0068171E"/>
    <w:rsid w:val="006959CE"/>
    <w:rsid w:val="006A381A"/>
    <w:rsid w:val="006B298B"/>
    <w:rsid w:val="006C5407"/>
    <w:rsid w:val="006D2CDC"/>
    <w:rsid w:val="006D2D79"/>
    <w:rsid w:val="006D4BFA"/>
    <w:rsid w:val="00715D9D"/>
    <w:rsid w:val="00720449"/>
    <w:rsid w:val="0072476E"/>
    <w:rsid w:val="007256DA"/>
    <w:rsid w:val="00740EB9"/>
    <w:rsid w:val="00746EDB"/>
    <w:rsid w:val="00775E87"/>
    <w:rsid w:val="00784884"/>
    <w:rsid w:val="00796C96"/>
    <w:rsid w:val="007A26B7"/>
    <w:rsid w:val="007B71A3"/>
    <w:rsid w:val="007B7993"/>
    <w:rsid w:val="007C5D95"/>
    <w:rsid w:val="007E6543"/>
    <w:rsid w:val="00833932"/>
    <w:rsid w:val="00853761"/>
    <w:rsid w:val="008611E0"/>
    <w:rsid w:val="00872166"/>
    <w:rsid w:val="00877CDA"/>
    <w:rsid w:val="00883104"/>
    <w:rsid w:val="00884AC6"/>
    <w:rsid w:val="00894AE0"/>
    <w:rsid w:val="008A603A"/>
    <w:rsid w:val="008B1AB2"/>
    <w:rsid w:val="008C25EB"/>
    <w:rsid w:val="008D3A79"/>
    <w:rsid w:val="008D7FE8"/>
    <w:rsid w:val="008E07EC"/>
    <w:rsid w:val="008E155B"/>
    <w:rsid w:val="008F613B"/>
    <w:rsid w:val="00942574"/>
    <w:rsid w:val="009B7A71"/>
    <w:rsid w:val="00A27390"/>
    <w:rsid w:val="00A37A06"/>
    <w:rsid w:val="00A44EEC"/>
    <w:rsid w:val="00A461B9"/>
    <w:rsid w:val="00A65065"/>
    <w:rsid w:val="00A75F09"/>
    <w:rsid w:val="00A83ADE"/>
    <w:rsid w:val="00AC6BE4"/>
    <w:rsid w:val="00AD78C1"/>
    <w:rsid w:val="00AE0A4E"/>
    <w:rsid w:val="00AF794B"/>
    <w:rsid w:val="00B11F6D"/>
    <w:rsid w:val="00B219B8"/>
    <w:rsid w:val="00B32D32"/>
    <w:rsid w:val="00B3597A"/>
    <w:rsid w:val="00B367FA"/>
    <w:rsid w:val="00B91F2E"/>
    <w:rsid w:val="00B977AA"/>
    <w:rsid w:val="00BA395E"/>
    <w:rsid w:val="00BD21FF"/>
    <w:rsid w:val="00BE3F1E"/>
    <w:rsid w:val="00BF7877"/>
    <w:rsid w:val="00C3661E"/>
    <w:rsid w:val="00C40198"/>
    <w:rsid w:val="00C474C5"/>
    <w:rsid w:val="00C60B85"/>
    <w:rsid w:val="00C702D5"/>
    <w:rsid w:val="00C71798"/>
    <w:rsid w:val="00C91B70"/>
    <w:rsid w:val="00CA4A7D"/>
    <w:rsid w:val="00CB4A37"/>
    <w:rsid w:val="00CC07C5"/>
    <w:rsid w:val="00CD00F1"/>
    <w:rsid w:val="00CE0AFC"/>
    <w:rsid w:val="00CF2B61"/>
    <w:rsid w:val="00D05247"/>
    <w:rsid w:val="00D1278E"/>
    <w:rsid w:val="00D14960"/>
    <w:rsid w:val="00D15664"/>
    <w:rsid w:val="00D16143"/>
    <w:rsid w:val="00D16DB4"/>
    <w:rsid w:val="00D30880"/>
    <w:rsid w:val="00D32EC1"/>
    <w:rsid w:val="00D51E91"/>
    <w:rsid w:val="00D6111C"/>
    <w:rsid w:val="00D65706"/>
    <w:rsid w:val="00D85689"/>
    <w:rsid w:val="00D926F2"/>
    <w:rsid w:val="00DB2B48"/>
    <w:rsid w:val="00DB5D85"/>
    <w:rsid w:val="00DE111E"/>
    <w:rsid w:val="00DF4BEB"/>
    <w:rsid w:val="00E057F4"/>
    <w:rsid w:val="00E0760A"/>
    <w:rsid w:val="00E42E45"/>
    <w:rsid w:val="00E53289"/>
    <w:rsid w:val="00E559B1"/>
    <w:rsid w:val="00E56682"/>
    <w:rsid w:val="00E65E93"/>
    <w:rsid w:val="00E855AC"/>
    <w:rsid w:val="00E86DAE"/>
    <w:rsid w:val="00E971D6"/>
    <w:rsid w:val="00EE54A3"/>
    <w:rsid w:val="00EF2BD4"/>
    <w:rsid w:val="00F1052B"/>
    <w:rsid w:val="00F13DC5"/>
    <w:rsid w:val="00F14D73"/>
    <w:rsid w:val="00F326FD"/>
    <w:rsid w:val="00F3665D"/>
    <w:rsid w:val="00F46665"/>
    <w:rsid w:val="00F70CED"/>
    <w:rsid w:val="00F82867"/>
    <w:rsid w:val="00FA20B8"/>
    <w:rsid w:val="00FB1B34"/>
    <w:rsid w:val="00FE47EF"/>
    <w:rsid w:val="00FF0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ED1D4"/>
  <w15:chartTrackingRefBased/>
  <w15:docId w15:val="{9A0BE351-D7BD-42B9-AF3C-1679EB28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 w:type="character" w:styleId="UnresolvedMention">
    <w:name w:val="Unresolved Mention"/>
    <w:basedOn w:val="DefaultParagraphFont"/>
    <w:uiPriority w:val="99"/>
    <w:semiHidden/>
    <w:unhideWhenUsed/>
    <w:rsid w:val="00626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869032007">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org/ga/search/view_doc.asp?symbol=A/RES/64/292&amp;Lang=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666</Words>
  <Characters>3667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Bárbara Sierra Nieves</cp:lastModifiedBy>
  <cp:revision>4</cp:revision>
  <cp:lastPrinted>2025-01-23T18:54:00Z</cp:lastPrinted>
  <dcterms:created xsi:type="dcterms:W3CDTF">2025-01-23T17:41:00Z</dcterms:created>
  <dcterms:modified xsi:type="dcterms:W3CDTF">2025-01-23T18:57:00Z</dcterms:modified>
</cp:coreProperties>
</file>