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Default="003E0277" w:rsidP="00BC63DB">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1</w:t>
      </w:r>
      <w:r>
        <w:rPr>
          <w:rFonts w:ascii="Book Antiqua" w:hAnsi="Book Antiqua"/>
          <w:vertAlign w:val="superscript"/>
          <w:lang w:val="es-PR"/>
        </w:rPr>
        <w:t>ra.</w:t>
      </w:r>
      <w:r>
        <w:rPr>
          <w:rFonts w:ascii="Book Antiqua" w:hAnsi="Book Antiqua"/>
          <w:vertAlign w:val="superscript"/>
          <w:lang w:val="es-PR"/>
        </w:rPr>
        <w:tab/>
      </w:r>
      <w:r>
        <w:rPr>
          <w:rFonts w:ascii="Book Antiqua" w:hAnsi="Book Antiqua"/>
          <w:lang w:val="es-PR"/>
        </w:rPr>
        <w:t>Sesión</w:t>
      </w:r>
    </w:p>
    <w:p w14:paraId="214DBA9D" w14:textId="77777777" w:rsidR="00304ACE" w:rsidRDefault="003E0277" w:rsidP="00BC63DB">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3DFCE563" w14:textId="77777777" w:rsidR="00304ACE" w:rsidRDefault="00304ACE" w:rsidP="00BC63DB">
      <w:pPr>
        <w:rPr>
          <w:rFonts w:ascii="Book Antiqua" w:hAnsi="Book Antiqua"/>
          <w:lang w:val="es-PR"/>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4DE9F164"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DF4C50">
        <w:rPr>
          <w:rFonts w:ascii="Book Antiqua" w:hAnsi="Book Antiqua"/>
          <w:b/>
          <w:sz w:val="52"/>
          <w:lang w:val="es-PR"/>
        </w:rPr>
        <w:t>267</w:t>
      </w:r>
    </w:p>
    <w:p w14:paraId="6FC9B738" w14:textId="77777777" w:rsidR="00BC63DB" w:rsidRPr="00BC63DB" w:rsidRDefault="00BC63DB" w:rsidP="00BC63DB">
      <w:pPr>
        <w:jc w:val="center"/>
        <w:rPr>
          <w:rFonts w:ascii="Book Antiqua" w:hAnsi="Book Antiqua"/>
          <w:b/>
          <w:szCs w:val="24"/>
          <w:lang w:val="es-PR"/>
        </w:rPr>
      </w:pPr>
    </w:p>
    <w:p w14:paraId="06D4957B" w14:textId="7792B76B" w:rsidR="00304ACE" w:rsidRDefault="00BC63DB" w:rsidP="00BC63DB">
      <w:pPr>
        <w:jc w:val="center"/>
        <w:rPr>
          <w:rFonts w:ascii="Book Antiqua" w:hAnsi="Book Antiqua"/>
          <w:lang w:val="es-PR"/>
        </w:rPr>
      </w:pPr>
      <w:r>
        <w:rPr>
          <w:rFonts w:ascii="Book Antiqua" w:hAnsi="Book Antiqua"/>
          <w:lang w:val="es-PR"/>
        </w:rPr>
        <w:t>2</w:t>
      </w:r>
      <w:r w:rsidR="00540F1F">
        <w:rPr>
          <w:rFonts w:ascii="Book Antiqua" w:hAnsi="Book Antiqua"/>
          <w:lang w:val="es-PR"/>
        </w:rPr>
        <w:t>3</w:t>
      </w:r>
      <w:r>
        <w:rPr>
          <w:rFonts w:ascii="Book Antiqua" w:hAnsi="Book Antiqua"/>
          <w:lang w:val="es-PR"/>
        </w:rPr>
        <w:t xml:space="preserve"> DE ENERO 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w:t>
      </w:r>
      <w:proofErr w:type="spellStart"/>
      <w:r w:rsidRPr="00BC63DB">
        <w:rPr>
          <w:rFonts w:ascii="Book Antiqua" w:eastAsia="Aptos" w:hAnsi="Book Antiqua"/>
          <w:i/>
          <w:iCs/>
          <w:kern w:val="2"/>
          <w:szCs w:val="24"/>
          <w:lang w:val="es-ES"/>
          <w14:ligatures w14:val="standardContextual"/>
        </w:rPr>
        <w:t>Franqui</w:t>
      </w:r>
      <w:proofErr w:type="spellEnd"/>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2FB7AC54"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D2761C">
        <w:rPr>
          <w:rFonts w:ascii="Book Antiqua" w:hAnsi="Book Antiqua"/>
          <w:iCs/>
          <w:lang w:val="es-PR"/>
        </w:rPr>
        <w:t>la Comisión de Gobierno</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483FB863" w14:textId="77777777" w:rsidR="00304ACE" w:rsidRDefault="003E0277" w:rsidP="00BC63DB">
      <w:pPr>
        <w:ind w:left="540" w:hanging="540"/>
        <w:jc w:val="both"/>
        <w:rPr>
          <w:rFonts w:ascii="Book Antiqua" w:eastAsia="Book Antiqua" w:hAnsi="Book Antiqua" w:cs="Book Antiqua"/>
          <w:color w:val="000000"/>
          <w:szCs w:val="24"/>
          <w:lang w:val="es-PR"/>
        </w:rPr>
      </w:pPr>
      <w:r>
        <w:rPr>
          <w:rFonts w:ascii="Book Antiqua" w:eastAsia="Book Antiqua" w:hAnsi="Book Antiqua" w:cs="Book Antiqua"/>
          <w:color w:val="000000"/>
          <w:szCs w:val="24"/>
          <w:lang w:val="es-PR"/>
        </w:rPr>
        <w:t>Para enmendar el Artículo 1.6 de la Ley 17-2019, conocida como “Ley de Política Pública Energética de Puerto Rico”, y los Artículos 2.3 y 2.13 de la Ley Núm. 82-2010, según enmendada, conocida como “Ley de Política Pública de Diversificación Energética por Medio de Energía Renovable Sostenible y Alterna en Puerto Rico” para atemperar los objetivos de política pública energética a la realidad; garantizar el cumplimiento con las metas establecidas para el 2050; disponer sobre el cumplimiento con la presente Ley; y para otros fines relacionados.</w:t>
      </w:r>
    </w:p>
    <w:p w14:paraId="3FD8609E" w14:textId="77777777" w:rsidR="00304ACE" w:rsidRDefault="00304ACE" w:rsidP="00BC63DB">
      <w:pPr>
        <w:ind w:left="360" w:hanging="360"/>
        <w:jc w:val="both"/>
        <w:rPr>
          <w:rFonts w:ascii="Book Antiqua" w:hAnsi="Book Antiqua"/>
          <w:lang w:val="es-PR"/>
        </w:rPr>
      </w:pPr>
    </w:p>
    <w:p w14:paraId="6AFF6909" w14:textId="77777777" w:rsidR="00304ACE" w:rsidRPr="00BC63DB" w:rsidRDefault="003E0277" w:rsidP="00BC63DB">
      <w:pPr>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27583F5C" w14:textId="77777777" w:rsidR="00304ACE" w:rsidRDefault="003E0277" w:rsidP="00BC63DB">
      <w:pPr>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Por la pasada década, ha sido la política pública del Gobierno de Puerto Rico diversificar la cartera de fuentes de generación de nuestro sistema de energía eléctrico para disminuir nuestra dependencia de combustibles fósiles que son </w:t>
      </w:r>
      <w:r>
        <w:rPr>
          <w:rFonts w:ascii="Book Antiqua" w:eastAsia="Book Antiqua" w:hAnsi="Book Antiqua" w:cs="Book Antiqua"/>
          <w:szCs w:val="24"/>
          <w:lang w:val="es-PR"/>
        </w:rPr>
        <w:t>dañinos a nuestra salud y nuestro medioambiente.</w:t>
      </w:r>
    </w:p>
    <w:p w14:paraId="175A087C" w14:textId="77777777" w:rsidR="00304ACE" w:rsidRDefault="003E0277" w:rsidP="00BC63DB">
      <w:pPr>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lastRenderedPageBreak/>
        <w:t xml:space="preserve">Aun cuando ha habido grandes avances en las fuentes de energía renovable y que Puerto Rico ha intentado acelerar la integración de estas a su cartera de generación, lo cierto es que no se van a poder cumplir con las metas intermedias establecidas en la </w:t>
      </w:r>
      <w:r>
        <w:rPr>
          <w:rFonts w:ascii="Book Antiqua" w:eastAsia="Book Antiqua" w:hAnsi="Book Antiqua" w:cs="Book Antiqua"/>
          <w:smallCaps/>
          <w:color w:val="000000"/>
          <w:szCs w:val="24"/>
          <w:lang w:val="es-PR"/>
        </w:rPr>
        <w:t>Ley de Política Pública Energética de Puerto Rico</w:t>
      </w:r>
      <w:r>
        <w:rPr>
          <w:rFonts w:ascii="Book Antiqua" w:eastAsia="Book Antiqua" w:hAnsi="Book Antiqua" w:cs="Book Antiqua"/>
          <w:color w:val="000000" w:themeColor="text1"/>
          <w:szCs w:val="24"/>
          <w:lang w:val="es-PR"/>
        </w:rPr>
        <w:t xml:space="preserve">, Ley Núm. 17-2019, ni en la </w:t>
      </w:r>
      <w:r>
        <w:rPr>
          <w:rFonts w:ascii="Book Antiqua" w:eastAsia="Book Antiqua" w:hAnsi="Book Antiqua" w:cs="Book Antiqua"/>
          <w:smallCaps/>
          <w:color w:val="000000"/>
          <w:szCs w:val="24"/>
          <w:lang w:val="es-PR"/>
        </w:rPr>
        <w:t>Ley de Política Pública de Diversificación Energética por Medio de Energía Renovable Sostenible y Alterna en Puerto Rico</w:t>
      </w:r>
      <w:r>
        <w:rPr>
          <w:rFonts w:ascii="Book Antiqua" w:eastAsia="Book Antiqua" w:hAnsi="Book Antiqua" w:cs="Book Antiqua"/>
          <w:color w:val="000000"/>
          <w:szCs w:val="24"/>
          <w:lang w:val="es-PR"/>
        </w:rPr>
        <w:t xml:space="preserve">, Ley Núm. 82-2010, según enmendada, </w:t>
      </w:r>
      <w:r>
        <w:rPr>
          <w:rFonts w:ascii="Book Antiqua" w:eastAsia="Book Antiqua" w:hAnsi="Book Antiqua" w:cs="Book Antiqua"/>
          <w:color w:val="000000" w:themeColor="text1"/>
          <w:szCs w:val="24"/>
          <w:lang w:val="es-PR"/>
        </w:rPr>
        <w:t xml:space="preserve">en gran parte por el alza desmedido en el costo al consumidor que resultaría de la integración de estas fuentes en estos momentos. La gran demanda mundial de fuentes renovables, junto con las limitaciones impuestas por las metas intermedias incluidas en la mencionada ley, han mantenido los precios de fuentes de generación renovables demasiado altos. Necesitamos energía limpia pero también necesitamos energía que nuestra gente pueda pagar. </w:t>
      </w:r>
    </w:p>
    <w:p w14:paraId="7C1B7961" w14:textId="77777777" w:rsidR="00BC63DB" w:rsidRDefault="00BC63DB" w:rsidP="00BC63DB">
      <w:pPr>
        <w:ind w:firstLine="720"/>
        <w:jc w:val="both"/>
        <w:rPr>
          <w:rFonts w:ascii="Book Antiqua" w:eastAsia="Book Antiqua" w:hAnsi="Book Antiqua" w:cs="Book Antiqua"/>
          <w:color w:val="000000" w:themeColor="text1"/>
          <w:szCs w:val="24"/>
          <w:lang w:val="es-PR"/>
        </w:rPr>
      </w:pPr>
    </w:p>
    <w:p w14:paraId="362867AC" w14:textId="77777777" w:rsidR="00304ACE" w:rsidRDefault="003E0277" w:rsidP="00BC63DB">
      <w:pPr>
        <w:ind w:firstLine="720"/>
        <w:jc w:val="both"/>
        <w:rPr>
          <w:rFonts w:ascii="Book Antiqua" w:hAnsi="Book Antiqua"/>
          <w:szCs w:val="24"/>
          <w:lang w:val="es-PR" w:eastAsia="es-PR"/>
        </w:rPr>
      </w:pPr>
      <w:r>
        <w:rPr>
          <w:rFonts w:ascii="Book Antiqua" w:eastAsia="Book Antiqua" w:hAnsi="Book Antiqua" w:cs="Book Antiqua"/>
          <w:color w:val="000000" w:themeColor="text1"/>
          <w:szCs w:val="24"/>
          <w:lang w:val="es-PR"/>
        </w:rPr>
        <w:t xml:space="preserve">La obligación en ley de cumplir con las metas intermedias ha imposibilitado que el Negociado de Energía de Puerto Rico dé paso a fuentes de generación más limpias y costo-eficientes como medidas de transición hacia la meta de 100% de renovables para el 2050. Esto, a su vez, ha dificultado que podamos sustituir las generatrices viejas con un sistema de energía </w:t>
      </w:r>
      <w:r>
        <w:rPr>
          <w:rFonts w:ascii="Book Antiqua" w:hAnsi="Book Antiqua"/>
          <w:szCs w:val="24"/>
          <w:lang w:val="es-PR" w:eastAsia="es-PR"/>
        </w:rPr>
        <w:t>confiable, asequible, estable y seguro, a un costo razonable. El efecto que esto ha tenido en la calidad de vida de nuestra gente y en nuestro desarrollo económico ha sido devastador.</w:t>
      </w:r>
    </w:p>
    <w:p w14:paraId="128BB0B2" w14:textId="77777777" w:rsidR="00BC63DB" w:rsidRDefault="00BC63DB" w:rsidP="00BC63DB">
      <w:pPr>
        <w:ind w:firstLine="720"/>
        <w:jc w:val="both"/>
        <w:rPr>
          <w:rFonts w:ascii="Book Antiqua" w:hAnsi="Book Antiqua"/>
          <w:szCs w:val="24"/>
          <w:lang w:val="es-PR" w:eastAsia="es-PR"/>
        </w:rPr>
      </w:pPr>
    </w:p>
    <w:p w14:paraId="43506FCD" w14:textId="77777777" w:rsidR="00304ACE" w:rsidRDefault="003E0277" w:rsidP="00BC63D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Para atender esta situación de emergencia, necesitamos revisar las medidas impuestas en la ley que ponen trabas a una efectiva transformación de nuestra cartera de generación, y atemperarlas a la realidad de los tiempos y a la realidad que vive nuestra gente. Siempre manteniendo la meta impuesta de que, en 2050, contemos con un sistema eléctrico en Puerto Rico cuya generación provenga en el 100% de fuentes renovables</w:t>
      </w:r>
      <w:r>
        <w:rPr>
          <w:rFonts w:ascii="Book Antiqua" w:eastAsia="Book Antiqua" w:hAnsi="Book Antiqua" w:cs="Book Antiqua"/>
          <w:color w:val="000000" w:themeColor="text1"/>
          <w:szCs w:val="24"/>
          <w:lang w:val="es-PR"/>
        </w:rPr>
        <w:t>.</w:t>
      </w:r>
    </w:p>
    <w:p w14:paraId="7FDDED2D" w14:textId="77777777" w:rsidR="00304ACE" w:rsidRDefault="00304ACE" w:rsidP="00BC63DB">
      <w:pPr>
        <w:rPr>
          <w:rFonts w:ascii="Book Antiqua" w:eastAsia="Book Antiqua" w:hAnsi="Book Antiqua" w:cs="Book Antiqua"/>
          <w:szCs w:val="24"/>
          <w:lang w:val="es-PR"/>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11857AB"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Sección 1.-Se enmienda el Artículo 1.6 de la Ley 17-2019, para que se lea como sigue: </w:t>
      </w:r>
    </w:p>
    <w:p w14:paraId="1DE7F4E5"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“Artículo 1.6-Objetivos iniciales </w:t>
      </w:r>
    </w:p>
    <w:p w14:paraId="4746B547" w14:textId="77777777" w:rsidR="00304ACE" w:rsidRDefault="003E0277">
      <w:pPr>
        <w:spacing w:line="480" w:lineRule="auto"/>
        <w:jc w:val="both"/>
        <w:rPr>
          <w:rFonts w:ascii="Book Antiqua" w:eastAsia="Book Antiqua" w:hAnsi="Book Antiqua" w:cs="Book Antiqua"/>
          <w:szCs w:val="24"/>
          <w:lang w:val="es-PR"/>
        </w:rPr>
      </w:pPr>
      <w:r>
        <w:rPr>
          <w:rFonts w:ascii="Book Antiqua" w:eastAsia="Book Antiqua" w:hAnsi="Book Antiqua" w:cs="Book Antiqua"/>
          <w:szCs w:val="24"/>
          <w:lang w:val="es-PR"/>
        </w:rPr>
        <w:t>La política pública energética tiene como misión alcanzar, entre otros, los siguientes objetivos iniciales:</w:t>
      </w:r>
    </w:p>
    <w:p w14:paraId="60BD4A91" w14:textId="77777777" w:rsidR="00304ACE" w:rsidRDefault="003E0277">
      <w:pPr>
        <w:pStyle w:val="ListParagraph"/>
        <w:numPr>
          <w:ilvl w:val="0"/>
          <w:numId w:val="1"/>
        </w:numPr>
        <w:spacing w:line="480" w:lineRule="auto"/>
        <w:jc w:val="both"/>
        <w:rPr>
          <w:rFonts w:ascii="Book Antiqua" w:hAnsi="Book Antiqua"/>
          <w:b/>
          <w:i/>
          <w:iCs/>
          <w:lang w:val="es-PR"/>
        </w:rPr>
      </w:pPr>
      <w:r>
        <w:rPr>
          <w:rFonts w:ascii="Book Antiqua" w:eastAsia="Book Antiqua" w:hAnsi="Book Antiqua" w:cs="Book Antiqua"/>
          <w:szCs w:val="24"/>
          <w:lang w:val="es-PR"/>
        </w:rPr>
        <w:t>…</w:t>
      </w:r>
    </w:p>
    <w:p w14:paraId="2E02475F" w14:textId="77777777" w:rsidR="00304ACE" w:rsidRDefault="003E0277">
      <w:pPr>
        <w:pStyle w:val="ListParagraph"/>
        <w:numPr>
          <w:ilvl w:val="0"/>
          <w:numId w:val="1"/>
        </w:numPr>
        <w:spacing w:line="480" w:lineRule="auto"/>
        <w:jc w:val="both"/>
        <w:rPr>
          <w:rFonts w:ascii="Book Antiqua" w:hAnsi="Book Antiqua"/>
          <w:bCs/>
          <w:lang w:val="es-PR"/>
        </w:rPr>
      </w:pPr>
      <w:r>
        <w:rPr>
          <w:rFonts w:ascii="Book Antiqua" w:eastAsia="Book Antiqua" w:hAnsi="Book Antiqua" w:cs="Book Antiqua"/>
          <w:szCs w:val="24"/>
          <w:lang w:val="es-PR"/>
        </w:rPr>
        <w:t>…</w:t>
      </w:r>
    </w:p>
    <w:p w14:paraId="35ABE250" w14:textId="77777777" w:rsidR="00304ACE" w:rsidRDefault="003E0277">
      <w:pPr>
        <w:pStyle w:val="ListParagraph"/>
        <w:numPr>
          <w:ilvl w:val="0"/>
          <w:numId w:val="1"/>
        </w:numPr>
        <w:spacing w:line="480" w:lineRule="auto"/>
        <w:jc w:val="both"/>
        <w:rPr>
          <w:rFonts w:ascii="Book Antiqua" w:hAnsi="Book Antiqua"/>
          <w:bCs/>
          <w:lang w:val="es-PR"/>
        </w:rPr>
      </w:pPr>
      <w:r>
        <w:rPr>
          <w:rFonts w:ascii="Book Antiqua" w:hAnsi="Book Antiqua"/>
          <w:bCs/>
          <w:lang w:val="es-PR"/>
        </w:rPr>
        <w:lastRenderedPageBreak/>
        <w:t xml:space="preserve">Eliminar el uso de carbón como fuente de generación de energía no más tarde del 1 de enero de </w:t>
      </w:r>
      <w:r>
        <w:rPr>
          <w:rFonts w:ascii="Book Antiqua" w:hAnsi="Book Antiqua"/>
          <w:b/>
          <w:lang w:val="es-PR"/>
        </w:rPr>
        <w:t>[2028]</w:t>
      </w:r>
      <w:r>
        <w:rPr>
          <w:rFonts w:ascii="Book Antiqua" w:hAnsi="Book Antiqua"/>
          <w:bCs/>
          <w:lang w:val="es-PR"/>
        </w:rPr>
        <w:t xml:space="preserve"> </w:t>
      </w:r>
      <w:r>
        <w:rPr>
          <w:rFonts w:ascii="Book Antiqua" w:hAnsi="Book Antiqua"/>
          <w:bCs/>
          <w:i/>
          <w:iCs/>
          <w:lang w:val="es-PR"/>
        </w:rPr>
        <w:t>2030</w:t>
      </w:r>
      <w:r>
        <w:rPr>
          <w:rFonts w:ascii="Book Antiqua" w:hAnsi="Book Antiqua"/>
          <w:bCs/>
          <w:lang w:val="es-PR"/>
        </w:rPr>
        <w:t xml:space="preserve">, </w:t>
      </w:r>
      <w:r>
        <w:rPr>
          <w:rFonts w:ascii="Book Antiqua" w:hAnsi="Book Antiqua"/>
          <w:bCs/>
          <w:i/>
          <w:iCs/>
          <w:lang w:val="es-PR"/>
        </w:rPr>
        <w:t xml:space="preserve">fecha que podrá ser aplazada por el Negociado de Energía de Puerto Rico por periodos adicionales de cinco (5) años si la generación que surge de dicha fuente, medida al 2024, no ha podido ser reemplazada por fuentes de generación más limpias a costos razonables.  </w:t>
      </w:r>
      <w:r>
        <w:rPr>
          <w:rFonts w:ascii="Book Antiqua" w:hAnsi="Book Antiqua"/>
          <w:bCs/>
          <w:lang w:val="es-PR"/>
        </w:rPr>
        <w:t xml:space="preserve"> </w:t>
      </w:r>
    </w:p>
    <w:p w14:paraId="322BC3F3"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002CBCD5"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1CB6883F"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15F9A95E"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 xml:space="preserve">Reducir, hasta eventualmente eliminar, el uso de combustibles fósiles para la generación de energía, mediante la integración de energía renovable de forma ordenada y progresiva, garantizando la estabilidad del Sistema Eléctrico </w:t>
      </w:r>
      <w:r>
        <w:rPr>
          <w:rFonts w:ascii="Book Antiqua" w:hAnsi="Book Antiqua"/>
          <w:i/>
          <w:iCs/>
          <w:lang w:val="es-PR"/>
        </w:rPr>
        <w:t xml:space="preserve">a un costo razonable </w:t>
      </w:r>
      <w:r>
        <w:rPr>
          <w:rFonts w:ascii="Book Antiqua" w:hAnsi="Book Antiqua"/>
          <w:lang w:val="es-PR"/>
        </w:rPr>
        <w:t xml:space="preserve">mientras se maximizan los recursos de energía renovable a corto, mediano y largo plazo. Para ello, se establece una Cartera de Energía Renovable con el fin de alcanzar un </w:t>
      </w:r>
      <w:r>
        <w:rPr>
          <w:rFonts w:ascii="Book Antiqua" w:hAnsi="Book Antiqua"/>
          <w:b/>
          <w:bCs/>
          <w:lang w:val="es-PR"/>
        </w:rPr>
        <w:t>[mínimo de 40% para en o antes del 2025; 60% para en o antes del 2040; y]</w:t>
      </w:r>
      <w:r>
        <w:rPr>
          <w:rFonts w:ascii="Book Antiqua" w:hAnsi="Book Antiqua"/>
          <w:lang w:val="es-PR"/>
        </w:rPr>
        <w:t xml:space="preserve"> </w:t>
      </w:r>
      <w:r>
        <w:rPr>
          <w:rFonts w:ascii="Book Antiqua" w:hAnsi="Book Antiqua"/>
          <w:i/>
          <w:iCs/>
          <w:lang w:val="es-PR"/>
        </w:rPr>
        <w:t>cien por ciento (</w:t>
      </w:r>
      <w:r>
        <w:rPr>
          <w:rFonts w:ascii="Book Antiqua" w:hAnsi="Book Antiqua"/>
          <w:lang w:val="es-PR"/>
        </w:rPr>
        <w:t>100%</w:t>
      </w:r>
      <w:r>
        <w:rPr>
          <w:rFonts w:ascii="Book Antiqua" w:hAnsi="Book Antiqua"/>
          <w:i/>
          <w:iCs/>
          <w:lang w:val="es-PR"/>
        </w:rPr>
        <w:t>)</w:t>
      </w:r>
      <w:r>
        <w:rPr>
          <w:rFonts w:ascii="Book Antiqua" w:hAnsi="Book Antiqua"/>
          <w:lang w:val="es-PR"/>
        </w:rPr>
        <w:t xml:space="preserve"> para en o antes del 2050. </w:t>
      </w:r>
    </w:p>
    <w:p w14:paraId="5AAC08A4" w14:textId="77777777" w:rsidR="00304ACE" w:rsidRDefault="003E0277">
      <w:pPr>
        <w:pStyle w:val="ListParagraph"/>
        <w:numPr>
          <w:ilvl w:val="0"/>
          <w:numId w:val="1"/>
        </w:numPr>
        <w:spacing w:line="480" w:lineRule="auto"/>
        <w:jc w:val="both"/>
        <w:rPr>
          <w:rFonts w:ascii="Book Antiqua" w:hAnsi="Book Antiqua"/>
          <w:b/>
          <w:bCs/>
          <w:szCs w:val="24"/>
          <w:lang w:val="es-PR"/>
        </w:rPr>
      </w:pPr>
      <w:r>
        <w:rPr>
          <w:rFonts w:ascii="Book Antiqua" w:hAnsi="Book Antiqua"/>
          <w:szCs w:val="24"/>
          <w:lang w:val="es-PR"/>
        </w:rPr>
        <w:t>…</w:t>
      </w:r>
    </w:p>
    <w:p w14:paraId="244280C5" w14:textId="77777777" w:rsidR="00304ACE" w:rsidRDefault="003E0277">
      <w:pPr>
        <w:pStyle w:val="ListParagraph"/>
        <w:numPr>
          <w:ilvl w:val="0"/>
          <w:numId w:val="1"/>
        </w:numPr>
        <w:spacing w:line="480" w:lineRule="auto"/>
        <w:jc w:val="both"/>
        <w:rPr>
          <w:rFonts w:ascii="Book Antiqua" w:hAnsi="Book Antiqua"/>
          <w:b/>
          <w:bCs/>
          <w:szCs w:val="24"/>
          <w:lang w:val="es-PR"/>
        </w:rPr>
      </w:pPr>
      <w:r>
        <w:rPr>
          <w:rFonts w:ascii="Book Antiqua" w:hAnsi="Book Antiqua"/>
          <w:b/>
          <w:bCs/>
          <w:szCs w:val="24"/>
          <w:lang w:val="es-PR"/>
        </w:rPr>
        <w:t>…</w:t>
      </w:r>
    </w:p>
    <w:p w14:paraId="514011E8" w14:textId="77777777" w:rsidR="00304ACE" w:rsidRDefault="003E0277">
      <w:pPr>
        <w:pStyle w:val="ListParagraph"/>
        <w:numPr>
          <w:ilvl w:val="0"/>
          <w:numId w:val="1"/>
        </w:numPr>
        <w:spacing w:line="480" w:lineRule="auto"/>
        <w:jc w:val="both"/>
        <w:rPr>
          <w:rFonts w:ascii="Book Antiqua" w:hAnsi="Book Antiqua"/>
          <w:szCs w:val="24"/>
          <w:lang w:val="es-PR"/>
        </w:rPr>
      </w:pPr>
      <w:r>
        <w:rPr>
          <w:rFonts w:ascii="Book Antiqua" w:hAnsi="Book Antiqua"/>
          <w:b/>
          <w:bCs/>
          <w:szCs w:val="24"/>
          <w:lang w:val="es-PR"/>
        </w:rPr>
        <w:t xml:space="preserve"> </w:t>
      </w:r>
      <w:r>
        <w:rPr>
          <w:rFonts w:ascii="Book Antiqua" w:hAnsi="Book Antiqua"/>
          <w:szCs w:val="24"/>
          <w:lang w:val="es-PR"/>
        </w:rPr>
        <w:t>…</w:t>
      </w:r>
    </w:p>
    <w:p w14:paraId="6279C3A7" w14:textId="77777777" w:rsidR="00304ACE" w:rsidRDefault="003E0277">
      <w:pPr>
        <w:spacing w:line="480" w:lineRule="auto"/>
        <w:ind w:left="360"/>
        <w:jc w:val="both"/>
        <w:rPr>
          <w:rStyle w:val="markedcontent"/>
          <w:rFonts w:ascii="Book Antiqua" w:hAnsi="Book Antiqua" w:cs="Arial"/>
          <w:b/>
          <w:bCs/>
          <w:szCs w:val="24"/>
          <w:shd w:val="clear" w:color="auto" w:fill="FFFFFF"/>
          <w:lang w:val="es-PR"/>
        </w:rPr>
      </w:pPr>
      <w:r>
        <w:rPr>
          <w:rStyle w:val="markedcontent"/>
          <w:rFonts w:ascii="Book Antiqua" w:hAnsi="Book Antiqua" w:cs="Arial"/>
          <w:b/>
          <w:bCs/>
          <w:szCs w:val="24"/>
          <w:shd w:val="clear" w:color="auto" w:fill="FFFFFF"/>
          <w:lang w:val="es-PR"/>
        </w:rPr>
        <w:t xml:space="preserve">[11) Alcanzar una meta de treinta por ciento (30%) de eficiencia energética para el 2040, según lo dispuesto en la Ley 57-2014. </w:t>
      </w:r>
    </w:p>
    <w:p w14:paraId="6EE34A50" w14:textId="77777777" w:rsidR="00304ACE" w:rsidRDefault="003E0277">
      <w:pPr>
        <w:spacing w:line="480" w:lineRule="auto"/>
        <w:ind w:left="360"/>
        <w:jc w:val="both"/>
        <w:rPr>
          <w:rStyle w:val="markedcontent"/>
          <w:rFonts w:ascii="Book Antiqua" w:eastAsia="Book Antiqua" w:hAnsi="Book Antiqua" w:cs="Book Antiqua"/>
          <w:b/>
          <w:bCs/>
          <w:szCs w:val="24"/>
          <w:lang w:val="es-PR"/>
        </w:rPr>
      </w:pPr>
      <w:r>
        <w:rPr>
          <w:rStyle w:val="markedcontent"/>
          <w:rFonts w:ascii="Book Antiqua" w:hAnsi="Book Antiqua" w:cs="Arial"/>
          <w:b/>
          <w:bCs/>
          <w:szCs w:val="24"/>
          <w:shd w:val="clear" w:color="auto" w:fill="FFFFFF"/>
          <w:lang w:val="es-PR"/>
        </w:rPr>
        <w:lastRenderedPageBreak/>
        <w:t xml:space="preserve">12) Reemplazar el cien por ciento (100%) del alumbrado público por luces electroluminiscentes (“light </w:t>
      </w:r>
      <w:proofErr w:type="spellStart"/>
      <w:r>
        <w:rPr>
          <w:rStyle w:val="markedcontent"/>
          <w:rFonts w:ascii="Book Antiqua" w:hAnsi="Book Antiqua" w:cs="Arial"/>
          <w:b/>
          <w:bCs/>
          <w:szCs w:val="24"/>
          <w:shd w:val="clear" w:color="auto" w:fill="FFFFFF"/>
          <w:lang w:val="es-PR"/>
        </w:rPr>
        <w:t>emitting</w:t>
      </w:r>
      <w:proofErr w:type="spellEnd"/>
      <w:r>
        <w:rPr>
          <w:rStyle w:val="markedcontent"/>
          <w:rFonts w:ascii="Book Antiqua" w:hAnsi="Book Antiqua" w:cs="Arial"/>
          <w:b/>
          <w:bCs/>
          <w:szCs w:val="24"/>
          <w:shd w:val="clear" w:color="auto" w:fill="FFFFFF"/>
          <w:lang w:val="es-PR"/>
        </w:rPr>
        <w:t xml:space="preserve"> </w:t>
      </w:r>
      <w:proofErr w:type="spellStart"/>
      <w:r>
        <w:rPr>
          <w:rStyle w:val="markedcontent"/>
          <w:rFonts w:ascii="Book Antiqua" w:hAnsi="Book Antiqua" w:cs="Arial"/>
          <w:b/>
          <w:bCs/>
          <w:szCs w:val="24"/>
          <w:shd w:val="clear" w:color="auto" w:fill="FFFFFF"/>
          <w:lang w:val="es-PR"/>
        </w:rPr>
        <w:t>diode</w:t>
      </w:r>
      <w:proofErr w:type="spellEnd"/>
      <w:r>
        <w:rPr>
          <w:rStyle w:val="markedcontent"/>
          <w:rFonts w:ascii="Book Antiqua" w:hAnsi="Book Antiqua" w:cs="Arial"/>
          <w:b/>
          <w:bCs/>
          <w:szCs w:val="24"/>
          <w:shd w:val="clear" w:color="auto" w:fill="FFFFFF"/>
          <w:lang w:val="es-PR"/>
        </w:rPr>
        <w:t xml:space="preserve">”, o LED, por sus siglas en inglés) o renovables para el 2030.] </w:t>
      </w:r>
    </w:p>
    <w:p w14:paraId="7753EE78"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[13)]</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11)</w:t>
      </w:r>
      <w:r>
        <w:rPr>
          <w:rFonts w:ascii="Book Antiqua" w:eastAsia="Book Antiqua" w:hAnsi="Book Antiqua" w:cs="Book Antiqua"/>
          <w:szCs w:val="24"/>
          <w:lang w:val="es-PR"/>
        </w:rPr>
        <w:t xml:space="preserve"> Uniformar…</w:t>
      </w:r>
    </w:p>
    <w:p w14:paraId="042DD392"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[14)]</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12)</w:t>
      </w:r>
      <w:r>
        <w:rPr>
          <w:rFonts w:ascii="Book Antiqua" w:eastAsia="Book Antiqua" w:hAnsi="Book Antiqua" w:cs="Book Antiqua"/>
          <w:szCs w:val="24"/>
          <w:lang w:val="es-PR"/>
        </w:rPr>
        <w:t xml:space="preserve"> Robustecer…</w:t>
      </w:r>
    </w:p>
    <w:p w14:paraId="16367559"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[15)]</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13)</w:t>
      </w:r>
      <w:r>
        <w:rPr>
          <w:rFonts w:ascii="Book Antiqua" w:eastAsia="Book Antiqua" w:hAnsi="Book Antiqua" w:cs="Book Antiqua"/>
          <w:szCs w:val="24"/>
          <w:lang w:val="es-PR"/>
        </w:rPr>
        <w:t xml:space="preserve"> Requerir…</w:t>
      </w:r>
    </w:p>
    <w:p w14:paraId="1381E08A"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[16)]</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14)</w:t>
      </w:r>
      <w:r>
        <w:rPr>
          <w:rFonts w:ascii="Book Antiqua" w:eastAsia="Book Antiqua" w:hAnsi="Book Antiqua" w:cs="Book Antiqua"/>
          <w:szCs w:val="24"/>
          <w:lang w:val="es-PR"/>
        </w:rPr>
        <w:t xml:space="preserve"> </w:t>
      </w:r>
      <w:r>
        <w:rPr>
          <w:rFonts w:ascii="Book Antiqua" w:hAnsi="Book Antiqua" w:cs="Arial"/>
          <w:shd w:val="clear" w:color="auto" w:fill="FFFFFF"/>
          <w:lang w:val="es-PR"/>
        </w:rPr>
        <w:t xml:space="preserve">Establecer los elementos necesarios para alcanzar la aspiración [del] </w:t>
      </w:r>
      <w:r>
        <w:rPr>
          <w:rFonts w:ascii="Book Antiqua" w:hAnsi="Book Antiqua" w:cs="Arial"/>
          <w:i/>
          <w:iCs/>
          <w:shd w:val="clear" w:color="auto" w:fill="FFFFFF"/>
          <w:lang w:val="es-PR"/>
        </w:rPr>
        <w:t>de</w:t>
      </w:r>
      <w:r>
        <w:rPr>
          <w:rFonts w:ascii="Book Antiqua" w:hAnsi="Book Antiqua" w:cs="Arial"/>
          <w:shd w:val="clear" w:color="auto" w:fill="FFFFFF"/>
          <w:lang w:val="es-PR"/>
        </w:rPr>
        <w:t xml:space="preserve"> </w:t>
      </w:r>
      <w:r>
        <w:rPr>
          <w:rFonts w:ascii="Book Antiqua" w:hAnsi="Book Antiqua" w:cs="Arial"/>
          <w:i/>
          <w:iCs/>
          <w:shd w:val="clear" w:color="auto" w:fill="FFFFFF"/>
          <w:lang w:val="es-PR"/>
        </w:rPr>
        <w:t xml:space="preserve">nuestro </w:t>
      </w:r>
      <w:r>
        <w:rPr>
          <w:rFonts w:ascii="Book Antiqua" w:hAnsi="Book Antiqua" w:cs="Arial"/>
          <w:shd w:val="clear" w:color="auto" w:fill="FFFFFF"/>
          <w:lang w:val="es-PR"/>
        </w:rPr>
        <w:t xml:space="preserve">Pueblo </w:t>
      </w:r>
      <w:r>
        <w:rPr>
          <w:rFonts w:ascii="Book Antiqua" w:hAnsi="Book Antiqua" w:cs="Arial"/>
          <w:b/>
          <w:bCs/>
          <w:shd w:val="clear" w:color="auto" w:fill="FFFFFF"/>
          <w:lang w:val="es-PR"/>
        </w:rPr>
        <w:t>[de Puerto Rico de]</w:t>
      </w:r>
      <w:r>
        <w:rPr>
          <w:rFonts w:ascii="Book Antiqua" w:hAnsi="Book Antiqua" w:cs="Arial"/>
          <w:shd w:val="clear" w:color="auto" w:fill="FFFFFF"/>
          <w:lang w:val="es-PR"/>
        </w:rPr>
        <w:t xml:space="preserve"> </w:t>
      </w:r>
      <w:r>
        <w:rPr>
          <w:rFonts w:ascii="Book Antiqua" w:hAnsi="Book Antiqua" w:cs="Arial"/>
          <w:i/>
          <w:iCs/>
          <w:shd w:val="clear" w:color="auto" w:fill="FFFFFF"/>
          <w:lang w:val="es-PR"/>
        </w:rPr>
        <w:t>para</w:t>
      </w:r>
      <w:r>
        <w:rPr>
          <w:rFonts w:ascii="Book Antiqua" w:hAnsi="Book Antiqua" w:cs="Arial"/>
          <w:shd w:val="clear" w:color="auto" w:fill="FFFFFF"/>
          <w:lang w:val="es-PR"/>
        </w:rPr>
        <w:t xml:space="preserve"> contar con un nuevo Sistema Eléctrico con tarifas menores a los veinte centavos por kilovatio/hora (20¢/kWh), y energía limpia, moderna y confiable que sea la base del desarrollo económico sostenible de la </w:t>
      </w:r>
      <w:r>
        <w:rPr>
          <w:rFonts w:ascii="Book Antiqua" w:hAnsi="Book Antiqua" w:cs="Arial"/>
          <w:b/>
          <w:bCs/>
          <w:shd w:val="clear" w:color="auto" w:fill="FFFFFF"/>
          <w:lang w:val="es-PR"/>
        </w:rPr>
        <w:t>[isla]</w:t>
      </w:r>
      <w:r>
        <w:rPr>
          <w:rFonts w:ascii="Book Antiqua" w:hAnsi="Book Antiqua" w:cs="Arial"/>
          <w:i/>
          <w:iCs/>
          <w:shd w:val="clear" w:color="auto" w:fill="FFFFFF"/>
          <w:lang w:val="es-PR"/>
        </w:rPr>
        <w:t xml:space="preserve"> Puerto Rico</w:t>
      </w:r>
      <w:r>
        <w:rPr>
          <w:rFonts w:ascii="Book Antiqua" w:hAnsi="Book Antiqua" w:cs="Arial"/>
          <w:shd w:val="clear" w:color="auto" w:fill="FFFFFF"/>
          <w:lang w:val="es-PR"/>
        </w:rPr>
        <w:t>.”</w:t>
      </w:r>
    </w:p>
    <w:p w14:paraId="6BED251B"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Sección 2.-</w:t>
      </w:r>
      <w:r>
        <w:rPr>
          <w:lang w:val="es-PR"/>
        </w:rPr>
        <w:t xml:space="preserve"> </w:t>
      </w:r>
      <w:r>
        <w:rPr>
          <w:rFonts w:ascii="Book Antiqua" w:eastAsia="Book Antiqua" w:hAnsi="Book Antiqua" w:cs="Book Antiqua"/>
          <w:szCs w:val="24"/>
          <w:lang w:val="es-PR"/>
        </w:rPr>
        <w:t>Se enmienda el Artículo 2.3 de la Ley Núm. 82-2010, según enmendada, para que se lea como sigue:</w:t>
      </w:r>
    </w:p>
    <w:p w14:paraId="7B8A7CA5"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“Artículo 2.3. — Cartera de Energía Renovable. </w:t>
      </w:r>
    </w:p>
    <w:p w14:paraId="036A89E2" w14:textId="68DD9DB1" w:rsidR="00304ACE" w:rsidRDefault="7ACD122F" w:rsidP="7ACD122F">
      <w:pPr>
        <w:spacing w:line="480" w:lineRule="auto"/>
        <w:ind w:left="720"/>
        <w:jc w:val="both"/>
        <w:rPr>
          <w:rFonts w:ascii="Book Antiqua" w:eastAsia="Book Antiqua" w:hAnsi="Book Antiqua" w:cs="Book Antiqua"/>
          <w:b/>
          <w:bCs/>
          <w:lang w:val="es-PR"/>
        </w:rPr>
      </w:pPr>
      <w:r w:rsidRPr="7ACD122F">
        <w:rPr>
          <w:rFonts w:ascii="Book Antiqua" w:eastAsia="Book Antiqua" w:hAnsi="Book Antiqua" w:cs="Book Antiqua"/>
          <w:lang w:val="es-PR"/>
        </w:rPr>
        <w:t>(a) ...</w:t>
      </w:r>
    </w:p>
    <w:p w14:paraId="2C5B9D16" w14:textId="3585C09C" w:rsidR="00304ACE" w:rsidRDefault="7ACD122F" w:rsidP="7ACD122F">
      <w:pPr>
        <w:spacing w:line="480" w:lineRule="auto"/>
        <w:ind w:left="720"/>
        <w:jc w:val="both"/>
        <w:rPr>
          <w:rFonts w:ascii="Book Antiqua" w:eastAsia="Book Antiqua" w:hAnsi="Book Antiqua" w:cs="Book Antiqua"/>
          <w:b/>
          <w:bCs/>
          <w:lang w:val="es-PR"/>
        </w:rPr>
      </w:pPr>
      <w:r w:rsidRPr="7ACD122F">
        <w:rPr>
          <w:rFonts w:ascii="Book Antiqua" w:eastAsia="Book Antiqua" w:hAnsi="Book Antiqua" w:cs="Book Antiqua"/>
          <w:lang w:val="es-PR"/>
        </w:rPr>
        <w:t xml:space="preserve">(b) Para </w:t>
      </w:r>
      <w:r w:rsidRPr="7ACD122F">
        <w:rPr>
          <w:rFonts w:ascii="Book Antiqua" w:eastAsia="Book Antiqua" w:hAnsi="Book Antiqua" w:cs="Book Antiqua"/>
          <w:b/>
          <w:bCs/>
          <w:lang w:val="es-PR"/>
        </w:rPr>
        <w:t xml:space="preserve">[cada año natural entre 2015 y] </w:t>
      </w:r>
      <w:r w:rsidRPr="7ACD122F">
        <w:rPr>
          <w:rFonts w:ascii="Book Antiqua" w:eastAsia="Book Antiqua" w:hAnsi="Book Antiqua" w:cs="Book Antiqua"/>
          <w:i/>
          <w:iCs/>
          <w:lang w:val="es-PR"/>
        </w:rPr>
        <w:t xml:space="preserve">el </w:t>
      </w:r>
      <w:r w:rsidRPr="7ACD122F">
        <w:rPr>
          <w:rFonts w:ascii="Book Antiqua" w:eastAsia="Book Antiqua" w:hAnsi="Book Antiqua" w:cs="Book Antiqua"/>
          <w:lang w:val="es-PR"/>
        </w:rPr>
        <w:t xml:space="preserve">2050, la Cartera de Energía Renovable aplicable a cada proveedor de energía al detal será </w:t>
      </w:r>
      <w:r w:rsidRPr="7ACD122F">
        <w:rPr>
          <w:rFonts w:ascii="Book Antiqua" w:eastAsia="Book Antiqua" w:hAnsi="Book Antiqua" w:cs="Book Antiqua"/>
          <w:b/>
          <w:bCs/>
          <w:lang w:val="es-PR"/>
        </w:rPr>
        <w:t>[como mínimo el siguiente por ciento:</w:t>
      </w:r>
    </w:p>
    <w:p w14:paraId="4F0CB4D5"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Año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Por ciento (%) requerido de energía renovable</w:t>
      </w:r>
    </w:p>
    <w:p w14:paraId="35822001"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[2015-2022</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 xml:space="preserve">20% </w:t>
      </w:r>
    </w:p>
    <w:p w14:paraId="5C128AEC"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2023 hasta el 2025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40%</w:t>
      </w:r>
    </w:p>
    <w:p w14:paraId="4E68614A"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2026 hasta el 2040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60%]</w:t>
      </w:r>
    </w:p>
    <w:p w14:paraId="156940C2" w14:textId="252661E7" w:rsidR="00304ACE" w:rsidRDefault="7ACD122F" w:rsidP="7ACD122F">
      <w:pPr>
        <w:spacing w:line="480" w:lineRule="auto"/>
        <w:ind w:firstLine="720"/>
        <w:jc w:val="both"/>
        <w:rPr>
          <w:rFonts w:ascii="Book Antiqua" w:eastAsia="Book Antiqua" w:hAnsi="Book Antiqua" w:cs="Book Antiqua"/>
          <w:lang w:val="es-PR"/>
        </w:rPr>
      </w:pPr>
      <w:r w:rsidRPr="7ACD122F">
        <w:rPr>
          <w:rFonts w:ascii="Book Antiqua" w:eastAsia="Book Antiqua" w:hAnsi="Book Antiqua" w:cs="Book Antiqua"/>
          <w:b/>
          <w:bCs/>
          <w:lang w:val="es-PR"/>
        </w:rPr>
        <w:t xml:space="preserve">2041 hasta el 2050 </w:t>
      </w:r>
      <w:r w:rsidR="003E0277" w:rsidRPr="003E0277">
        <w:rPr>
          <w:lang w:val="es-PR"/>
        </w:rPr>
        <w:tab/>
      </w:r>
      <w:r w:rsidRPr="7ACD122F">
        <w:rPr>
          <w:rFonts w:ascii="Book Antiqua" w:eastAsia="Book Antiqua" w:hAnsi="Book Antiqua" w:cs="Book Antiqua"/>
          <w:b/>
          <w:bCs/>
          <w:lang w:val="es-PR"/>
        </w:rPr>
        <w:t xml:space="preserve">                     </w:t>
      </w:r>
      <w:proofErr w:type="gramStart"/>
      <w:r w:rsidRPr="7ACD122F">
        <w:rPr>
          <w:rFonts w:ascii="Book Antiqua" w:eastAsia="Book Antiqua" w:hAnsi="Book Antiqua" w:cs="Book Antiqua"/>
          <w:b/>
          <w:bCs/>
          <w:lang w:val="es-PR"/>
        </w:rPr>
        <w:t xml:space="preserve">  ]</w:t>
      </w:r>
      <w:proofErr w:type="gramEnd"/>
      <w:r w:rsidRPr="7ACD122F">
        <w:rPr>
          <w:rFonts w:ascii="Book Antiqua" w:eastAsia="Book Antiqua" w:hAnsi="Book Antiqua" w:cs="Book Antiqua"/>
          <w:lang w:val="es-PR"/>
        </w:rPr>
        <w:t xml:space="preserve"> </w:t>
      </w:r>
      <w:r w:rsidRPr="7ACD122F">
        <w:rPr>
          <w:rFonts w:ascii="Book Antiqua" w:eastAsia="Book Antiqua" w:hAnsi="Book Antiqua" w:cs="Book Antiqua"/>
          <w:i/>
          <w:iCs/>
          <w:lang w:val="es-PR"/>
        </w:rPr>
        <w:t>el cien por ciento (</w:t>
      </w:r>
      <w:r w:rsidRPr="7ACD122F">
        <w:rPr>
          <w:rFonts w:ascii="Book Antiqua" w:eastAsia="Book Antiqua" w:hAnsi="Book Antiqua" w:cs="Book Antiqua"/>
          <w:lang w:val="es-PR"/>
        </w:rPr>
        <w:t>100%</w:t>
      </w:r>
      <w:r w:rsidRPr="7ACD122F">
        <w:rPr>
          <w:rFonts w:ascii="Book Antiqua" w:eastAsia="Book Antiqua" w:hAnsi="Book Antiqua" w:cs="Book Antiqua"/>
          <w:i/>
          <w:iCs/>
          <w:lang w:val="es-PR"/>
        </w:rPr>
        <w:t>).</w:t>
      </w:r>
      <w:r w:rsidRPr="7ACD122F">
        <w:rPr>
          <w:rFonts w:ascii="Book Antiqua" w:eastAsia="Book Antiqua" w:hAnsi="Book Antiqua" w:cs="Book Antiqua"/>
          <w:lang w:val="es-PR"/>
        </w:rPr>
        <w:t xml:space="preserve"> </w:t>
      </w:r>
    </w:p>
    <w:p w14:paraId="14E27F14"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[El porciento requerido deberá cumplirse a más tardar al último año del periodo. No obstante, por cada uno de los años que componen un periodo período, deberá reflejarse un progreso razonable, según sea determinado por el Negociado de Energía.</w:t>
      </w:r>
    </w:p>
    <w:p w14:paraId="149337C8"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(c) </w:t>
      </w:r>
      <w:r>
        <w:rPr>
          <w:rFonts w:ascii="Book Antiqua" w:eastAsia="Book Antiqua" w:hAnsi="Book Antiqua" w:cs="Book Antiqua"/>
          <w:b/>
          <w:bCs/>
          <w:szCs w:val="24"/>
          <w:lang w:val="es-PR"/>
        </w:rPr>
        <w:tab/>
        <w:t>Para cada año natural entre los años 2015 y 2050, el porciento de energía renovable sostenible o renovable alterna aplicable a cada proveedor de energía al detal será, como mínimo, el porciento correspondiente a ese año natural, según expresado en el inciso (b) de este Artículo. La cantidad requerida de energía renovable sostenible o energía renovable alterna aplicable a un proveedor de energía al detal en determinado año se obtiene multiplicando el porciento correspondiente al año, según aparecen en el inciso (b) de este Artículo, por el total de energía eléctrica, expresado en megavatio-horas (</w:t>
      </w:r>
      <w:proofErr w:type="spellStart"/>
      <w:r>
        <w:rPr>
          <w:rFonts w:ascii="Book Antiqua" w:eastAsia="Book Antiqua" w:hAnsi="Book Antiqua" w:cs="Book Antiqua"/>
          <w:b/>
          <w:bCs/>
          <w:szCs w:val="24"/>
          <w:lang w:val="es-PR"/>
        </w:rPr>
        <w:t>MWh</w:t>
      </w:r>
      <w:proofErr w:type="spellEnd"/>
      <w:r>
        <w:rPr>
          <w:rFonts w:ascii="Book Antiqua" w:eastAsia="Book Antiqua" w:hAnsi="Book Antiqua" w:cs="Book Antiqua"/>
          <w:b/>
          <w:bCs/>
          <w:szCs w:val="24"/>
          <w:lang w:val="es-PR"/>
        </w:rPr>
        <w:t>), vendida por el proveedor de energía al detal en el mismo año natural.</w:t>
      </w:r>
    </w:p>
    <w:p w14:paraId="66B38E4D" w14:textId="77777777" w:rsidR="00304ACE" w:rsidRDefault="7ACD122F" w:rsidP="7ACD122F">
      <w:pPr>
        <w:spacing w:line="480" w:lineRule="auto"/>
        <w:ind w:firstLine="720"/>
        <w:jc w:val="both"/>
        <w:rPr>
          <w:rFonts w:ascii="Book Antiqua" w:eastAsia="Book Antiqua" w:hAnsi="Book Antiqua" w:cs="Book Antiqua"/>
          <w:i/>
          <w:iCs/>
          <w:lang w:val="es-PR"/>
        </w:rPr>
      </w:pPr>
      <w:r w:rsidRPr="7ACD122F">
        <w:rPr>
          <w:rFonts w:ascii="Book Antiqua" w:eastAsia="Book Antiqua" w:hAnsi="Book Antiqua" w:cs="Book Antiqua"/>
          <w:b/>
          <w:bCs/>
          <w:lang w:val="es-PR"/>
        </w:rPr>
        <w:t>(d)]</w:t>
      </w:r>
      <w:r w:rsidRPr="7ACD122F">
        <w:rPr>
          <w:rFonts w:ascii="Book Antiqua" w:eastAsia="Book Antiqua" w:hAnsi="Book Antiqua" w:cs="Book Antiqua"/>
          <w:i/>
          <w:iCs/>
          <w:lang w:val="es-PR"/>
        </w:rPr>
        <w:t>(c)</w:t>
      </w:r>
      <w:r w:rsidR="003E0277" w:rsidRPr="003E0277">
        <w:rPr>
          <w:lang w:val="es-PR"/>
        </w:rPr>
        <w:tab/>
      </w:r>
      <w:r w:rsidRPr="003E0277">
        <w:rPr>
          <w:rFonts w:ascii="Book Antiqua" w:eastAsia="Book Antiqua" w:hAnsi="Book Antiqua" w:cs="Book Antiqua"/>
          <w:lang w:val="es-PR"/>
        </w:rPr>
        <w:t>Para cada año natural</w:t>
      </w:r>
      <w:r w:rsidRPr="7ACD122F">
        <w:rPr>
          <w:rFonts w:ascii="Book Antiqua" w:eastAsia="Book Antiqua" w:hAnsi="Book Antiqua" w:cs="Book Antiqua"/>
          <w:i/>
          <w:iCs/>
          <w:lang w:val="es-PR"/>
        </w:rPr>
        <w:t>…</w:t>
      </w:r>
    </w:p>
    <w:p w14:paraId="206AE49D" w14:textId="049502CA" w:rsidR="7ACD122F" w:rsidRPr="00BC63DB" w:rsidRDefault="7ACD122F" w:rsidP="7ACD122F">
      <w:pPr>
        <w:spacing w:line="480" w:lineRule="auto"/>
        <w:ind w:firstLine="720"/>
        <w:jc w:val="both"/>
        <w:rPr>
          <w:rFonts w:ascii="Book Antiqua" w:eastAsia="Book Antiqua" w:hAnsi="Book Antiqua" w:cs="Book Antiqua"/>
          <w:lang w:val="es-ES"/>
        </w:rPr>
      </w:pPr>
      <w:r w:rsidRPr="00BC63DB">
        <w:rPr>
          <w:rFonts w:ascii="Book Antiqua" w:eastAsia="Book Antiqua" w:hAnsi="Book Antiqua" w:cs="Book Antiqua"/>
          <w:b/>
          <w:bCs/>
          <w:lang w:val="es-ES"/>
        </w:rPr>
        <w:t>[(e)]</w:t>
      </w:r>
      <w:r w:rsidRPr="00BC63DB">
        <w:rPr>
          <w:rFonts w:ascii="Book Antiqua" w:eastAsia="Book Antiqua" w:hAnsi="Book Antiqua" w:cs="Book Antiqua"/>
          <w:lang w:val="es-ES"/>
        </w:rPr>
        <w:t xml:space="preserve"> </w:t>
      </w:r>
      <w:r w:rsidRPr="00BC63DB">
        <w:rPr>
          <w:rFonts w:ascii="Book Antiqua" w:eastAsia="Book Antiqua" w:hAnsi="Book Antiqua" w:cs="Book Antiqua"/>
          <w:i/>
          <w:iCs/>
          <w:lang w:val="es-ES"/>
        </w:rPr>
        <w:t>(d)</w:t>
      </w:r>
    </w:p>
    <w:p w14:paraId="715575EA" w14:textId="50D340BC" w:rsidR="7ACD122F" w:rsidRPr="00BC63DB" w:rsidRDefault="7ACD122F" w:rsidP="7ACD122F">
      <w:pPr>
        <w:spacing w:line="480" w:lineRule="auto"/>
        <w:ind w:firstLine="720"/>
        <w:jc w:val="both"/>
        <w:rPr>
          <w:rFonts w:ascii="Book Antiqua" w:eastAsia="Book Antiqua" w:hAnsi="Book Antiqua" w:cs="Book Antiqua"/>
          <w:lang w:val="es-ES"/>
        </w:rPr>
      </w:pPr>
      <w:r w:rsidRPr="00BC63DB">
        <w:rPr>
          <w:rFonts w:ascii="Book Antiqua" w:eastAsia="Book Antiqua" w:hAnsi="Book Antiqua" w:cs="Book Antiqua"/>
          <w:b/>
          <w:bCs/>
          <w:lang w:val="es-ES"/>
        </w:rPr>
        <w:t>[(f)]</w:t>
      </w:r>
      <w:r w:rsidRPr="00BC63DB">
        <w:rPr>
          <w:rFonts w:ascii="Book Antiqua" w:eastAsia="Book Antiqua" w:hAnsi="Book Antiqua" w:cs="Book Antiqua"/>
          <w:lang w:val="es-ES"/>
        </w:rPr>
        <w:t xml:space="preserve"> </w:t>
      </w:r>
      <w:r w:rsidRPr="00BC63DB">
        <w:rPr>
          <w:rFonts w:ascii="Book Antiqua" w:eastAsia="Book Antiqua" w:hAnsi="Book Antiqua" w:cs="Book Antiqua"/>
          <w:i/>
          <w:iCs/>
          <w:lang w:val="es-ES"/>
        </w:rPr>
        <w:t>(e)</w:t>
      </w:r>
    </w:p>
    <w:p w14:paraId="5514513F" w14:textId="7D8CD480" w:rsidR="00304ACE" w:rsidRPr="003E0277" w:rsidRDefault="7ACD122F" w:rsidP="7ACD122F">
      <w:pPr>
        <w:spacing w:line="480" w:lineRule="auto"/>
        <w:ind w:firstLine="720"/>
        <w:jc w:val="both"/>
        <w:rPr>
          <w:rFonts w:ascii="Book Antiqua" w:eastAsia="Book Antiqua" w:hAnsi="Book Antiqua" w:cs="Book Antiqua"/>
          <w:lang w:val="es-PR"/>
        </w:rPr>
      </w:pPr>
      <w:r w:rsidRPr="003E0277">
        <w:rPr>
          <w:rFonts w:ascii="Book Antiqua" w:eastAsia="Book Antiqua" w:hAnsi="Book Antiqua" w:cs="Book Antiqua"/>
          <w:b/>
          <w:bCs/>
          <w:lang w:val="es-PR"/>
        </w:rPr>
        <w:t>[(g)]</w:t>
      </w:r>
      <w:r w:rsidRPr="003E0277">
        <w:rPr>
          <w:rFonts w:ascii="Book Antiqua" w:eastAsia="Book Antiqua" w:hAnsi="Book Antiqua" w:cs="Book Antiqua"/>
          <w:lang w:val="es-PR"/>
        </w:rPr>
        <w:t xml:space="preserve"> </w:t>
      </w:r>
      <w:r w:rsidRPr="003E0277">
        <w:rPr>
          <w:rFonts w:ascii="Book Antiqua" w:eastAsia="Book Antiqua" w:hAnsi="Book Antiqua" w:cs="Book Antiqua"/>
          <w:i/>
          <w:iCs/>
          <w:lang w:val="es-PR"/>
        </w:rPr>
        <w:t>(f)</w:t>
      </w:r>
      <w:r w:rsidRPr="003E0277">
        <w:rPr>
          <w:rFonts w:ascii="Book Antiqua" w:eastAsia="Book Antiqua" w:hAnsi="Book Antiqua" w:cs="Book Antiqua"/>
          <w:lang w:val="es-PR"/>
        </w:rPr>
        <w:t xml:space="preserve"> Todo lo relacionado…</w:t>
      </w:r>
      <w:r w:rsidRPr="003E0277">
        <w:rPr>
          <w:rFonts w:ascii="Book Antiqua" w:eastAsia="Book Antiqua" w:hAnsi="Book Antiqua" w:cs="Book Antiqua"/>
          <w:i/>
          <w:iCs/>
          <w:lang w:val="es-PR"/>
        </w:rPr>
        <w:t>”</w:t>
      </w:r>
    </w:p>
    <w:p w14:paraId="1C6A984C"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Sección 3.-</w:t>
      </w:r>
      <w:r>
        <w:rPr>
          <w:lang w:val="es-PR"/>
        </w:rPr>
        <w:t xml:space="preserve"> </w:t>
      </w:r>
      <w:r>
        <w:rPr>
          <w:rFonts w:ascii="Book Antiqua" w:eastAsia="Book Antiqua" w:hAnsi="Book Antiqua" w:cs="Book Antiqua"/>
          <w:szCs w:val="24"/>
          <w:lang w:val="es-PR"/>
        </w:rPr>
        <w:t>Se enmienda el Artículo 2.13 de la Ley Núm. 82-2010, según enmendada, para que se lea como sigue:</w:t>
      </w:r>
    </w:p>
    <w:p w14:paraId="693F549C"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“Artículo 2.13. — Prohibición de uso de combustión de carbón.</w:t>
      </w:r>
    </w:p>
    <w:p w14:paraId="6DE6DF5B"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Como parte de la política pública del Gobierno de Puerto Rico de eliminar nuestra dependencia de fuentes de energía derivadas de combustibles fósiles, se prohíbe la concesión de nuevos contratos y/o permisos para el establecimiento de plantas de </w:t>
      </w:r>
      <w:r>
        <w:rPr>
          <w:rFonts w:ascii="Book Antiqua" w:eastAsia="Book Antiqua" w:hAnsi="Book Antiqua" w:cs="Book Antiqua"/>
          <w:szCs w:val="24"/>
          <w:lang w:val="es-PR"/>
        </w:rPr>
        <w:lastRenderedPageBreak/>
        <w:t xml:space="preserve">generación de energía a base de carbón y sus derivados. Asimismo, ningún permiso o enmienda a contrato existente a la fecha de aprobación de la Ley de Política Pública Energética podrá autorizar o contemplar la quema de carbón como fuente para la generación de energía a partir </w:t>
      </w:r>
      <w:r>
        <w:rPr>
          <w:rFonts w:ascii="Book Antiqua" w:eastAsia="Book Antiqua" w:hAnsi="Book Antiqua" w:cs="Book Antiqua"/>
          <w:b/>
          <w:bCs/>
          <w:szCs w:val="24"/>
          <w:lang w:val="es-PR"/>
        </w:rPr>
        <w:t>[del 1 de enero de 2028]</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de la fecha dispuesta en dicha Ley</w:t>
      </w:r>
      <w:r>
        <w:rPr>
          <w:rFonts w:ascii="Book Antiqua" w:eastAsia="Book Antiqua" w:hAnsi="Book Antiqua" w:cs="Book Antiqua"/>
          <w:szCs w:val="24"/>
          <w:lang w:val="es-PR"/>
        </w:rPr>
        <w:t xml:space="preserve">. </w:t>
      </w:r>
    </w:p>
    <w:p w14:paraId="3F6CC09F" w14:textId="77777777" w:rsidR="00304ACE" w:rsidRPr="003E0277"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No obstante, a los fines de eliminar el uso del carbón </w:t>
      </w:r>
      <w:r>
        <w:rPr>
          <w:rFonts w:ascii="Book Antiqua" w:eastAsia="Book Antiqua" w:hAnsi="Book Antiqua" w:cs="Book Antiqua"/>
          <w:b/>
          <w:bCs/>
          <w:szCs w:val="24"/>
          <w:lang w:val="es-PR"/>
        </w:rPr>
        <w:t>[antes</w:t>
      </w:r>
      <w:r>
        <w:rPr>
          <w:rFonts w:ascii="Book Antiqua" w:eastAsia="Book Antiqua" w:hAnsi="Book Antiqua" w:cs="Book Antiqua"/>
          <w:szCs w:val="24"/>
          <w:lang w:val="es-PR"/>
        </w:rPr>
        <w:t xml:space="preserve"> </w:t>
      </w:r>
      <w:r>
        <w:rPr>
          <w:rFonts w:ascii="Book Antiqua" w:eastAsia="Book Antiqua" w:hAnsi="Book Antiqua" w:cs="Book Antiqua"/>
          <w:b/>
          <w:bCs/>
          <w:szCs w:val="24"/>
          <w:lang w:val="es-PR"/>
        </w:rPr>
        <w:t>del 1 de enero de 2028]</w:t>
      </w:r>
      <w:r>
        <w:rPr>
          <w:rFonts w:ascii="Book Antiqua" w:eastAsia="Book Antiqua" w:hAnsi="Book Antiqua" w:cs="Book Antiqua"/>
          <w:szCs w:val="24"/>
          <w:lang w:val="es-PR"/>
        </w:rPr>
        <w:t xml:space="preserve">, se podrá sustituir la capacidad de generación existente a base de carbón por capacidad de generación de energía utilizando otras fuentes que cumplan con la Ley de Política Pública Energética de Puerto Rico, mediante la extensión de contratos y/o renovación de permisos existentes basados en la nueva fuente de generación. Dicha sustitución de la capacidad de generación mediante otras fuentes de energía deberá ser autorizado por el Negociado y resultar en la eliminación total del uso de carbón </w:t>
      </w:r>
      <w:r>
        <w:rPr>
          <w:rFonts w:ascii="Book Antiqua" w:eastAsia="Book Antiqua" w:hAnsi="Book Antiqua" w:cs="Book Antiqua"/>
          <w:b/>
          <w:bCs/>
          <w:szCs w:val="24"/>
          <w:lang w:val="es-PR"/>
        </w:rPr>
        <w:t xml:space="preserve">[a partir del 1 de enero de 2028] </w:t>
      </w:r>
      <w:r>
        <w:rPr>
          <w:rFonts w:ascii="Book Antiqua" w:eastAsia="Book Antiqua" w:hAnsi="Book Antiqua" w:cs="Book Antiqua"/>
          <w:i/>
          <w:iCs/>
          <w:szCs w:val="24"/>
          <w:lang w:val="es-PR"/>
        </w:rPr>
        <w:t>como fuente para la generación de energía en Puerto Rico.</w:t>
      </w:r>
      <w:r w:rsidRPr="003E0277">
        <w:rPr>
          <w:rFonts w:ascii="Book Antiqua" w:eastAsia="Book Antiqua" w:hAnsi="Book Antiqua" w:cs="Book Antiqua"/>
          <w:i/>
          <w:iCs/>
          <w:szCs w:val="24"/>
          <w:lang w:val="es-PR"/>
        </w:rPr>
        <w:t>”</w:t>
      </w:r>
    </w:p>
    <w:p w14:paraId="3809C826" w14:textId="77777777" w:rsidR="00304ACE" w:rsidRDefault="003E0277">
      <w:pPr>
        <w:pStyle w:val="ListParagraph"/>
        <w:spacing w:line="480" w:lineRule="auto"/>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Sección 4.- Cláusula de Transición.  </w:t>
      </w:r>
    </w:p>
    <w:p w14:paraId="6A5029AD" w14:textId="77777777" w:rsidR="00304ACE" w:rsidRDefault="003E0277">
      <w:pPr>
        <w:spacing w:line="480" w:lineRule="auto"/>
        <w:ind w:firstLine="720"/>
        <w:jc w:val="both"/>
        <w:rPr>
          <w:rFonts w:ascii="Book Antiqua" w:hAnsi="Book Antiqua"/>
          <w:szCs w:val="24"/>
          <w:lang w:val="es-PR"/>
        </w:rPr>
      </w:pPr>
      <w:r>
        <w:rPr>
          <w:rFonts w:ascii="Book Antiqua" w:hAnsi="Book Antiqua"/>
          <w:szCs w:val="24"/>
          <w:lang w:val="es-PR"/>
        </w:rPr>
        <w:t xml:space="preserve">Toda persona -natural o jurídica-, entidad pública o privada, que tenga o tuviere en el futuro que cumplir con los propósitos de la Ley Núm. 17-2019, según enmendada, realizará los cambios en sus reglas, reglamentos, normas y procedimientos para cumplir con lo dispuesto en la presente Ley y de esta forma, garantizar el más fiel cumplimiento con la Política Pública Energética de Puerto Rico. </w:t>
      </w:r>
    </w:p>
    <w:p w14:paraId="11910E13"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Sección 5.- Vigencia. </w:t>
      </w:r>
    </w:p>
    <w:p w14:paraId="459A6DB4" w14:textId="77777777" w:rsidR="00304ACE" w:rsidRPr="003E0277" w:rsidRDefault="003E0277">
      <w:pPr>
        <w:spacing w:line="480" w:lineRule="auto"/>
        <w:ind w:firstLine="720"/>
        <w:jc w:val="both"/>
        <w:rPr>
          <w:lang w:val="es-PR"/>
        </w:rPr>
      </w:pPr>
      <w:r>
        <w:rPr>
          <w:rFonts w:ascii="Book Antiqua" w:eastAsia="Book Antiqua" w:hAnsi="Book Antiqua" w:cs="Book Antiqua"/>
          <w:szCs w:val="24"/>
          <w:lang w:val="es-PR"/>
        </w:rPr>
        <w:t>Esta Ley entrará en vigor inmediatamente después de su aprobación.</w:t>
      </w:r>
    </w:p>
    <w:sectPr w:rsidR="00304ACE" w:rsidRPr="003E0277">
      <w:footerReference w:type="default" r:id="rId11"/>
      <w:footerReference w:type="first" r:id="rId1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3A31" w14:textId="77777777" w:rsidR="003E0277" w:rsidRDefault="003E0277">
      <w:r>
        <w:separator/>
      </w:r>
    </w:p>
  </w:endnote>
  <w:endnote w:type="continuationSeparator" w:id="0">
    <w:p w14:paraId="1942A6BD" w14:textId="77777777" w:rsidR="003E0277" w:rsidRDefault="003E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C5CD6B7" w14:textId="77777777">
      <w:trPr>
        <w:trHeight w:val="300"/>
      </w:trPr>
      <w:tc>
        <w:tcPr>
          <w:tcW w:w="3120" w:type="dxa"/>
        </w:tcPr>
        <w:p w14:paraId="235885D7" w14:textId="77777777" w:rsidR="00304ACE" w:rsidRDefault="00304ACE">
          <w:pPr>
            <w:pStyle w:val="Header"/>
            <w:ind w:left="-115"/>
          </w:pPr>
        </w:p>
      </w:tc>
      <w:tc>
        <w:tcPr>
          <w:tcW w:w="3120" w:type="dxa"/>
        </w:tcPr>
        <w:p w14:paraId="259584CD" w14:textId="77777777" w:rsidR="00304ACE" w:rsidRDefault="00304ACE">
          <w:pPr>
            <w:pStyle w:val="Header"/>
            <w:jc w:val="center"/>
          </w:pPr>
        </w:p>
      </w:tc>
      <w:tc>
        <w:tcPr>
          <w:tcW w:w="3120" w:type="dxa"/>
        </w:tcPr>
        <w:p w14:paraId="4AFCDF3C" w14:textId="77777777" w:rsidR="00304ACE" w:rsidRDefault="00304ACE">
          <w:pPr>
            <w:pStyle w:val="Header"/>
            <w:ind w:right="-115"/>
            <w:jc w:val="right"/>
          </w:pPr>
        </w:p>
      </w:tc>
    </w:tr>
  </w:tbl>
  <w:p w14:paraId="34BCF0AB" w14:textId="77777777" w:rsidR="00304ACE"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78BCD" w14:textId="77777777" w:rsidR="003E0277" w:rsidRDefault="003E0277">
      <w:r>
        <w:separator/>
      </w:r>
    </w:p>
  </w:footnote>
  <w:footnote w:type="continuationSeparator" w:id="0">
    <w:p w14:paraId="060579D6" w14:textId="77777777" w:rsidR="003E0277" w:rsidRDefault="003E0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77777777" w:rsidR="00304ACE" w:rsidRDefault="003E0277">
    <w:pPr>
      <w:pStyle w:val="Header"/>
      <w:jc w:val="right"/>
    </w:pPr>
    <w:r>
      <w:t>A-001</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8240610">
    <w:abstractNumId w:val="1"/>
  </w:num>
  <w:num w:numId="2" w16cid:durableId="1928298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673AC"/>
    <w:rsid w:val="001939E3"/>
    <w:rsid w:val="001B1D59"/>
    <w:rsid w:val="00206B76"/>
    <w:rsid w:val="00304ACE"/>
    <w:rsid w:val="003E0277"/>
    <w:rsid w:val="00540F1F"/>
    <w:rsid w:val="00872C01"/>
    <w:rsid w:val="00991118"/>
    <w:rsid w:val="00A37ACE"/>
    <w:rsid w:val="00BC63DB"/>
    <w:rsid w:val="00D2761C"/>
    <w:rsid w:val="00DF4C50"/>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1476</Words>
  <Characters>7742</Characters>
  <Application>Microsoft Office Word</Application>
  <DocSecurity>0</DocSecurity>
  <Lines>64</Lines>
  <Paragraphs>18</Paragraphs>
  <ScaleCrop>false</ScaleCrop>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Bárbara Sierra Nieves</cp:lastModifiedBy>
  <cp:revision>6</cp:revision>
  <cp:lastPrinted>2025-01-27T17:21:00Z</cp:lastPrinted>
  <dcterms:created xsi:type="dcterms:W3CDTF">2025-01-23T21:00:00Z</dcterms:created>
  <dcterms:modified xsi:type="dcterms:W3CDTF">2025-01-27T17:26:00Z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